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6C" w:rsidRPr="005A11D3" w:rsidRDefault="005A11D3">
      <w:pPr>
        <w:spacing w:line="480" w:lineRule="auto"/>
        <w:rPr>
          <w:rFonts w:ascii="Times New Roman" w:hAnsi="Times New Roman"/>
          <w:sz w:val="20"/>
          <w:szCs w:val="20"/>
        </w:rPr>
      </w:pPr>
      <w:r w:rsidRPr="005A11D3">
        <w:rPr>
          <w:rFonts w:ascii="Times New Roman" w:hAnsi="Times New Roman"/>
          <w:sz w:val="20"/>
          <w:szCs w:val="20"/>
        </w:rPr>
        <w:t>Table S1 Baseline characteristics of the study participants</w:t>
      </w:r>
      <w:bookmarkStart w:id="0" w:name="_GoBack"/>
      <w:bookmarkEnd w:id="0"/>
    </w:p>
    <w:tbl>
      <w:tblPr>
        <w:tblStyle w:val="TableGrid"/>
        <w:tblW w:w="13561" w:type="dxa"/>
        <w:tblLayout w:type="fixed"/>
        <w:tblLook w:val="04A0" w:firstRow="1" w:lastRow="0" w:firstColumn="1" w:lastColumn="0" w:noHBand="0" w:noVBand="1"/>
      </w:tblPr>
      <w:tblGrid>
        <w:gridCol w:w="3793"/>
        <w:gridCol w:w="2460"/>
        <w:gridCol w:w="3756"/>
        <w:gridCol w:w="2616"/>
        <w:gridCol w:w="936"/>
      </w:tblGrid>
      <w:tr w:rsidR="005A11D3" w:rsidRPr="005A11D3">
        <w:trPr>
          <w:trHeight w:val="650"/>
        </w:trPr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Total (N = 433)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28-day survival (N=377)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Non-survival (N=56)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5A11D3" w:rsidRPr="005A11D3"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Age, 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47.0 (38.0-54.0)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47.0 (38.0-54.0)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50.0 (45.0-66.0)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0.021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ind w:firstLine="499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Sex, n (%)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0.928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346 (79.9)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301 (79.8)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45 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(80.4)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87 (20.1)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76 (20.2)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11 (19.6)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MELD score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22.0 (18.0-25.0)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22.0 (18.0-25.0)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25.0 (18.0-29.0)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Etiology, n (%)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0.651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HBV/HCV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232 (53.6)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198 (52.5)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34 (60.7)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Alcohol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100 (23.1)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88 (23.3)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12 (21.4)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HBV/</w:t>
            </w:r>
            <w:proofErr w:type="spellStart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HCV+Alcohol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24 (7.60)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22 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(8.10)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 (4.80)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Others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65 (15.0)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58 (15.4)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 (12.5)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L3 SMI, cm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/m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39.3 (32.6-44.1)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39.4 (33.6-44.1)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28.2 (26.7-43.0)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0.004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Sarcopenia, n (%)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250 (57.7)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208 (55.3)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42 (75.7)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0.018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BMI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23.8 (21.6-26.5)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23.8 (21.6-26.6)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22.4 (21.6-25.9)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0.934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Platelet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 (×10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9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95.0 (63.0-141.0)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95.0 (63.0-144.0)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43.0 (28.0-96.0)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0.178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Neutrophil (×10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9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4.04 (1.91-6.54)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4.05 (1.95-6.68)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4.03 (0.57-4.47)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0.999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Lymphocyte (×10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9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1.20 (0.76-1.88)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1.20 (0.77-1.87)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0.67 (0.25-2.99)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0.789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NLR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3.52 (1.44-7.64)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3.52 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(1.64-7.26)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7.63 (0.19-22.03)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0.513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PLR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79.97 (42.83-129.19)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76.61 (43.78-129.21)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101.49 (14.23-260.26)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0.577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Serum albumin, g/L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27.9 (25.4-30.9)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27.9 (25.5-31.0)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25.8 (18.5-29.3)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0.112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Creatinine, </w:t>
            </w:r>
            <w:r w:rsidRPr="005A11D3">
              <w:rPr>
                <w:rFonts w:ascii="Times New Roman" w:hAnsi="Times New Roman"/>
                <w:sz w:val="20"/>
                <w:szCs w:val="20"/>
              </w:rPr>
              <w:t>µ</w:t>
            </w:r>
            <w:proofErr w:type="spellStart"/>
            <w:r w:rsidRPr="005A11D3">
              <w:rPr>
                <w:rFonts w:ascii="Times New Roman" w:hAnsi="Times New Roman"/>
                <w:sz w:val="20"/>
                <w:szCs w:val="20"/>
              </w:rPr>
              <w:t>mol</w:t>
            </w:r>
            <w:proofErr w:type="spellEnd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71.0 (60.0-88.0)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71.0 (60.0-87.5)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87.0 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(70.7-163.9)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0.125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  <w:shd w:val="clear" w:color="auto" w:fill="FFFFFF"/>
              </w:rPr>
              <w:t>T</w:t>
            </w:r>
            <w:r w:rsidRPr="005A11D3">
              <w:rPr>
                <w:rFonts w:ascii="Times New Roman" w:eastAsia="Segoe UI" w:hAnsi="Times New Roman"/>
                <w:kern w:val="0"/>
                <w:sz w:val="20"/>
                <w:szCs w:val="20"/>
                <w:shd w:val="clear" w:color="auto" w:fill="FFFFFF"/>
              </w:rPr>
              <w:t>otal bilirubin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, </w:t>
            </w:r>
            <w:r w:rsidRPr="005A11D3">
              <w:rPr>
                <w:rFonts w:ascii="Times New Roman" w:hAnsi="Times New Roman"/>
                <w:sz w:val="20"/>
                <w:szCs w:val="20"/>
              </w:rPr>
              <w:t>µ</w:t>
            </w:r>
            <w:proofErr w:type="spellStart"/>
            <w:r w:rsidRPr="005A11D3">
              <w:rPr>
                <w:rFonts w:ascii="Times New Roman" w:hAnsi="Times New Roman"/>
                <w:sz w:val="20"/>
                <w:szCs w:val="20"/>
              </w:rPr>
              <w:t>mol</w:t>
            </w:r>
            <w:proofErr w:type="spellEnd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264.6 (173.5-341.4)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264.6 (170.4-339.9)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438.4 (245.4-496.7)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  <w:shd w:val="clear" w:color="auto" w:fill="FFFFFF"/>
              </w:rPr>
              <w:t>A</w:t>
            </w:r>
            <w:r w:rsidRPr="005A11D3">
              <w:rPr>
                <w:rFonts w:ascii="Times New Roman" w:eastAsia="Segoe UI" w:hAnsi="Times New Roman"/>
                <w:kern w:val="0"/>
                <w:sz w:val="20"/>
                <w:szCs w:val="20"/>
                <w:shd w:val="clear" w:color="auto" w:fill="FFFFFF"/>
              </w:rPr>
              <w:t>lanine aminotransferase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, U/L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90.5 (35.8-453.0)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91.0 (35.0-474.5)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53.0 (36.5-130.5)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0.156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  <w:shd w:val="clear" w:color="auto" w:fill="FFFFFF"/>
              </w:rPr>
              <w:t>I</w:t>
            </w:r>
            <w:r w:rsidRPr="005A11D3">
              <w:rPr>
                <w:rFonts w:ascii="Times New Roman" w:eastAsia="Segoe UI" w:hAnsi="Times New Roman"/>
                <w:kern w:val="0"/>
                <w:sz w:val="20"/>
                <w:szCs w:val="20"/>
                <w:shd w:val="clear" w:color="auto" w:fill="FFFFFF"/>
              </w:rPr>
              <w:t>nternational normalized ratio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1.79 (1.58-2.12)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1.78 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(1.58-2.18)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1.91 (1.77-1.96)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egoe UI" w:hAnsi="Times New Roman"/>
                <w:kern w:val="0"/>
                <w:sz w:val="20"/>
                <w:szCs w:val="20"/>
                <w:shd w:val="clear" w:color="auto" w:fill="FFFFFF"/>
              </w:rPr>
              <w:t>C-reactive protein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, mg/L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11.41 (7.06-27.62)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11.28 (6.99-27.41)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49.52 (22.97-111.35)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0.135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egoe UI" w:hAnsi="Times New Roman"/>
                <w:kern w:val="0"/>
                <w:sz w:val="20"/>
                <w:szCs w:val="20"/>
                <w:shd w:val="clear" w:color="auto" w:fill="FFFFFF"/>
              </w:rPr>
              <w:t>Interleukin-6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pg</w:t>
            </w:r>
            <w:proofErr w:type="spellEnd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/mL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20.65 (11.20-46.12)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20.28 (10.10-41.76)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24.93 (13.95-91.11)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0.051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pStyle w:val="NormalWeb"/>
              <w:shd w:val="clear" w:color="auto" w:fill="FFFFFF"/>
              <w:spacing w:line="240" w:lineRule="atLeast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44"/>
                <w:sz w:val="20"/>
                <w:szCs w:val="20"/>
              </w:rPr>
            </w:pPr>
            <w:r w:rsidRPr="005A11D3">
              <w:rPr>
                <w:rFonts w:ascii="Times New Roman" w:hAnsi="Times New Roman" w:cs="Times New Roman"/>
                <w:kern w:val="44"/>
                <w:sz w:val="20"/>
                <w:szCs w:val="20"/>
                <w:shd w:val="clear" w:color="auto" w:fill="FFFFFF"/>
              </w:rPr>
              <w:t>E</w:t>
            </w:r>
            <w:r w:rsidRPr="005A11D3">
              <w:rPr>
                <w:rFonts w:ascii="Times New Roman" w:eastAsia="Georgia" w:hAnsi="Times New Roman" w:cs="Times New Roman"/>
                <w:kern w:val="44"/>
                <w:sz w:val="20"/>
                <w:szCs w:val="20"/>
                <w:shd w:val="clear" w:color="auto" w:fill="FFFFFF"/>
              </w:rPr>
              <w:t>ffective hepatic blood flow</w:t>
            </w:r>
            <w:r w:rsidRPr="005A11D3">
              <w:rPr>
                <w:rFonts w:ascii="Times New Roman" w:hAnsi="Times New Roman" w:cs="Times New Roman"/>
                <w:kern w:val="44"/>
                <w:sz w:val="20"/>
                <w:szCs w:val="20"/>
              </w:rPr>
              <w:t>, L/min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0.21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 (0.16-0.29)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0.21 (0.16-0.29)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0.17 (0.06-0.19)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0.024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Sodium, </w:t>
            </w:r>
            <w:proofErr w:type="spellStart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mmol</w:t>
            </w:r>
            <w:proofErr w:type="spellEnd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136.0 (133.0-138.1)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136.0 (133.0-138.2)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133.0 (128.7-136.3)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0.062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Prealbumin</w:t>
            </w:r>
            <w:proofErr w:type="spellEnd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, g/L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61.9 (50.0-90.0)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61.6 (50.0-90.0)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67.0 (50.0-86.9)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0.224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egoe UI" w:hAnsi="Times New Roman"/>
                <w:kern w:val="0"/>
                <w:sz w:val="20"/>
                <w:szCs w:val="20"/>
                <w:shd w:val="clear" w:color="auto" w:fill="FFFFFF"/>
              </w:rPr>
              <w:t>Alpha-fetoprotein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mmol</w:t>
            </w:r>
            <w:proofErr w:type="spellEnd"/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23.5 (4.7-103.0)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25.13 (4.77-104.45)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5.42 (3.53-29.95)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</w:rPr>
              <w:t>0.867</w:t>
            </w:r>
          </w:p>
        </w:tc>
      </w:tr>
      <w:tr w:rsidR="005A11D3" w:rsidRPr="005A11D3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*</w:t>
            </w: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More than one complication, n (%)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223 (51.5)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179 (47.5)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kern w:val="0"/>
                <w:sz w:val="20"/>
                <w:szCs w:val="20"/>
              </w:rPr>
              <w:t>44 (78.6)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</w:tr>
    </w:tbl>
    <w:p w:rsidR="00347C6C" w:rsidRPr="005A11D3" w:rsidRDefault="005A11D3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5A11D3">
        <w:rPr>
          <w:rFonts w:ascii="Times New Roman" w:hAnsi="Times New Roman"/>
          <w:sz w:val="20"/>
          <w:szCs w:val="20"/>
        </w:rPr>
        <w:t>Continuous variables are expressed as the median (IQR).</w:t>
      </w:r>
    </w:p>
    <w:p w:rsidR="00347C6C" w:rsidRPr="005A11D3" w:rsidRDefault="005A11D3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  <w:r w:rsidRPr="005A11D3">
        <w:rPr>
          <w:rFonts w:ascii="Times New Roman" w:hAnsi="Times New Roman"/>
          <w:sz w:val="20"/>
          <w:szCs w:val="20"/>
        </w:rPr>
        <w:t>Abbreviations:</w:t>
      </w:r>
      <w:r w:rsidRPr="005A11D3">
        <w:rPr>
          <w:rFonts w:ascii="Times New Roman" w:eastAsia="Microsoft YaHei" w:hAnsi="Times New Roman"/>
          <w:sz w:val="20"/>
          <w:szCs w:val="20"/>
        </w:rPr>
        <w:t xml:space="preserve"> </w:t>
      </w:r>
      <w:r w:rsidRPr="005A11D3">
        <w:rPr>
          <w:rFonts w:ascii="Times New Roman" w:hAnsi="Times New Roman"/>
          <w:sz w:val="20"/>
          <w:szCs w:val="20"/>
        </w:rPr>
        <w:t xml:space="preserve">MELD score, </w:t>
      </w:r>
      <w:r w:rsidRPr="005A11D3">
        <w:rPr>
          <w:rStyle w:val="10"/>
          <w:sz w:val="20"/>
          <w:szCs w:val="20"/>
        </w:rPr>
        <w:t>end</w:t>
      </w:r>
      <w:r w:rsidRPr="005A11D3">
        <w:rPr>
          <w:rFonts w:ascii="Times New Roman" w:hAnsi="Times New Roman"/>
          <w:sz w:val="20"/>
          <w:szCs w:val="20"/>
        </w:rPr>
        <w:t xml:space="preserve">-stage </w:t>
      </w:r>
      <w:r w:rsidRPr="005A11D3">
        <w:rPr>
          <w:rStyle w:val="10"/>
          <w:sz w:val="20"/>
          <w:szCs w:val="20"/>
        </w:rPr>
        <w:t>liver disease</w:t>
      </w:r>
      <w:r w:rsidRPr="005A11D3">
        <w:rPr>
          <w:rFonts w:ascii="Times New Roman" w:hAnsi="Times New Roman"/>
          <w:sz w:val="20"/>
          <w:szCs w:val="20"/>
        </w:rPr>
        <w:t xml:space="preserve"> score</w:t>
      </w:r>
      <w:r w:rsidRPr="005A11D3">
        <w:rPr>
          <w:rFonts w:ascii="Times New Roman" w:eastAsia="Microsoft YaHei" w:hAnsi="Times New Roman"/>
          <w:sz w:val="20"/>
          <w:szCs w:val="20"/>
        </w:rPr>
        <w:t xml:space="preserve">; </w:t>
      </w:r>
      <w:r w:rsidRPr="005A11D3">
        <w:rPr>
          <w:rFonts w:ascii="Times New Roman" w:hAnsi="Times New Roman"/>
          <w:sz w:val="20"/>
          <w:szCs w:val="20"/>
        </w:rPr>
        <w:t xml:space="preserve">HBV, hepatitis B virus; HCV, hepatitis C virus; L3 SMI, L3 skeletal muscle index; BMI, </w:t>
      </w:r>
      <w:r w:rsidRPr="005A11D3">
        <w:rPr>
          <w:rFonts w:ascii="Times New Roman" w:eastAsia="Segoe UI" w:hAnsi="Times New Roman"/>
          <w:sz w:val="20"/>
          <w:szCs w:val="20"/>
          <w:shd w:val="clear" w:color="auto" w:fill="FFFFFF"/>
        </w:rPr>
        <w:t>body mass index</w:t>
      </w:r>
      <w:r w:rsidRPr="005A11D3">
        <w:rPr>
          <w:rFonts w:ascii="Times New Roman" w:eastAsia="SimSun" w:hAnsi="Times New Roman"/>
          <w:sz w:val="20"/>
          <w:szCs w:val="20"/>
          <w:shd w:val="clear" w:color="auto" w:fill="FFFFFF"/>
        </w:rPr>
        <w:t>; NLR, neutrophil-to-lymphocyte ratio; PLR, platelet-to-lymphocyte ratio.</w:t>
      </w:r>
    </w:p>
    <w:p w:rsidR="00347C6C" w:rsidRPr="005A11D3" w:rsidRDefault="005A11D3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  <w:r w:rsidRPr="005A11D3">
        <w:rPr>
          <w:rFonts w:ascii="Times New Roman" w:eastAsia="SimSun" w:hAnsi="Times New Roman"/>
          <w:sz w:val="20"/>
          <w:szCs w:val="20"/>
          <w:shd w:val="clear" w:color="auto" w:fill="FFFFFF"/>
          <w:vertAlign w:val="superscript"/>
        </w:rPr>
        <w:t>*</w:t>
      </w:r>
      <w:r w:rsidRPr="005A11D3">
        <w:rPr>
          <w:rFonts w:ascii="Times New Roman" w:eastAsia="SimSun" w:hAnsi="Times New Roman"/>
          <w:sz w:val="20"/>
          <w:szCs w:val="20"/>
          <w:shd w:val="clear" w:color="auto" w:fill="FFFFFF"/>
        </w:rPr>
        <w:t>More than one complication included gastroesophageal varices, hepatic encephalo</w:t>
      </w:r>
      <w:r w:rsidRPr="005A11D3">
        <w:rPr>
          <w:rFonts w:ascii="Times New Roman" w:eastAsia="SimSun" w:hAnsi="Times New Roman"/>
          <w:sz w:val="20"/>
          <w:szCs w:val="20"/>
          <w:shd w:val="clear" w:color="auto" w:fill="FFFFFF"/>
        </w:rPr>
        <w:t xml:space="preserve">pathy, </w:t>
      </w:r>
      <w:r w:rsidRPr="005A11D3">
        <w:rPr>
          <w:rFonts w:ascii="Times New Roman" w:eastAsia="SimSun" w:hAnsi="Times New Roman"/>
          <w:kern w:val="0"/>
          <w:sz w:val="20"/>
          <w:szCs w:val="20"/>
        </w:rPr>
        <w:t>acute kidney injury</w:t>
      </w:r>
      <w:r w:rsidRPr="005A11D3">
        <w:rPr>
          <w:rFonts w:ascii="Times New Roman" w:eastAsia="SimSun" w:hAnsi="Times New Roman"/>
          <w:sz w:val="20"/>
          <w:szCs w:val="20"/>
          <w:shd w:val="clear" w:color="auto" w:fill="FFFFFF"/>
        </w:rPr>
        <w:t xml:space="preserve"> and infections.</w:t>
      </w:r>
    </w:p>
    <w:p w:rsidR="00347C6C" w:rsidRPr="005A11D3" w:rsidRDefault="00347C6C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</w:p>
    <w:p w:rsidR="00347C6C" w:rsidRPr="005A11D3" w:rsidRDefault="00347C6C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</w:p>
    <w:p w:rsidR="00347C6C" w:rsidRPr="005A11D3" w:rsidRDefault="00347C6C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</w:p>
    <w:p w:rsidR="00347C6C" w:rsidRPr="005A11D3" w:rsidRDefault="00347C6C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</w:p>
    <w:p w:rsidR="00347C6C" w:rsidRPr="005A11D3" w:rsidRDefault="00347C6C">
      <w:pPr>
        <w:widowControl/>
        <w:spacing w:line="480" w:lineRule="auto"/>
        <w:jc w:val="left"/>
        <w:rPr>
          <w:rFonts w:ascii="Times New Roman" w:eastAsia="SimSun" w:hAnsi="Times New Roman"/>
          <w:sz w:val="20"/>
          <w:szCs w:val="20"/>
          <w:shd w:val="clear" w:color="auto" w:fill="FFFFFF"/>
        </w:rPr>
      </w:pPr>
    </w:p>
    <w:p w:rsidR="00347C6C" w:rsidRPr="005A11D3" w:rsidRDefault="005A11D3">
      <w:pPr>
        <w:spacing w:line="480" w:lineRule="auto"/>
        <w:rPr>
          <w:rFonts w:ascii="Times New Roman" w:hAnsi="Times New Roman"/>
          <w:sz w:val="20"/>
          <w:szCs w:val="20"/>
        </w:rPr>
      </w:pPr>
      <w:r w:rsidRPr="005A11D3">
        <w:rPr>
          <w:rFonts w:ascii="Times New Roman" w:hAnsi="Times New Roman"/>
          <w:sz w:val="20"/>
          <w:szCs w:val="20"/>
        </w:rPr>
        <w:t xml:space="preserve">Table </w:t>
      </w:r>
      <w:r w:rsidRPr="005A11D3">
        <w:rPr>
          <w:rFonts w:ascii="Times New Roman" w:hAnsi="Times New Roman" w:hint="eastAsia"/>
          <w:sz w:val="20"/>
          <w:szCs w:val="20"/>
        </w:rPr>
        <w:t>S</w:t>
      </w:r>
      <w:r w:rsidRPr="005A11D3">
        <w:rPr>
          <w:rFonts w:ascii="Times New Roman" w:hAnsi="Times New Roman"/>
          <w:sz w:val="20"/>
          <w:szCs w:val="20"/>
        </w:rPr>
        <w:t>2 Univariate and multivariate Cox proportional hazard models to predict 28-day progression in ACLF patients</w:t>
      </w:r>
    </w:p>
    <w:tbl>
      <w:tblPr>
        <w:tblStyle w:val="TableGrid"/>
        <w:tblW w:w="13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5"/>
        <w:gridCol w:w="1728"/>
        <w:gridCol w:w="2304"/>
        <w:gridCol w:w="1356"/>
        <w:gridCol w:w="1531"/>
        <w:gridCol w:w="2025"/>
        <w:gridCol w:w="1340"/>
      </w:tblGrid>
      <w:tr w:rsidR="005A11D3" w:rsidRPr="005A11D3">
        <w:tc>
          <w:tcPr>
            <w:tcW w:w="3205" w:type="dxa"/>
            <w:vMerge w:val="restart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A11D3" w:rsidRPr="005A11D3">
        <w:trPr>
          <w:trHeight w:val="326"/>
        </w:trPr>
        <w:tc>
          <w:tcPr>
            <w:tcW w:w="3205" w:type="dxa"/>
            <w:vMerge/>
            <w:tcBorders>
              <w:bottom w:val="single" w:sz="4" w:space="0" w:color="auto"/>
            </w:tcBorders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1D3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5A11D3" w:rsidRPr="005A11D3">
        <w:trPr>
          <w:trHeight w:val="484"/>
        </w:trPr>
        <w:tc>
          <w:tcPr>
            <w:tcW w:w="3205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1.027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1.006-1.049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0.013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1.051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1.022-1.081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5A11D3" w:rsidRPr="005A11D3">
        <w:trPr>
          <w:trHeight w:val="542"/>
        </w:trPr>
        <w:tc>
          <w:tcPr>
            <w:tcW w:w="3205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MELD score</w:t>
            </w:r>
          </w:p>
        </w:tc>
        <w:tc>
          <w:tcPr>
            <w:tcW w:w="1728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1.078</w:t>
            </w:r>
          </w:p>
        </w:tc>
        <w:tc>
          <w:tcPr>
            <w:tcW w:w="2304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1.040-1.118</w:t>
            </w:r>
          </w:p>
        </w:tc>
        <w:tc>
          <w:tcPr>
            <w:tcW w:w="1356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31" w:type="dxa"/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11D3" w:rsidRPr="005A11D3">
        <w:trPr>
          <w:trHeight w:val="542"/>
        </w:trPr>
        <w:tc>
          <w:tcPr>
            <w:tcW w:w="3205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eastAsia="Segoe UI" w:hAnsi="Times New Roman"/>
                <w:sz w:val="20"/>
                <w:szCs w:val="20"/>
                <w:shd w:val="clear" w:color="auto" w:fill="FFFFFF"/>
              </w:rPr>
              <w:t>C-reactive protein</w:t>
            </w:r>
            <w:r w:rsidRPr="005A11D3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28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1.003</w:t>
            </w:r>
          </w:p>
        </w:tc>
        <w:tc>
          <w:tcPr>
            <w:tcW w:w="2304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1.001-1.005</w:t>
            </w:r>
          </w:p>
        </w:tc>
        <w:tc>
          <w:tcPr>
            <w:tcW w:w="1356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1531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1.003</w:t>
            </w:r>
          </w:p>
        </w:tc>
        <w:tc>
          <w:tcPr>
            <w:tcW w:w="2025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1.000-1.005</w:t>
            </w:r>
          </w:p>
        </w:tc>
        <w:tc>
          <w:tcPr>
            <w:tcW w:w="1340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</w:tr>
      <w:tr w:rsidR="005A11D3" w:rsidRPr="005A11D3">
        <w:trPr>
          <w:trHeight w:val="532"/>
        </w:trPr>
        <w:tc>
          <w:tcPr>
            <w:tcW w:w="3205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Sarcopenia</w:t>
            </w:r>
          </w:p>
        </w:tc>
        <w:tc>
          <w:tcPr>
            <w:tcW w:w="1728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2.358</w:t>
            </w:r>
          </w:p>
        </w:tc>
        <w:tc>
          <w:tcPr>
            <w:tcW w:w="2304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1.113-4.998</w:t>
            </w:r>
          </w:p>
        </w:tc>
        <w:tc>
          <w:tcPr>
            <w:tcW w:w="1356" w:type="dxa"/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eastAsia="SimSun" w:hAnsi="Times New Roman"/>
                <w:kern w:val="0"/>
                <w:sz w:val="20"/>
                <w:szCs w:val="20"/>
                <w:lang w:bidi="ar"/>
              </w:rPr>
              <w:t>0.025</w:t>
            </w:r>
          </w:p>
        </w:tc>
        <w:tc>
          <w:tcPr>
            <w:tcW w:w="1531" w:type="dxa"/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47C6C" w:rsidRPr="005A11D3" w:rsidRDefault="00347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11D3" w:rsidRPr="005A11D3">
        <w:trPr>
          <w:trHeight w:val="576"/>
        </w:trPr>
        <w:tc>
          <w:tcPr>
            <w:tcW w:w="3205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*More than one complication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3.766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1.989-7.132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eastAsia="AdvOT863180fb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2.491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1.160-5.352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347C6C" w:rsidRPr="005A11D3" w:rsidRDefault="005A11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1D3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</w:tbl>
    <w:p w:rsidR="00347C6C" w:rsidRPr="005A11D3" w:rsidRDefault="005A11D3">
      <w:pPr>
        <w:rPr>
          <w:rFonts w:ascii="Times New Roman" w:hAnsi="Times New Roman"/>
          <w:sz w:val="20"/>
          <w:szCs w:val="20"/>
        </w:rPr>
      </w:pPr>
      <w:r w:rsidRPr="005A11D3">
        <w:rPr>
          <w:rFonts w:ascii="Times New Roman" w:hAnsi="Times New Roman"/>
          <w:sz w:val="20"/>
          <w:szCs w:val="20"/>
        </w:rPr>
        <w:t>Abbreviations: HR, hazard ratio; CI, confidence interval; MELD score, end-stage liver disease score; NLR, neutrophil-to-lymphocyte ratio.</w:t>
      </w:r>
    </w:p>
    <w:p w:rsidR="00347C6C" w:rsidRPr="005A11D3" w:rsidRDefault="005A11D3">
      <w:pPr>
        <w:rPr>
          <w:rFonts w:ascii="Times New Roman" w:hAnsi="Times New Roman"/>
          <w:sz w:val="20"/>
          <w:szCs w:val="20"/>
        </w:rPr>
      </w:pPr>
      <w:r w:rsidRPr="005A11D3">
        <w:rPr>
          <w:rFonts w:ascii="Times New Roman" w:hAnsi="Times New Roman"/>
          <w:sz w:val="20"/>
          <w:szCs w:val="20"/>
          <w:vertAlign w:val="superscript"/>
        </w:rPr>
        <w:t>*</w:t>
      </w:r>
      <w:r w:rsidRPr="005A11D3">
        <w:rPr>
          <w:rFonts w:ascii="Times New Roman" w:hAnsi="Times New Roman"/>
          <w:sz w:val="20"/>
          <w:szCs w:val="20"/>
        </w:rPr>
        <w:t xml:space="preserve">More than one complication included gastroesophageal varices, hepatic encephalopathy, </w:t>
      </w:r>
      <w:r w:rsidRPr="005A11D3">
        <w:rPr>
          <w:rFonts w:ascii="Times New Roman" w:eastAsia="SimSun" w:hAnsi="Times New Roman"/>
          <w:kern w:val="0"/>
          <w:sz w:val="20"/>
          <w:szCs w:val="20"/>
        </w:rPr>
        <w:t>acute kidney</w:t>
      </w:r>
      <w:r w:rsidRPr="005A11D3">
        <w:rPr>
          <w:rFonts w:ascii="Times New Roman" w:eastAsia="SimSun" w:hAnsi="Times New Roman"/>
          <w:kern w:val="0"/>
          <w:sz w:val="20"/>
          <w:szCs w:val="20"/>
        </w:rPr>
        <w:t xml:space="preserve"> injury</w:t>
      </w:r>
      <w:r w:rsidRPr="005A11D3">
        <w:rPr>
          <w:rFonts w:ascii="Times New Roman" w:hAnsi="Times New Roman"/>
          <w:sz w:val="20"/>
          <w:szCs w:val="20"/>
        </w:rPr>
        <w:t xml:space="preserve"> and infections.</w:t>
      </w:r>
    </w:p>
    <w:p w:rsidR="00347C6C" w:rsidRPr="005A11D3" w:rsidRDefault="00347C6C">
      <w:pPr>
        <w:rPr>
          <w:rFonts w:ascii="Times New Roman" w:hAnsi="Times New Roman"/>
          <w:sz w:val="20"/>
          <w:szCs w:val="20"/>
        </w:rPr>
      </w:pPr>
    </w:p>
    <w:sectPr w:rsidR="00347C6C" w:rsidRPr="005A11D3" w:rsidSect="00846A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dvOT863180fb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5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6E60C0"/>
    <w:rsid w:val="00347C6C"/>
    <w:rsid w:val="004B794B"/>
    <w:rsid w:val="005A11D3"/>
    <w:rsid w:val="00794562"/>
    <w:rsid w:val="00846620"/>
    <w:rsid w:val="00846A1B"/>
    <w:rsid w:val="10C96F09"/>
    <w:rsid w:val="114C6116"/>
    <w:rsid w:val="25BD5A88"/>
    <w:rsid w:val="2A4D7DE6"/>
    <w:rsid w:val="34AA30F3"/>
    <w:rsid w:val="4C6E60C0"/>
    <w:rsid w:val="581F1436"/>
    <w:rsid w:val="74D65EEA"/>
    <w:rsid w:val="7E17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FDD704-7840-48E9-AEDE-D4ADDC70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 w:cs="Times New Roman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10">
    <w:name w:val="10"/>
    <w:basedOn w:val="DefaultParagraphFont"/>
    <w:qFormat/>
    <w:rPr>
      <w:rFonts w:ascii="Times New Roman" w:hAnsi="Times New Roman" w:cs="Times New Roman" w:hint="default"/>
    </w:rPr>
  </w:style>
  <w:style w:type="character" w:customStyle="1" w:styleId="CommentTextChar">
    <w:name w:val="Comment Text Char"/>
    <w:basedOn w:val="DefaultParagraphFont"/>
    <w:link w:val="CommentText"/>
    <w:rPr>
      <w:rFonts w:ascii="DengXian" w:eastAsia="DengXian" w:hAnsi="DengXian" w:cs="Times New Roman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张茜</dc:creator>
  <cp:lastModifiedBy>Ganesh Boopathy</cp:lastModifiedBy>
  <cp:revision>5</cp:revision>
  <dcterms:created xsi:type="dcterms:W3CDTF">2022-03-23T07:00:00Z</dcterms:created>
  <dcterms:modified xsi:type="dcterms:W3CDTF">2022-05-24T09:01:00Z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BFD81C53EBE04CC48A4BE37A97B30A24</vt:lpwstr>
  </property>
  <property fmtid="{D5CDD505-2E9C-101B-9397-08002B2CF9AE}" pid="3" name="KSOProductBuildVer">
    <vt:lpwstr>2052-11.1.0.11365</vt:lpwstr>
  </property>
  <property fmtid="{D5CDD505-2E9C-101B-9397-08002B2CF9AE}" pid="4" name="LE1">
    <vt:filetime>2022-03-30T01:06:55Z</vt:filetime>
  </property>
  <property fmtid="{D5CDD505-2E9C-101B-9397-08002B2CF9AE}" pid="5" name="ReminderText">
    <vt:lpwstr>_MV3FGL1B</vt:lpwstr>
  </property>
</Properties>
</file>