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138" w:rsidRDefault="00E73138" w:rsidP="00E73138">
      <w:pPr>
        <w:pStyle w:val="tablefootnote"/>
        <w:rPr>
          <w:rFonts w:ascii="Arial" w:hAnsi="Arial" w:cs="Arial"/>
          <w:sz w:val="20"/>
          <w:szCs w:val="20"/>
          <w:lang w:val="en-GB"/>
        </w:rPr>
      </w:pPr>
    </w:p>
    <w:p w:rsidR="00E73138" w:rsidRPr="005E7567" w:rsidRDefault="00E73138" w:rsidP="00E73138">
      <w:pPr>
        <w:pStyle w:val="Heading1"/>
        <w:rPr>
          <w:rFonts w:ascii="Arial" w:hAnsi="Arial" w:cs="Arial"/>
        </w:rPr>
      </w:pPr>
      <w:r w:rsidRPr="005E7567">
        <w:rPr>
          <w:rFonts w:ascii="Arial" w:hAnsi="Arial" w:cs="Arial"/>
        </w:rPr>
        <w:t>Supplementary</w:t>
      </w:r>
    </w:p>
    <w:p w:rsidR="00E73138" w:rsidRPr="005E7567" w:rsidRDefault="00E73138" w:rsidP="00E73138">
      <w:pPr>
        <w:pStyle w:val="tabletitle"/>
        <w:ind w:leftChars="82" w:left="180"/>
        <w:rPr>
          <w:rFonts w:ascii="Arial" w:eastAsia="Malgun Gothic" w:hAnsi="Arial"/>
          <w:sz w:val="20"/>
          <w:szCs w:val="20"/>
        </w:rPr>
      </w:pPr>
      <w:bookmarkStart w:id="0" w:name="_Ref224301129"/>
      <w:r w:rsidRPr="005E7567">
        <w:rPr>
          <w:rFonts w:ascii="Arial" w:hAnsi="Arial"/>
          <w:b/>
          <w:bCs/>
          <w:sz w:val="20"/>
          <w:szCs w:val="20"/>
        </w:rPr>
        <w:t xml:space="preserve">Supplementary Table </w:t>
      </w:r>
      <w:r w:rsidRPr="005E7567">
        <w:rPr>
          <w:rFonts w:ascii="Arial" w:hAnsi="Arial"/>
          <w:b/>
          <w:bCs/>
          <w:sz w:val="20"/>
          <w:szCs w:val="20"/>
        </w:rPr>
        <w:fldChar w:fldCharType="begin"/>
      </w:r>
      <w:r w:rsidRPr="005E7567">
        <w:rPr>
          <w:rFonts w:ascii="Arial" w:hAnsi="Arial"/>
          <w:b/>
          <w:bCs/>
          <w:sz w:val="20"/>
          <w:szCs w:val="20"/>
        </w:rPr>
        <w:instrText xml:space="preserve"> SEQ Supplementary_Table \* ARABIC </w:instrText>
      </w:r>
      <w:r w:rsidRPr="005E7567">
        <w:rPr>
          <w:rFonts w:ascii="Arial" w:hAnsi="Arial"/>
          <w:b/>
          <w:bCs/>
          <w:sz w:val="20"/>
          <w:szCs w:val="20"/>
        </w:rPr>
        <w:fldChar w:fldCharType="separate"/>
      </w:r>
      <w:r>
        <w:rPr>
          <w:rFonts w:ascii="Arial" w:hAnsi="Arial"/>
          <w:b/>
          <w:bCs/>
          <w:noProof/>
          <w:sz w:val="20"/>
          <w:szCs w:val="20"/>
        </w:rPr>
        <w:t>1</w:t>
      </w:r>
      <w:r w:rsidRPr="005E7567">
        <w:rPr>
          <w:rFonts w:ascii="Arial" w:hAnsi="Arial"/>
          <w:b/>
          <w:bCs/>
          <w:sz w:val="20"/>
          <w:szCs w:val="20"/>
        </w:rPr>
        <w:fldChar w:fldCharType="end"/>
      </w:r>
      <w:bookmarkEnd w:id="0"/>
      <w:r w:rsidRPr="005E7567">
        <w:rPr>
          <w:rFonts w:ascii="Arial" w:eastAsia="Malgun Gothic" w:hAnsi="Arial"/>
          <w:b/>
          <w:bCs/>
          <w:sz w:val="20"/>
          <w:szCs w:val="20"/>
        </w:rPr>
        <w:t xml:space="preserve">. </w:t>
      </w:r>
      <w:r w:rsidRPr="005E7567">
        <w:rPr>
          <w:rFonts w:ascii="Arial" w:eastAsia="Malgun Gothic" w:hAnsi="Arial"/>
          <w:sz w:val="20"/>
          <w:szCs w:val="20"/>
        </w:rPr>
        <w:t>Real world outcomes stratified by modified ALBI grade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3"/>
        <w:gridCol w:w="941"/>
        <w:gridCol w:w="1418"/>
        <w:gridCol w:w="849"/>
        <w:gridCol w:w="1273"/>
        <w:gridCol w:w="999"/>
        <w:gridCol w:w="991"/>
        <w:gridCol w:w="1985"/>
        <w:gridCol w:w="851"/>
        <w:gridCol w:w="1982"/>
        <w:gridCol w:w="916"/>
      </w:tblGrid>
      <w:tr w:rsidR="00E73138" w:rsidRPr="005E7567" w:rsidTr="0083259A">
        <w:trPr>
          <w:trHeight w:val="227"/>
          <w:jc w:val="center"/>
        </w:trPr>
        <w:tc>
          <w:tcPr>
            <w:tcW w:w="628" w:type="pct"/>
            <w:tcBorders>
              <w:top w:val="single" w:sz="4" w:space="0" w:color="auto"/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22" w:left="48"/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val="en-GB" w:eastAsia="ko-KR"/>
              </w:rPr>
            </w:pPr>
          </w:p>
        </w:tc>
        <w:tc>
          <w:tcPr>
            <w:tcW w:w="196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Before PS-matching</w:t>
            </w:r>
          </w:p>
        </w:tc>
        <w:tc>
          <w:tcPr>
            <w:tcW w:w="24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After PS-matching</w:t>
            </w:r>
          </w:p>
        </w:tc>
      </w:tr>
      <w:tr w:rsidR="00E73138" w:rsidRPr="005E7567" w:rsidTr="0083259A">
        <w:trPr>
          <w:trHeight w:val="227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22" w:left="48"/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val="en-GB" w:eastAsia="ko-KR"/>
              </w:rPr>
            </w:pPr>
          </w:p>
        </w:tc>
        <w:tc>
          <w:tcPr>
            <w:tcW w:w="8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Lenvatinib</w:t>
            </w:r>
          </w:p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(N=132)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Sorafenib</w:t>
            </w:r>
          </w:p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(N=163)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Lenvatinib</w:t>
            </w:r>
          </w:p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(N=117)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Sorafenib</w:t>
            </w:r>
          </w:p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(N=117)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</w:tr>
      <w:tr w:rsidR="00E73138" w:rsidRPr="005E7567" w:rsidTr="0083259A">
        <w:trPr>
          <w:trHeight w:val="227"/>
          <w:jc w:val="center"/>
        </w:trPr>
        <w:tc>
          <w:tcPr>
            <w:tcW w:w="628" w:type="pct"/>
            <w:tcBorders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22" w:left="48"/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val="en-GB" w:eastAsia="ko-KR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Del="00E16D6B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Event no.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73138" w:rsidRPr="005E7567" w:rsidDel="00E16D6B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Median [95%CI]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Del="00E16D6B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Event no.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73138" w:rsidRPr="005E7567" w:rsidDel="00E16D6B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Median [95%CI]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Del="00E16D6B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p-value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Del="00E16D6B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Event no.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Median [95%CI]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Del="00E16D6B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Event no.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Median [95%CI]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Del="00E16D6B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p-value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22" w:left="48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val="en-GB" w:eastAsia="ko-KR"/>
              </w:rPr>
              <w:t>Grade 1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rwOS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13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NE [7.10, NE]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16</w:t>
            </w:r>
          </w:p>
        </w:tc>
        <w:tc>
          <w:tcPr>
            <w:tcW w:w="456" w:type="pct"/>
            <w:tcBorders>
              <w:left w:val="nil"/>
              <w:right w:val="nil"/>
            </w:tcBorders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NE [10.87, NE]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0.740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11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NE [7.10, NE]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14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NE [7.95, NE]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0.894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rwTTD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25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4.50 [2.96, 9.66]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33</w:t>
            </w:r>
          </w:p>
        </w:tc>
        <w:tc>
          <w:tcPr>
            <w:tcW w:w="456" w:type="pct"/>
            <w:tcBorders>
              <w:left w:val="nil"/>
              <w:right w:val="nil"/>
            </w:tcBorders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2.46 [1.91, 3.68]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&lt;0.001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21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4.50 [3.22, 9.66]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27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2.46 [1.84, 3.91]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0.001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rwTTNT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25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5.49 [3.25, 10.61]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33</w:t>
            </w:r>
          </w:p>
        </w:tc>
        <w:tc>
          <w:tcPr>
            <w:tcW w:w="456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3.71 [2.96, 5.45]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0.075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21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5.49 [3.55, 10.63]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27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3.29 [2.80, 5.13]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0.063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22" w:left="48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val="en-GB" w:eastAsia="ko-KR"/>
              </w:rPr>
              <w:t>Grade 2a</w:t>
            </w:r>
          </w:p>
        </w:tc>
        <w:tc>
          <w:tcPr>
            <w:tcW w:w="337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508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04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58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55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711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05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710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28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rwOS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NE [NE, NE]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456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NE [6.41, NE]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0.063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NE [11.01, NE]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10.09 [6.41, NE]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0.105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rwTTD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18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5.55 [4.04, NE]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22</w:t>
            </w:r>
          </w:p>
        </w:tc>
        <w:tc>
          <w:tcPr>
            <w:tcW w:w="456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2.23 [1.84, 3.91]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&lt;0.001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17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5.98 [3.91, NE]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17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2.30 [1.84, 5.52]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0.002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rwTTNT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18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6.01 [4.17, NE]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22</w:t>
            </w:r>
          </w:p>
        </w:tc>
        <w:tc>
          <w:tcPr>
            <w:tcW w:w="456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3.15 [2.43, 4.40]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&lt;0.001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17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6.01 [4.07, NE]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17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3.27 [2.56, NE]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0.006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22" w:left="48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val="en-GB" w:eastAsia="ko-KR"/>
              </w:rPr>
              <w:t>Grade 2b</w:t>
            </w:r>
          </w:p>
        </w:tc>
        <w:tc>
          <w:tcPr>
            <w:tcW w:w="337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508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04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58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55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711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05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710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28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rwOS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18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10.91 [6.21, NE]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39</w:t>
            </w:r>
          </w:p>
        </w:tc>
        <w:tc>
          <w:tcPr>
            <w:tcW w:w="456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4.60 [3.15, 6.01]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0.005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16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NE [6.21, NE]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32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3.68 [2.83, NE]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0.005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rwTTD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29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3.75 [2.23, 6.31]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48</w:t>
            </w:r>
          </w:p>
        </w:tc>
        <w:tc>
          <w:tcPr>
            <w:tcW w:w="456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1.48 [1.18, 1.97]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&lt;0.001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27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3.81 [2.17, NE]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40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1.22 [1.15, 1.84]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&lt;0.001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rwTTNT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29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5.72 [3.61, NE]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48</w:t>
            </w:r>
          </w:p>
        </w:tc>
        <w:tc>
          <w:tcPr>
            <w:tcW w:w="456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2.99 [2.17, 3.71]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&lt;0.001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27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4.01 [3.29, NE]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40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2.33 [1.87, 3.45]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&lt;0.001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22" w:left="48"/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val="en-GB" w:eastAsia="ko-KR"/>
              </w:rPr>
            </w:pPr>
            <w:r w:rsidRPr="005E7567">
              <w:rPr>
                <w:rFonts w:ascii="Arial" w:eastAsia="Malgun Gothic" w:hAnsi="Arial" w:cs="Arial"/>
                <w:b/>
                <w:bCs/>
                <w:color w:val="000000"/>
                <w:sz w:val="20"/>
                <w:szCs w:val="20"/>
                <w:lang w:val="en-GB" w:eastAsia="ko-KR"/>
              </w:rPr>
              <w:t>Grade 3</w:t>
            </w:r>
          </w:p>
        </w:tc>
        <w:tc>
          <w:tcPr>
            <w:tcW w:w="337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508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04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58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55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711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05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710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28" w:type="pct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rwOS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NE [NE, NE]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13</w:t>
            </w:r>
          </w:p>
        </w:tc>
        <w:tc>
          <w:tcPr>
            <w:tcW w:w="456" w:type="pct"/>
            <w:tcBorders>
              <w:left w:val="nil"/>
              <w:right w:val="nil"/>
            </w:tcBorders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1.94 [1.58, NE]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0.130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NE [NE, NE]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1.71 [1.12, NE]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0.096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rwTTD</w:t>
            </w:r>
          </w:p>
        </w:tc>
        <w:tc>
          <w:tcPr>
            <w:tcW w:w="337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508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8.94 [NE, NE]</w:t>
            </w:r>
          </w:p>
        </w:tc>
        <w:tc>
          <w:tcPr>
            <w:tcW w:w="304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15</w:t>
            </w:r>
          </w:p>
        </w:tc>
        <w:tc>
          <w:tcPr>
            <w:tcW w:w="456" w:type="pct"/>
            <w:tcBorders>
              <w:left w:val="nil"/>
              <w:right w:val="nil"/>
            </w:tcBorders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1.31 [0.59, NE]</w:t>
            </w:r>
          </w:p>
        </w:tc>
        <w:tc>
          <w:tcPr>
            <w:tcW w:w="35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0.006</w:t>
            </w:r>
          </w:p>
        </w:tc>
        <w:tc>
          <w:tcPr>
            <w:tcW w:w="35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711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8.94 [NE, NE]</w:t>
            </w:r>
          </w:p>
        </w:tc>
        <w:tc>
          <w:tcPr>
            <w:tcW w:w="305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710" w:type="pct"/>
            <w:tcBorders>
              <w:left w:val="nil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0.82 [0.46, NE]</w:t>
            </w:r>
          </w:p>
        </w:tc>
        <w:tc>
          <w:tcPr>
            <w:tcW w:w="328" w:type="pct"/>
            <w:tcBorders>
              <w:left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0.008</w:t>
            </w:r>
          </w:p>
        </w:tc>
      </w:tr>
      <w:tr w:rsidR="00E73138" w:rsidRPr="005E7567" w:rsidTr="0083259A">
        <w:trPr>
          <w:trHeight w:val="20"/>
          <w:jc w:val="center"/>
        </w:trPr>
        <w:tc>
          <w:tcPr>
            <w:tcW w:w="628" w:type="pct"/>
            <w:tcBorders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73138" w:rsidRPr="005E7567" w:rsidRDefault="00E73138" w:rsidP="0083259A">
            <w:pPr>
              <w:spacing w:after="0" w:line="240" w:lineRule="auto"/>
              <w:ind w:leftChars="155" w:left="341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rwTTNT</w:t>
            </w:r>
          </w:p>
        </w:tc>
        <w:tc>
          <w:tcPr>
            <w:tcW w:w="337" w:type="pct"/>
            <w:tcBorders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50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8.97 [NE, NE]</w:t>
            </w:r>
          </w:p>
        </w:tc>
        <w:tc>
          <w:tcPr>
            <w:tcW w:w="304" w:type="pct"/>
            <w:tcBorders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15</w:t>
            </w:r>
          </w:p>
        </w:tc>
        <w:tc>
          <w:tcPr>
            <w:tcW w:w="45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1.91 [1.41, NE]</w:t>
            </w:r>
          </w:p>
        </w:tc>
        <w:tc>
          <w:tcPr>
            <w:tcW w:w="358" w:type="pct"/>
            <w:tcBorders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0.068</w:t>
            </w:r>
          </w:p>
        </w:tc>
        <w:tc>
          <w:tcPr>
            <w:tcW w:w="355" w:type="pct"/>
            <w:tcBorders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71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8.98 [8.97, NE]</w:t>
            </w:r>
          </w:p>
        </w:tc>
        <w:tc>
          <w:tcPr>
            <w:tcW w:w="305" w:type="pct"/>
            <w:tcBorders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71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1.74 [1.15, NE]</w:t>
            </w:r>
          </w:p>
        </w:tc>
        <w:tc>
          <w:tcPr>
            <w:tcW w:w="328" w:type="pct"/>
            <w:tcBorders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38" w:rsidRPr="005E7567" w:rsidRDefault="00E73138" w:rsidP="0083259A">
            <w:pPr>
              <w:spacing w:after="0" w:line="240" w:lineRule="auto"/>
              <w:jc w:val="center"/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</w:pPr>
            <w:r w:rsidRPr="005E7567">
              <w:rPr>
                <w:rFonts w:ascii="Arial" w:eastAsia="Malgun Gothic" w:hAnsi="Arial" w:cs="Arial"/>
                <w:color w:val="000000"/>
                <w:sz w:val="20"/>
                <w:szCs w:val="20"/>
                <w:lang w:eastAsia="ko-KR"/>
              </w:rPr>
              <w:t>0.096</w:t>
            </w:r>
          </w:p>
        </w:tc>
      </w:tr>
    </w:tbl>
    <w:p w:rsidR="00E73138" w:rsidRPr="005E7567" w:rsidRDefault="00E73138" w:rsidP="00E73138">
      <w:pPr>
        <w:pStyle w:val="tablefootnote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E7567">
        <w:rPr>
          <w:rFonts w:ascii="Arial" w:hAnsi="Arial" w:cs="Arial"/>
          <w:sz w:val="20"/>
          <w:szCs w:val="20"/>
          <w:lang w:val="en-GB"/>
        </w:rPr>
        <w:lastRenderedPageBreak/>
        <w:t>The median values were estimated using the Kaplan-Meier method. In cases where the number of events was insufficient or the median was not reached during the study period, the median was not estimable (NE). Abbreviations: PS, propensity score; CI, confidence interval; ALBI, Albumin-Bilirubin; rwOS, Real-world Overall Survival; rwTTD, Real-world Time to Discontinuation; rwTTNT, Real-world Time to Next Treatment.</w:t>
      </w:r>
    </w:p>
    <w:p w:rsidR="00E73138" w:rsidRPr="005E7567" w:rsidRDefault="00E73138" w:rsidP="00E73138">
      <w:pPr>
        <w:pStyle w:val="tablefootnote"/>
        <w:rPr>
          <w:rFonts w:ascii="Arial" w:hAnsi="Arial" w:cs="Arial"/>
          <w:sz w:val="20"/>
          <w:szCs w:val="20"/>
          <w:lang w:val="en-GB"/>
        </w:rPr>
      </w:pPr>
    </w:p>
    <w:p w:rsidR="00E73138" w:rsidRPr="005E7567" w:rsidRDefault="00E73138" w:rsidP="00E73138">
      <w:pPr>
        <w:pStyle w:val="tabletitle"/>
        <w:rPr>
          <w:rFonts w:ascii="Arial" w:hAnsi="Arial"/>
          <w:sz w:val="20"/>
          <w:szCs w:val="20"/>
        </w:rPr>
      </w:pPr>
      <w:r w:rsidRPr="005E7567">
        <w:rPr>
          <w:rFonts w:ascii="Arial" w:hAnsi="Arial"/>
          <w:b/>
          <w:bCs/>
          <w:sz w:val="20"/>
          <w:szCs w:val="20"/>
        </w:rPr>
        <w:t xml:space="preserve">Supplementary Table </w:t>
      </w:r>
      <w:r w:rsidRPr="005E7567">
        <w:rPr>
          <w:rFonts w:ascii="Arial" w:hAnsi="Arial"/>
          <w:b/>
          <w:bCs/>
          <w:sz w:val="20"/>
          <w:szCs w:val="20"/>
        </w:rPr>
        <w:fldChar w:fldCharType="begin"/>
      </w:r>
      <w:r w:rsidRPr="005E7567">
        <w:rPr>
          <w:rFonts w:ascii="Arial" w:hAnsi="Arial"/>
          <w:b/>
          <w:bCs/>
          <w:sz w:val="20"/>
          <w:szCs w:val="20"/>
        </w:rPr>
        <w:instrText xml:space="preserve"> SEQ Supplementary_Table \* ARABIC </w:instrText>
      </w:r>
      <w:r w:rsidRPr="005E7567">
        <w:rPr>
          <w:rFonts w:ascii="Arial" w:hAnsi="Arial"/>
          <w:b/>
          <w:bCs/>
          <w:sz w:val="20"/>
          <w:szCs w:val="20"/>
        </w:rPr>
        <w:fldChar w:fldCharType="separate"/>
      </w:r>
      <w:r>
        <w:rPr>
          <w:rFonts w:ascii="Arial" w:hAnsi="Arial"/>
          <w:b/>
          <w:bCs/>
          <w:noProof/>
          <w:sz w:val="20"/>
          <w:szCs w:val="20"/>
        </w:rPr>
        <w:t>2</w:t>
      </w:r>
      <w:r w:rsidRPr="005E7567">
        <w:rPr>
          <w:rFonts w:ascii="Arial" w:hAnsi="Arial"/>
          <w:b/>
          <w:bCs/>
          <w:sz w:val="20"/>
          <w:szCs w:val="20"/>
        </w:rPr>
        <w:fldChar w:fldCharType="end"/>
      </w:r>
      <w:r w:rsidRPr="005E7567">
        <w:rPr>
          <w:rFonts w:ascii="Arial" w:hAnsi="Arial"/>
          <w:b/>
          <w:bCs/>
          <w:sz w:val="20"/>
          <w:szCs w:val="20"/>
        </w:rPr>
        <w:t>.</w:t>
      </w:r>
      <w:r w:rsidRPr="005E7567">
        <w:rPr>
          <w:rFonts w:ascii="Arial" w:hAnsi="Arial"/>
          <w:sz w:val="20"/>
          <w:szCs w:val="20"/>
        </w:rPr>
        <w:t xml:space="preserve"> Subsequent treatment modalities after discontinuation of second line systemic anti-cancer therapy</w:t>
      </w:r>
    </w:p>
    <w:tbl>
      <w:tblPr>
        <w:tblStyle w:val="TableGrid1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37"/>
        <w:gridCol w:w="2948"/>
        <w:gridCol w:w="2873"/>
      </w:tblGrid>
      <w:tr w:rsidR="00E73138" w:rsidRPr="005E7567" w:rsidTr="008325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29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73138" w:rsidRPr="005E7567" w:rsidRDefault="00E73138" w:rsidP="0083259A">
            <w:pPr>
              <w:ind w:firstLineChars="100" w:firstLine="200"/>
              <w:rPr>
                <w:rFonts w:eastAsia="Times New Roman" w:cs="Arial"/>
                <w:color w:val="auto"/>
                <w:lang w:eastAsia="ko-KR"/>
              </w:rPr>
            </w:pPr>
          </w:p>
        </w:tc>
        <w:tc>
          <w:tcPr>
            <w:tcW w:w="105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b/>
                <w:bCs/>
                <w:lang w:eastAsia="ko-KR"/>
              </w:rPr>
            </w:pPr>
            <w:r w:rsidRPr="005E7567">
              <w:rPr>
                <w:rFonts w:eastAsia="Malgun Gothic" w:cs="Arial"/>
                <w:b/>
                <w:bCs/>
                <w:lang w:eastAsia="ko-KR"/>
              </w:rPr>
              <w:t>Lenvatinib</w:t>
            </w:r>
          </w:p>
          <w:p w:rsidR="00E73138" w:rsidRPr="005E7567" w:rsidRDefault="00E73138" w:rsidP="0083259A">
            <w:pPr>
              <w:jc w:val="center"/>
              <w:rPr>
                <w:rFonts w:eastAsia="Malgun Gothic" w:cs="Arial"/>
                <w:b/>
                <w:bCs/>
                <w:color w:val="auto"/>
                <w:lang w:eastAsia="ko-KR"/>
              </w:rPr>
            </w:pPr>
            <w:r w:rsidRPr="005E7567">
              <w:rPr>
                <w:rFonts w:eastAsia="Malgun Gothic" w:cs="Arial"/>
                <w:b/>
                <w:bCs/>
                <w:color w:val="auto"/>
                <w:lang w:eastAsia="ko-KR"/>
              </w:rPr>
              <w:t>(n=70)</w:t>
            </w: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b/>
                <w:bCs/>
                <w:lang w:eastAsia="ko-KR"/>
              </w:rPr>
            </w:pPr>
            <w:r w:rsidRPr="005E7567">
              <w:rPr>
                <w:rFonts w:eastAsia="Malgun Gothic" w:cs="Arial"/>
                <w:b/>
                <w:bCs/>
                <w:color w:val="auto"/>
                <w:lang w:eastAsia="ko-KR"/>
              </w:rPr>
              <w:t>Sorafenib</w:t>
            </w:r>
          </w:p>
          <w:p w:rsidR="00E73138" w:rsidRPr="005E7567" w:rsidRDefault="00E73138" w:rsidP="0083259A">
            <w:pPr>
              <w:jc w:val="center"/>
              <w:rPr>
                <w:rFonts w:eastAsia="Times New Roman" w:cs="Arial"/>
                <w:b/>
                <w:bCs/>
                <w:color w:val="auto"/>
                <w:lang w:eastAsia="ko-KR"/>
              </w:rPr>
            </w:pPr>
            <w:r w:rsidRPr="005E7567">
              <w:rPr>
                <w:rFonts w:eastAsia="Malgun Gothic" w:cs="Arial"/>
                <w:b/>
                <w:bCs/>
                <w:color w:val="auto"/>
                <w:lang w:eastAsia="ko-KR"/>
              </w:rPr>
              <w:t>(n=75)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tcBorders>
              <w:top w:val="single" w:sz="4" w:space="0" w:color="auto"/>
            </w:tcBorders>
            <w:noWrap/>
            <w:hideMark/>
          </w:tcPr>
          <w:p w:rsidR="00E73138" w:rsidRPr="005E7567" w:rsidRDefault="00E73138" w:rsidP="0083259A">
            <w:pPr>
              <w:ind w:firstLineChars="100" w:firstLine="200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S</w:t>
            </w:r>
            <w:r w:rsidRPr="005E7567">
              <w:rPr>
                <w:rFonts w:eastAsia="Malgun Gothic" w:cs="Arial"/>
                <w:lang w:eastAsia="ko-KR"/>
              </w:rPr>
              <w:t>ystemic anti-cancer therapy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52</w:t>
            </w:r>
            <w:r w:rsidRPr="005E7567">
              <w:rPr>
                <w:rFonts w:eastAsia="Malgun Gothic" w:cs="Arial"/>
                <w:lang w:eastAsia="ko-KR"/>
              </w:rPr>
              <w:t xml:space="preserve"> (74.28%)</w:t>
            </w:r>
          </w:p>
        </w:tc>
        <w:tc>
          <w:tcPr>
            <w:tcW w:w="1029" w:type="pct"/>
            <w:tcBorders>
              <w:top w:val="single" w:sz="4" w:space="0" w:color="auto"/>
            </w:tcBorders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60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80.00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left="314" w:firstLineChars="100" w:firstLine="200"/>
              <w:rPr>
                <w:rFonts w:eastAsia="Malgun Gothic" w:cs="Arial"/>
                <w:i/>
                <w:iCs/>
                <w:lang w:eastAsia="ko-KR"/>
              </w:rPr>
            </w:pPr>
            <w:r w:rsidRPr="005E7567">
              <w:rPr>
                <w:rFonts w:eastAsia="Times New Roman" w:cs="Arial"/>
                <w:i/>
                <w:iCs/>
                <w:lang w:eastAsia="ko-KR"/>
              </w:rPr>
              <w:t>Sorafenib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49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70.00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(0.00)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left="314" w:firstLineChars="100" w:firstLine="200"/>
              <w:rPr>
                <w:rFonts w:eastAsia="Times New Roman" w:cs="Arial"/>
                <w:i/>
                <w:iCs/>
                <w:lang w:eastAsia="ko-KR"/>
              </w:rPr>
            </w:pPr>
            <w:r w:rsidRPr="005E7567">
              <w:rPr>
                <w:rFonts w:eastAsia="Times New Roman" w:cs="Arial"/>
                <w:i/>
                <w:iCs/>
                <w:lang w:eastAsia="ko-KR"/>
              </w:rPr>
              <w:t>Nivolumab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1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1.43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8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10.67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left="314" w:firstLineChars="100" w:firstLine="200"/>
              <w:rPr>
                <w:rFonts w:eastAsia="Times New Roman" w:cs="Arial"/>
                <w:i/>
                <w:iCs/>
                <w:lang w:eastAsia="ko-KR"/>
              </w:rPr>
            </w:pPr>
            <w:r w:rsidRPr="005E7567">
              <w:rPr>
                <w:rFonts w:eastAsia="Times New Roman" w:cs="Arial"/>
                <w:i/>
                <w:iCs/>
                <w:lang w:eastAsia="ko-KR"/>
              </w:rPr>
              <w:t>Regorafenib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1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1.43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46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61.33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left="314" w:firstLineChars="100" w:firstLine="200"/>
              <w:rPr>
                <w:rFonts w:eastAsia="Times New Roman" w:cs="Arial"/>
                <w:i/>
                <w:iCs/>
                <w:lang w:eastAsia="ko-KR"/>
              </w:rPr>
            </w:pPr>
            <w:r w:rsidRPr="005E7567">
              <w:rPr>
                <w:rFonts w:eastAsia="Times New Roman" w:cs="Arial"/>
                <w:i/>
                <w:iCs/>
                <w:lang w:eastAsia="ko-KR"/>
              </w:rPr>
              <w:t>Doxorubicin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Times New Roman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1</w:t>
            </w:r>
            <w:r w:rsidRPr="005E7567">
              <w:rPr>
                <w:rFonts w:eastAsia="Malgun Gothic" w:cs="Arial"/>
                <w:lang w:eastAsia="ko-KR"/>
              </w:rPr>
              <w:t xml:space="preserve"> (1.33)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left="314" w:firstLineChars="100" w:firstLine="200"/>
              <w:rPr>
                <w:rFonts w:eastAsia="Times New Roman" w:cs="Arial"/>
                <w:i/>
                <w:iCs/>
                <w:lang w:eastAsia="ko-KR"/>
              </w:rPr>
            </w:pPr>
            <w:r w:rsidRPr="005E7567">
              <w:rPr>
                <w:rFonts w:eastAsia="Times New Roman" w:cs="Arial"/>
                <w:i/>
                <w:iCs/>
                <w:lang w:eastAsia="ko-KR"/>
              </w:rPr>
              <w:t>Ipilimumab</w:t>
            </w:r>
            <w:r w:rsidRPr="005E7567">
              <w:rPr>
                <w:rFonts w:eastAsia="Malgun Gothic" w:cs="Arial"/>
                <w:i/>
                <w:iCs/>
                <w:lang w:eastAsia="ko-KR"/>
              </w:rPr>
              <w:t xml:space="preserve"> + </w:t>
            </w:r>
            <w:r w:rsidRPr="005E7567">
              <w:rPr>
                <w:rFonts w:eastAsia="Times New Roman" w:cs="Arial"/>
                <w:i/>
                <w:iCs/>
                <w:lang w:eastAsia="ko-KR"/>
              </w:rPr>
              <w:t>nivolumab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Times New Roman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2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2.67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left="314" w:firstLineChars="100" w:firstLine="200"/>
              <w:rPr>
                <w:rFonts w:eastAsia="Times New Roman" w:cs="Arial"/>
                <w:i/>
                <w:iCs/>
                <w:lang w:eastAsia="ko-KR"/>
              </w:rPr>
            </w:pPr>
            <w:r w:rsidRPr="005E7567">
              <w:rPr>
                <w:rFonts w:eastAsia="Times New Roman" w:cs="Arial"/>
                <w:i/>
                <w:iCs/>
                <w:lang w:eastAsia="ko-KR"/>
              </w:rPr>
              <w:t>Atezolizumab</w:t>
            </w:r>
            <w:r w:rsidRPr="005E7567">
              <w:rPr>
                <w:rFonts w:eastAsia="Malgun Gothic" w:cs="Arial"/>
                <w:i/>
                <w:iCs/>
                <w:lang w:eastAsia="ko-KR"/>
              </w:rPr>
              <w:t xml:space="preserve"> + </w:t>
            </w:r>
            <w:r w:rsidRPr="005E7567">
              <w:rPr>
                <w:rFonts w:eastAsia="Times New Roman" w:cs="Arial"/>
                <w:i/>
                <w:iCs/>
                <w:lang w:eastAsia="ko-KR"/>
              </w:rPr>
              <w:t>bevacizumab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Times New Roman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1</w:t>
            </w:r>
            <w:r w:rsidRPr="005E7567">
              <w:rPr>
                <w:rFonts w:eastAsia="Malgun Gothic" w:cs="Arial"/>
                <w:lang w:eastAsia="ko-KR"/>
              </w:rPr>
              <w:t xml:space="preserve"> (1.33)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left="314" w:firstLineChars="100" w:firstLine="200"/>
              <w:rPr>
                <w:rFonts w:eastAsia="Times New Roman" w:cs="Arial"/>
                <w:i/>
                <w:iCs/>
                <w:lang w:eastAsia="ko-KR"/>
              </w:rPr>
            </w:pPr>
            <w:r w:rsidRPr="005E7567">
              <w:rPr>
                <w:rFonts w:eastAsia="Times New Roman" w:cs="Arial"/>
                <w:i/>
                <w:iCs/>
                <w:lang w:eastAsia="ko-KR"/>
              </w:rPr>
              <w:t>Cabozantinib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Times New Roman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1</w:t>
            </w:r>
            <w:r w:rsidRPr="005E7567">
              <w:rPr>
                <w:rFonts w:eastAsia="Malgun Gothic" w:cs="Arial"/>
                <w:lang w:eastAsia="ko-KR"/>
              </w:rPr>
              <w:t xml:space="preserve"> (1.33)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left="314" w:firstLineChars="100" w:firstLine="200"/>
              <w:rPr>
                <w:rFonts w:eastAsia="Times New Roman" w:cs="Arial"/>
                <w:i/>
                <w:iCs/>
                <w:lang w:eastAsia="ko-KR"/>
              </w:rPr>
            </w:pPr>
            <w:r w:rsidRPr="005E7567">
              <w:rPr>
                <w:rFonts w:eastAsia="Times New Roman" w:cs="Arial"/>
                <w:i/>
                <w:iCs/>
                <w:lang w:eastAsia="ko-KR"/>
              </w:rPr>
              <w:t>Lenvatinib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Times New Roman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Times New Roman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1</w:t>
            </w:r>
            <w:r w:rsidRPr="005E7567">
              <w:rPr>
                <w:rFonts w:eastAsia="Malgun Gothic" w:cs="Arial"/>
                <w:lang w:eastAsia="ko-KR"/>
              </w:rPr>
              <w:t>(1.33)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left="314" w:firstLineChars="100" w:firstLine="200"/>
              <w:rPr>
                <w:rFonts w:eastAsia="Malgun Gothic" w:cs="Arial"/>
                <w:i/>
                <w:iCs/>
                <w:lang w:eastAsia="ko-KR"/>
              </w:rPr>
            </w:pPr>
            <w:r w:rsidRPr="005E7567">
              <w:rPr>
                <w:rFonts w:eastAsia="Malgun Gothic" w:cs="Arial"/>
                <w:i/>
                <w:iCs/>
                <w:lang w:eastAsia="ko-KR"/>
              </w:rPr>
              <w:t>O</w:t>
            </w:r>
            <w:r w:rsidRPr="005E7567">
              <w:rPr>
                <w:rFonts w:eastAsia="Times New Roman" w:cs="Arial"/>
                <w:i/>
                <w:iCs/>
                <w:lang w:eastAsia="ko-KR"/>
              </w:rPr>
              <w:t>thers</w:t>
            </w:r>
            <w:r w:rsidRPr="005E7567">
              <w:rPr>
                <w:rFonts w:eastAsia="Malgun Gothic" w:cs="Arial"/>
                <w:i/>
                <w:iCs/>
                <w:lang w:eastAsia="ko-KR"/>
              </w:rPr>
              <w:t xml:space="preserve"> including </w:t>
            </w:r>
            <w:r w:rsidRPr="005E7567">
              <w:rPr>
                <w:rFonts w:eastAsia="Times New Roman" w:cs="Arial"/>
                <w:i/>
                <w:iCs/>
                <w:lang w:eastAsia="ko-KR"/>
              </w:rPr>
              <w:t>clinical trial regimen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1</w:t>
            </w:r>
            <w:r w:rsidRPr="005E7567">
              <w:rPr>
                <w:rFonts w:eastAsia="Malgun Gothic" w:cs="Arial"/>
                <w:lang w:eastAsia="ko-KR"/>
              </w:rPr>
              <w:t xml:space="preserve"> (1.43)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firstLineChars="100" w:firstLine="200"/>
              <w:rPr>
                <w:rFonts w:eastAsia="Times New Roman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Hepatectomy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firstLineChars="100" w:firstLine="200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L</w:t>
            </w:r>
            <w:r w:rsidRPr="005E7567">
              <w:rPr>
                <w:rFonts w:eastAsia="Malgun Gothic" w:cs="Arial"/>
                <w:lang w:eastAsia="ko-KR"/>
              </w:rPr>
              <w:t>iver transplantation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0.00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1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1.33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firstLineChars="100" w:firstLine="200"/>
              <w:rPr>
                <w:rFonts w:eastAsia="Times New Roman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Local ablation therapy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2</w:t>
            </w:r>
            <w:r w:rsidRPr="005E7567">
              <w:rPr>
                <w:rFonts w:eastAsia="Malgun Gothic" w:cs="Arial"/>
                <w:lang w:eastAsia="ko-KR"/>
              </w:rPr>
              <w:t xml:space="preserve"> (</w:t>
            </w:r>
            <w:r w:rsidRPr="005E7567">
              <w:rPr>
                <w:rFonts w:eastAsia="Times New Roman" w:cs="Arial"/>
                <w:lang w:eastAsia="ko-KR"/>
              </w:rPr>
              <w:t>2.86</w:t>
            </w:r>
            <w:r w:rsidRPr="005E7567">
              <w:rPr>
                <w:rFonts w:eastAsia="Malgun Gothic" w:cs="Arial"/>
                <w:lang w:eastAsia="ko-KR"/>
              </w:rPr>
              <w:t>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0</w:t>
            </w:r>
            <w:r w:rsidRPr="005E7567">
              <w:rPr>
                <w:rFonts w:eastAsia="Malgun Gothic" w:cs="Arial"/>
                <w:lang w:eastAsia="ko-KR"/>
              </w:rPr>
              <w:t xml:space="preserve"> (0.00)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firstLineChars="100" w:firstLine="200"/>
              <w:rPr>
                <w:rFonts w:eastAsia="Times New Roman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Transarterial therapy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5</w:t>
            </w:r>
            <w:r w:rsidRPr="005E7567">
              <w:rPr>
                <w:rFonts w:eastAsia="Malgun Gothic" w:cs="Arial"/>
                <w:lang w:eastAsia="ko-KR"/>
              </w:rPr>
              <w:t xml:space="preserve"> (7.14)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5</w:t>
            </w:r>
            <w:r w:rsidRPr="005E7567">
              <w:rPr>
                <w:rFonts w:eastAsia="Malgun Gothic" w:cs="Arial"/>
                <w:lang w:eastAsia="ko-KR"/>
              </w:rPr>
              <w:t xml:space="preserve"> (6.67)</w:t>
            </w:r>
          </w:p>
        </w:tc>
      </w:tr>
      <w:tr w:rsidR="00E73138" w:rsidRPr="005E7567" w:rsidTr="0083259A">
        <w:trPr>
          <w:trHeight w:val="20"/>
        </w:trPr>
        <w:tc>
          <w:tcPr>
            <w:tcW w:w="2914" w:type="pct"/>
            <w:noWrap/>
            <w:hideMark/>
          </w:tcPr>
          <w:p w:rsidR="00E73138" w:rsidRPr="005E7567" w:rsidRDefault="00E73138" w:rsidP="0083259A">
            <w:pPr>
              <w:ind w:firstLineChars="100" w:firstLine="200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E</w:t>
            </w:r>
            <w:r w:rsidRPr="005E7567">
              <w:rPr>
                <w:rFonts w:eastAsia="Malgun Gothic" w:cs="Arial"/>
                <w:lang w:eastAsia="ko-KR"/>
              </w:rPr>
              <w:t>xternal beam radiation therapy</w:t>
            </w:r>
          </w:p>
        </w:tc>
        <w:tc>
          <w:tcPr>
            <w:tcW w:w="1056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11</w:t>
            </w:r>
            <w:r w:rsidRPr="005E7567">
              <w:rPr>
                <w:rFonts w:eastAsia="Malgun Gothic" w:cs="Arial"/>
                <w:lang w:eastAsia="ko-KR"/>
              </w:rPr>
              <w:t xml:space="preserve"> (15.71)</w:t>
            </w:r>
          </w:p>
        </w:tc>
        <w:tc>
          <w:tcPr>
            <w:tcW w:w="1029" w:type="pct"/>
            <w:noWrap/>
            <w:hideMark/>
          </w:tcPr>
          <w:p w:rsidR="00E73138" w:rsidRPr="005E7567" w:rsidRDefault="00E73138" w:rsidP="0083259A">
            <w:pPr>
              <w:jc w:val="center"/>
              <w:rPr>
                <w:rFonts w:eastAsia="Malgun Gothic" w:cs="Arial"/>
                <w:lang w:eastAsia="ko-KR"/>
              </w:rPr>
            </w:pPr>
            <w:r w:rsidRPr="005E7567">
              <w:rPr>
                <w:rFonts w:eastAsia="Times New Roman" w:cs="Arial"/>
                <w:lang w:eastAsia="ko-KR"/>
              </w:rPr>
              <w:t>9</w:t>
            </w:r>
            <w:r w:rsidRPr="005E7567">
              <w:rPr>
                <w:rFonts w:eastAsia="Malgun Gothic" w:cs="Arial"/>
                <w:lang w:eastAsia="ko-KR"/>
              </w:rPr>
              <w:t xml:space="preserve"> (12.00)</w:t>
            </w:r>
          </w:p>
        </w:tc>
      </w:tr>
    </w:tbl>
    <w:p w:rsidR="00E73138" w:rsidRPr="005E7567" w:rsidRDefault="00E73138" w:rsidP="00E73138">
      <w:pPr>
        <w:pStyle w:val="tablefootnote"/>
        <w:rPr>
          <w:rFonts w:ascii="Arial" w:hAnsi="Arial" w:cs="Arial"/>
          <w:sz w:val="20"/>
          <w:szCs w:val="20"/>
          <w:lang w:val="en-GB"/>
        </w:rPr>
      </w:pPr>
      <w:r w:rsidRPr="005E7567">
        <w:rPr>
          <w:rFonts w:ascii="Arial" w:hAnsi="Arial" w:cs="Arial"/>
          <w:sz w:val="20"/>
          <w:szCs w:val="20"/>
          <w:lang w:val="en-GB"/>
        </w:rPr>
        <w:t>Note: Values are presented as number of patients (%).</w:t>
      </w:r>
    </w:p>
    <w:p w:rsidR="00E73138" w:rsidRPr="005E7567" w:rsidRDefault="00E73138" w:rsidP="00E73138">
      <w:pPr>
        <w:pStyle w:val="tablefootnote"/>
        <w:rPr>
          <w:rFonts w:ascii="Arial" w:hAnsi="Arial" w:cs="Arial"/>
          <w:sz w:val="20"/>
          <w:szCs w:val="20"/>
          <w:lang w:val="en-GB"/>
        </w:rPr>
      </w:pPr>
    </w:p>
    <w:p w:rsidR="00E73138" w:rsidRDefault="00E73138" w:rsidP="00E73138">
      <w:pPr>
        <w:pStyle w:val="tablefootnote"/>
        <w:jc w:val="center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:rsidR="00E73138" w:rsidRPr="005E7567" w:rsidRDefault="00E73138" w:rsidP="00E73138">
      <w:pPr>
        <w:pStyle w:val="tablefootnote"/>
        <w:jc w:val="center"/>
        <w:rPr>
          <w:rFonts w:ascii="Arial" w:hAnsi="Arial" w:cs="Arial"/>
          <w:sz w:val="20"/>
          <w:szCs w:val="20"/>
          <w:lang w:val="en-GB"/>
        </w:rPr>
      </w:pPr>
    </w:p>
    <w:p w:rsidR="00E73138" w:rsidRPr="005E7567" w:rsidRDefault="00E73138" w:rsidP="00E73138">
      <w:pPr>
        <w:pStyle w:val="tablefootnote"/>
        <w:jc w:val="center"/>
        <w:rPr>
          <w:rFonts w:ascii="Arial" w:hAnsi="Arial" w:cs="Arial"/>
          <w:sz w:val="20"/>
          <w:szCs w:val="20"/>
        </w:rPr>
      </w:pPr>
      <w:r w:rsidRPr="005E7567">
        <w:rPr>
          <w:rFonts w:ascii="Arial" w:hAnsi="Arial" w:cs="Arial"/>
          <w:noProof/>
          <w:sz w:val="20"/>
          <w:szCs w:val="20"/>
          <w:lang w:val="en-IN" w:eastAsia="en-IN"/>
        </w:rPr>
        <w:drawing>
          <wp:inline distT="0" distB="0" distL="0" distR="0" wp14:anchorId="4A98C21D" wp14:editId="615BAA0D">
            <wp:extent cx="7251700" cy="2186821"/>
            <wp:effectExtent l="19050" t="19050" r="25400" b="23495"/>
            <wp:docPr id="293" name="Picture 29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847E27D-AB92-6C74-BA0C-EDDE63667A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Picture 29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847E27D-AB92-6C74-BA0C-EDDE63667A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433" cy="219066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73138" w:rsidRPr="005E7567" w:rsidRDefault="00E73138" w:rsidP="00E73138">
      <w:pPr>
        <w:pStyle w:val="tablefootnote"/>
        <w:jc w:val="center"/>
        <w:rPr>
          <w:rFonts w:ascii="Arial" w:eastAsia="Malgun Gothic" w:hAnsi="Arial" w:cs="Arial"/>
          <w:sz w:val="20"/>
          <w:szCs w:val="20"/>
          <w:lang w:val="en-GB"/>
        </w:rPr>
      </w:pPr>
      <w:r w:rsidRPr="005E7567">
        <w:rPr>
          <w:rFonts w:ascii="Arial" w:hAnsi="Arial" w:cs="Arial"/>
          <w:b/>
          <w:bCs/>
          <w:sz w:val="20"/>
          <w:szCs w:val="20"/>
          <w:lang w:val="en-GB"/>
        </w:rPr>
        <w:t xml:space="preserve">Supplementary Fig. </w:t>
      </w:r>
      <w:r w:rsidRPr="005E7567">
        <w:rPr>
          <w:rFonts w:ascii="Arial" w:hAnsi="Arial" w:cs="Arial"/>
          <w:b/>
          <w:bCs/>
          <w:sz w:val="20"/>
          <w:szCs w:val="20"/>
        </w:rPr>
        <w:fldChar w:fldCharType="begin"/>
      </w:r>
      <w:r w:rsidRPr="005E7567">
        <w:rPr>
          <w:rFonts w:ascii="Arial" w:hAnsi="Arial" w:cs="Arial"/>
          <w:b/>
          <w:bCs/>
          <w:sz w:val="20"/>
          <w:szCs w:val="20"/>
          <w:lang w:val="en-GB"/>
        </w:rPr>
        <w:instrText xml:space="preserve"> SEQ Supplementary_Figure \* ARABIC </w:instrText>
      </w:r>
      <w:r w:rsidRPr="005E7567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5E7567">
        <w:rPr>
          <w:rFonts w:ascii="Arial" w:hAnsi="Arial" w:cs="Arial"/>
          <w:b/>
          <w:bCs/>
          <w:noProof/>
          <w:sz w:val="20"/>
          <w:szCs w:val="20"/>
          <w:lang w:val="en-GB"/>
        </w:rPr>
        <w:t>1</w:t>
      </w:r>
      <w:r w:rsidRPr="005E7567">
        <w:rPr>
          <w:rFonts w:ascii="Arial" w:hAnsi="Arial" w:cs="Arial"/>
          <w:b/>
          <w:bCs/>
          <w:sz w:val="20"/>
          <w:szCs w:val="20"/>
        </w:rPr>
        <w:fldChar w:fldCharType="end"/>
      </w:r>
      <w:r w:rsidRPr="005E7567">
        <w:rPr>
          <w:rFonts w:ascii="Arial" w:eastAsia="Malgun Gothic" w:hAnsi="Arial" w:cs="Arial"/>
          <w:b/>
          <w:bCs/>
          <w:sz w:val="20"/>
          <w:szCs w:val="20"/>
          <w:lang w:val="en-GB"/>
        </w:rPr>
        <w:t>.</w:t>
      </w:r>
      <w:r w:rsidRPr="005E7567">
        <w:rPr>
          <w:rFonts w:ascii="Arial" w:eastAsia="Malgun Gothic" w:hAnsi="Arial" w:cs="Arial"/>
          <w:sz w:val="20"/>
          <w:szCs w:val="20"/>
          <w:lang w:val="en-GB"/>
        </w:rPr>
        <w:t xml:space="preserve"> Examples of data collection for PIVKA-II and AFP laboratory values used in </w:t>
      </w:r>
      <w:r>
        <w:rPr>
          <w:rFonts w:ascii="Arial" w:eastAsia="Malgun Gothic" w:hAnsi="Arial" w:cs="Arial" w:hint="eastAsia"/>
          <w:sz w:val="20"/>
          <w:szCs w:val="20"/>
          <w:lang w:val="en-GB"/>
        </w:rPr>
        <w:t xml:space="preserve">the exploratory </w:t>
      </w:r>
      <w:r w:rsidRPr="005E7567">
        <w:rPr>
          <w:rFonts w:ascii="Arial" w:eastAsia="Malgun Gothic" w:hAnsi="Arial" w:cs="Arial"/>
          <w:sz w:val="20"/>
          <w:szCs w:val="20"/>
          <w:lang w:val="en-GB"/>
        </w:rPr>
        <w:t>analysis.</w:t>
      </w:r>
    </w:p>
    <w:p w:rsidR="00E73138" w:rsidRPr="00647F98" w:rsidRDefault="00E73138" w:rsidP="00E73138">
      <w:pPr>
        <w:pStyle w:val="tablefootnote"/>
        <w:jc w:val="center"/>
        <w:rPr>
          <w:rFonts w:ascii="Arial" w:hAnsi="Arial" w:cs="Arial"/>
          <w:sz w:val="20"/>
          <w:szCs w:val="20"/>
          <w:lang w:val="en-GB"/>
        </w:rPr>
      </w:pPr>
    </w:p>
    <w:p w:rsidR="00E73138" w:rsidRPr="005E7567" w:rsidRDefault="00E73138" w:rsidP="00E73138">
      <w:pPr>
        <w:pStyle w:val="tablefootnote"/>
        <w:jc w:val="center"/>
        <w:rPr>
          <w:rFonts w:ascii="Arial" w:hAnsi="Arial" w:cs="Arial"/>
          <w:sz w:val="20"/>
          <w:szCs w:val="20"/>
        </w:rPr>
      </w:pPr>
      <w:bookmarkStart w:id="1" w:name="_GoBack"/>
      <w:r w:rsidRPr="005E7567">
        <w:rPr>
          <w:rFonts w:ascii="Arial" w:hAnsi="Arial" w:cs="Arial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1497948F" wp14:editId="162AF1A4">
            <wp:extent cx="6913426" cy="4689695"/>
            <wp:effectExtent l="0" t="0" r="1905" b="0"/>
            <wp:docPr id="4" name="그림 3" descr="텍스트, 스크린샷, 도표, 그래픽 디자인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9485E27-609B-3193-0F85-1CC04E105F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 descr="텍스트, 스크린샷, 도표, 그래픽 디자인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9485E27-609B-3193-0F85-1CC04E105F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" b="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952" cy="4695478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p w:rsidR="00E73138" w:rsidRPr="005E7567" w:rsidRDefault="00E73138" w:rsidP="00E73138">
      <w:pPr>
        <w:pStyle w:val="tablefootnote"/>
        <w:jc w:val="center"/>
        <w:rPr>
          <w:rFonts w:ascii="Arial" w:hAnsi="Arial" w:cs="Arial"/>
          <w:sz w:val="20"/>
          <w:szCs w:val="20"/>
          <w:lang w:val="en-GB"/>
        </w:rPr>
      </w:pPr>
      <w:r w:rsidRPr="005E7567">
        <w:rPr>
          <w:rFonts w:ascii="Arial" w:hAnsi="Arial" w:cs="Arial"/>
          <w:b/>
          <w:bCs/>
          <w:sz w:val="20"/>
          <w:szCs w:val="20"/>
          <w:lang w:val="en-GB"/>
        </w:rPr>
        <w:t xml:space="preserve">Supplementary Fig. </w:t>
      </w:r>
      <w:r w:rsidRPr="005E7567">
        <w:rPr>
          <w:rFonts w:ascii="Arial" w:hAnsi="Arial" w:cs="Arial"/>
          <w:b/>
          <w:bCs/>
          <w:sz w:val="20"/>
          <w:szCs w:val="20"/>
        </w:rPr>
        <w:fldChar w:fldCharType="begin"/>
      </w:r>
      <w:r w:rsidRPr="005E7567">
        <w:rPr>
          <w:rFonts w:ascii="Arial" w:hAnsi="Arial" w:cs="Arial"/>
          <w:b/>
          <w:bCs/>
          <w:sz w:val="20"/>
          <w:szCs w:val="20"/>
          <w:lang w:val="en-GB"/>
        </w:rPr>
        <w:instrText xml:space="preserve"> SEQ Supplementary_Figure \* ARABIC </w:instrText>
      </w:r>
      <w:r w:rsidRPr="005E7567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5E7567">
        <w:rPr>
          <w:rFonts w:ascii="Arial" w:hAnsi="Arial" w:cs="Arial"/>
          <w:b/>
          <w:bCs/>
          <w:noProof/>
          <w:sz w:val="20"/>
          <w:szCs w:val="20"/>
          <w:lang w:val="en-GB"/>
        </w:rPr>
        <w:t>2</w:t>
      </w:r>
      <w:r w:rsidRPr="005E7567">
        <w:rPr>
          <w:rFonts w:ascii="Arial" w:hAnsi="Arial" w:cs="Arial"/>
          <w:b/>
          <w:bCs/>
          <w:sz w:val="20"/>
          <w:szCs w:val="20"/>
        </w:rPr>
        <w:fldChar w:fldCharType="end"/>
      </w:r>
      <w:r w:rsidRPr="005E7567">
        <w:rPr>
          <w:rFonts w:ascii="Arial" w:eastAsia="Malgun Gothic" w:hAnsi="Arial" w:cs="Arial"/>
          <w:b/>
          <w:bCs/>
          <w:sz w:val="20"/>
          <w:szCs w:val="20"/>
          <w:lang w:val="en-GB"/>
        </w:rPr>
        <w:t>.</w:t>
      </w:r>
      <w:r w:rsidRPr="005E7567">
        <w:rPr>
          <w:rFonts w:ascii="Arial" w:eastAsia="Malgun Gothic" w:hAnsi="Arial" w:cs="Arial"/>
          <w:sz w:val="20"/>
          <w:szCs w:val="20"/>
          <w:lang w:val="en-GB"/>
        </w:rPr>
        <w:t xml:space="preserve"> </w:t>
      </w:r>
      <w:r w:rsidRPr="00EC4EAB">
        <w:rPr>
          <w:rFonts w:ascii="Arial" w:eastAsia="Malgun Gothic" w:hAnsi="Arial" w:cs="Arial"/>
          <w:sz w:val="20"/>
          <w:szCs w:val="20"/>
          <w:lang w:val="en-GB"/>
        </w:rPr>
        <w:t>Sankey diagram showing subsequent patient pathways after first-line atezolizumab plus bevacizumab, stratified by second-line treatment with lenvatinib or sorafenib. Flow widths are proportional to the number of patients moving from second-line therapy to third-line systemic anticancer therapy (SACT), lost to follow-up, or death. Among patients who proceeded to third-line SACT, the regimen pattern differed by prior second-line treatment: sorafenib was most frequently used after lenvatinib, whereas regorafenib was predominant after sorafenib. Abbreviations: FU, follow-up; LEN, lenvatinib; SACT, systemic anticancer therapy; SOR, sorafenib.</w:t>
      </w:r>
    </w:p>
    <w:p w:rsidR="00F96774" w:rsidRDefault="00F96774"/>
    <w:sectPr w:rsidR="00F96774" w:rsidSect="00E73138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20D"/>
    <w:rsid w:val="00050AAA"/>
    <w:rsid w:val="00070CFC"/>
    <w:rsid w:val="00084A54"/>
    <w:rsid w:val="000D49E7"/>
    <w:rsid w:val="000E4203"/>
    <w:rsid w:val="000F66EF"/>
    <w:rsid w:val="0010629F"/>
    <w:rsid w:val="00123890"/>
    <w:rsid w:val="001618BD"/>
    <w:rsid w:val="001646B7"/>
    <w:rsid w:val="001D157D"/>
    <w:rsid w:val="001D7ED4"/>
    <w:rsid w:val="001E13D3"/>
    <w:rsid w:val="0020350D"/>
    <w:rsid w:val="00222104"/>
    <w:rsid w:val="002328B9"/>
    <w:rsid w:val="00245781"/>
    <w:rsid w:val="002944C3"/>
    <w:rsid w:val="002D51BA"/>
    <w:rsid w:val="002E482E"/>
    <w:rsid w:val="002E76D9"/>
    <w:rsid w:val="003037CF"/>
    <w:rsid w:val="0031237E"/>
    <w:rsid w:val="00330ACB"/>
    <w:rsid w:val="00331BD4"/>
    <w:rsid w:val="00331ECC"/>
    <w:rsid w:val="00331F18"/>
    <w:rsid w:val="00370F8C"/>
    <w:rsid w:val="00383B46"/>
    <w:rsid w:val="00387346"/>
    <w:rsid w:val="003A4508"/>
    <w:rsid w:val="003E20AE"/>
    <w:rsid w:val="00411CB3"/>
    <w:rsid w:val="00421EFE"/>
    <w:rsid w:val="00433C99"/>
    <w:rsid w:val="004935AE"/>
    <w:rsid w:val="00497C78"/>
    <w:rsid w:val="004A5742"/>
    <w:rsid w:val="004E6D93"/>
    <w:rsid w:val="00506B92"/>
    <w:rsid w:val="00547A34"/>
    <w:rsid w:val="00557ED1"/>
    <w:rsid w:val="005624A7"/>
    <w:rsid w:val="00562E64"/>
    <w:rsid w:val="005875EF"/>
    <w:rsid w:val="005B5305"/>
    <w:rsid w:val="005B64EB"/>
    <w:rsid w:val="005C1C29"/>
    <w:rsid w:val="005C2702"/>
    <w:rsid w:val="005D2BEB"/>
    <w:rsid w:val="005D4EEE"/>
    <w:rsid w:val="005E520D"/>
    <w:rsid w:val="006268EC"/>
    <w:rsid w:val="00631B41"/>
    <w:rsid w:val="00646694"/>
    <w:rsid w:val="0064739A"/>
    <w:rsid w:val="006766CE"/>
    <w:rsid w:val="006A5FAF"/>
    <w:rsid w:val="006C7714"/>
    <w:rsid w:val="006F4F28"/>
    <w:rsid w:val="00701E14"/>
    <w:rsid w:val="00741812"/>
    <w:rsid w:val="00752ED9"/>
    <w:rsid w:val="00774F86"/>
    <w:rsid w:val="0078250B"/>
    <w:rsid w:val="007A090A"/>
    <w:rsid w:val="007C13CB"/>
    <w:rsid w:val="007C5E90"/>
    <w:rsid w:val="007E24D3"/>
    <w:rsid w:val="007E43E5"/>
    <w:rsid w:val="00802A48"/>
    <w:rsid w:val="008037EE"/>
    <w:rsid w:val="00803E6B"/>
    <w:rsid w:val="00843EF9"/>
    <w:rsid w:val="008518C2"/>
    <w:rsid w:val="00855FF0"/>
    <w:rsid w:val="00866A1D"/>
    <w:rsid w:val="008D700E"/>
    <w:rsid w:val="008F5522"/>
    <w:rsid w:val="009068EA"/>
    <w:rsid w:val="00940FE5"/>
    <w:rsid w:val="009477A9"/>
    <w:rsid w:val="00956E4F"/>
    <w:rsid w:val="00957155"/>
    <w:rsid w:val="00965CED"/>
    <w:rsid w:val="00974C6F"/>
    <w:rsid w:val="009D07EC"/>
    <w:rsid w:val="00A05658"/>
    <w:rsid w:val="00A35BF6"/>
    <w:rsid w:val="00A375E5"/>
    <w:rsid w:val="00A74580"/>
    <w:rsid w:val="00AC0045"/>
    <w:rsid w:val="00AE08CA"/>
    <w:rsid w:val="00AE1C43"/>
    <w:rsid w:val="00AE7A5F"/>
    <w:rsid w:val="00B03ED0"/>
    <w:rsid w:val="00B059A7"/>
    <w:rsid w:val="00B16A6B"/>
    <w:rsid w:val="00B305E6"/>
    <w:rsid w:val="00B40FCD"/>
    <w:rsid w:val="00B51EE9"/>
    <w:rsid w:val="00B73446"/>
    <w:rsid w:val="00B74C29"/>
    <w:rsid w:val="00B94D7B"/>
    <w:rsid w:val="00C06733"/>
    <w:rsid w:val="00C43EE6"/>
    <w:rsid w:val="00C462C0"/>
    <w:rsid w:val="00C51B90"/>
    <w:rsid w:val="00C52C18"/>
    <w:rsid w:val="00C54BFD"/>
    <w:rsid w:val="00C75C51"/>
    <w:rsid w:val="00C83408"/>
    <w:rsid w:val="00C96F7D"/>
    <w:rsid w:val="00CA4651"/>
    <w:rsid w:val="00CB0CBE"/>
    <w:rsid w:val="00CE09BC"/>
    <w:rsid w:val="00CE3776"/>
    <w:rsid w:val="00CF660C"/>
    <w:rsid w:val="00CF7E3E"/>
    <w:rsid w:val="00D14C42"/>
    <w:rsid w:val="00D16686"/>
    <w:rsid w:val="00D235C0"/>
    <w:rsid w:val="00D67DF3"/>
    <w:rsid w:val="00DC0F0A"/>
    <w:rsid w:val="00DE6A3E"/>
    <w:rsid w:val="00DF759E"/>
    <w:rsid w:val="00E11A4C"/>
    <w:rsid w:val="00E3031D"/>
    <w:rsid w:val="00E33330"/>
    <w:rsid w:val="00E343CA"/>
    <w:rsid w:val="00E4242C"/>
    <w:rsid w:val="00E53BBF"/>
    <w:rsid w:val="00E60359"/>
    <w:rsid w:val="00E73138"/>
    <w:rsid w:val="00E75E8B"/>
    <w:rsid w:val="00EB6B79"/>
    <w:rsid w:val="00EC6C24"/>
    <w:rsid w:val="00EF1729"/>
    <w:rsid w:val="00F43B6C"/>
    <w:rsid w:val="00F479E9"/>
    <w:rsid w:val="00F61E9D"/>
    <w:rsid w:val="00F909A3"/>
    <w:rsid w:val="00F91A87"/>
    <w:rsid w:val="00F9534D"/>
    <w:rsid w:val="00F96774"/>
    <w:rsid w:val="00FD4009"/>
    <w:rsid w:val="00FE1157"/>
    <w:rsid w:val="00FE31F4"/>
    <w:rsid w:val="00FE4352"/>
    <w:rsid w:val="00FF045E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95700F-D65F-4667-8A6F-A18D4531C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E73138"/>
    <w:pPr>
      <w:spacing w:after="120" w:line="360" w:lineRule="auto"/>
      <w:outlineLvl w:val="0"/>
    </w:pPr>
    <w:rPr>
      <w:rFonts w:ascii="Times New Roman" w:eastAsia="Cambria" w:hAnsi="Times New Roman" w:cs="Times New Roman"/>
      <w:b/>
      <w:bCs/>
      <w:sz w:val="28"/>
      <w:szCs w:val="28"/>
      <w:lang w:val="en-US" w:eastAsia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E731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"/>
    <w:rsid w:val="00E73138"/>
    <w:rPr>
      <w:rFonts w:ascii="Times New Roman" w:eastAsia="Cambria" w:hAnsi="Times New Roman" w:cs="Times New Roman"/>
      <w:b/>
      <w:bCs/>
      <w:sz w:val="28"/>
      <w:szCs w:val="28"/>
      <w:lang w:val="en-US" w:eastAsia="de-CH"/>
    </w:rPr>
  </w:style>
  <w:style w:type="table" w:customStyle="1" w:styleId="TableGrid1">
    <w:name w:val="Table Grid1"/>
    <w:basedOn w:val="TableNormal"/>
    <w:next w:val="TableGrid"/>
    <w:rsid w:val="00E73138"/>
    <w:pPr>
      <w:spacing w:after="0" w:line="240" w:lineRule="auto"/>
    </w:pPr>
    <w:rPr>
      <w:rFonts w:ascii="Arial" w:eastAsia="Batang" w:hAnsi="Arial" w:cs="Geneva"/>
      <w:sz w:val="20"/>
      <w:szCs w:val="20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color w:val="333333"/>
      </w:rPr>
    </w:tblStylePr>
  </w:style>
  <w:style w:type="paragraph" w:customStyle="1" w:styleId="tabletitle">
    <w:name w:val="table title"/>
    <w:basedOn w:val="Caption"/>
    <w:link w:val="tabletitleChar"/>
    <w:qFormat/>
    <w:rsid w:val="00E73138"/>
    <w:pPr>
      <w:keepNext/>
      <w:spacing w:after="0"/>
      <w:outlineLvl w:val="8"/>
    </w:pPr>
    <w:rPr>
      <w:rFonts w:ascii="Times New Roman" w:eastAsiaTheme="minorEastAsia" w:hAnsi="Times New Roman" w:cs="Arial"/>
      <w:i w:val="0"/>
      <w:iCs w:val="0"/>
      <w:color w:val="000000"/>
      <w:lang w:val="en-US" w:eastAsia="ko-KR"/>
    </w:rPr>
  </w:style>
  <w:style w:type="character" w:customStyle="1" w:styleId="tabletitleChar">
    <w:name w:val="table title Char"/>
    <w:basedOn w:val="DefaultParagraphFont"/>
    <w:link w:val="tabletitle"/>
    <w:rsid w:val="00E73138"/>
    <w:rPr>
      <w:rFonts w:ascii="Times New Roman" w:eastAsiaTheme="minorEastAsia" w:hAnsi="Times New Roman" w:cs="Arial"/>
      <w:color w:val="000000"/>
      <w:sz w:val="18"/>
      <w:szCs w:val="18"/>
      <w:lang w:val="en-US" w:eastAsia="ko-KR"/>
    </w:rPr>
  </w:style>
  <w:style w:type="paragraph" w:customStyle="1" w:styleId="tablefootnote">
    <w:name w:val="table_footnote"/>
    <w:basedOn w:val="BodyText"/>
    <w:link w:val="tablefootnoteChar"/>
    <w:qFormat/>
    <w:rsid w:val="00E73138"/>
    <w:pPr>
      <w:spacing w:after="0" w:line="240" w:lineRule="auto"/>
    </w:pPr>
    <w:rPr>
      <w:rFonts w:ascii="Times New Roman" w:eastAsia="Batang" w:hAnsi="Times New Roman" w:cs="Times New Roman"/>
      <w:sz w:val="18"/>
      <w:szCs w:val="18"/>
      <w:lang w:val="de-CH" w:eastAsia="ko-KR"/>
    </w:rPr>
  </w:style>
  <w:style w:type="character" w:customStyle="1" w:styleId="tablefootnoteChar">
    <w:name w:val="table_footnote Char"/>
    <w:basedOn w:val="DefaultParagraphFont"/>
    <w:link w:val="tablefootnote"/>
    <w:rsid w:val="00E73138"/>
    <w:rPr>
      <w:rFonts w:ascii="Times New Roman" w:eastAsia="Batang" w:hAnsi="Times New Roman" w:cs="Times New Roman"/>
      <w:sz w:val="18"/>
      <w:szCs w:val="18"/>
      <w:lang w:val="de-CH" w:eastAsia="ko-KR"/>
    </w:rPr>
  </w:style>
  <w:style w:type="table" w:styleId="TableGrid">
    <w:name w:val="Table Grid"/>
    <w:basedOn w:val="TableNormal"/>
    <w:uiPriority w:val="39"/>
    <w:rsid w:val="00E73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E7313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E731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3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3170</Characters>
  <Application>Microsoft Office Word</Application>
  <DocSecurity>0</DocSecurity>
  <Lines>26</Lines>
  <Paragraphs>7</Paragraphs>
  <ScaleCrop>false</ScaleCrop>
  <Company>HP Inc.</Company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Thirunamakkodi</dc:creator>
  <cp:keywords/>
  <dc:description/>
  <cp:lastModifiedBy>Priyanka Thirunamakkodi</cp:lastModifiedBy>
  <cp:revision>2</cp:revision>
  <dcterms:created xsi:type="dcterms:W3CDTF">2026-08-19T11:57:00Z</dcterms:created>
  <dcterms:modified xsi:type="dcterms:W3CDTF">2026-08-19T11:57:00Z</dcterms:modified>
</cp:coreProperties>
</file>