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A26" w:rsidRPr="00462E35" w:rsidRDefault="00403A26" w:rsidP="00403A26">
      <w:pPr>
        <w:pStyle w:val="Title"/>
      </w:pPr>
      <w:r w:rsidRPr="00462E35">
        <w:t>Supplementary Materials</w:t>
      </w:r>
    </w:p>
    <w:p w:rsidR="00403A26" w:rsidRPr="00462E35" w:rsidRDefault="00403A26" w:rsidP="00403A26">
      <w:pPr>
        <w:pStyle w:val="Heading1"/>
        <w:numPr>
          <w:ilvl w:val="0"/>
          <w:numId w:val="0"/>
        </w:numPr>
        <w:ind w:left="720"/>
      </w:pPr>
      <w:r w:rsidRPr="00462E35">
        <w:t>Supplementary Figures</w:t>
      </w:r>
    </w:p>
    <w:p w:rsidR="00403A26" w:rsidRPr="00462E35" w:rsidRDefault="00403A26" w:rsidP="00403A26">
      <w:pPr>
        <w:spacing w:line="360" w:lineRule="auto"/>
        <w:ind w:firstLineChars="150" w:firstLine="330"/>
        <w:rPr>
          <w:rFonts w:eastAsia="MS Mincho" w:cs="Times New Roman"/>
          <w:szCs w:val="21"/>
        </w:rPr>
      </w:pPr>
    </w:p>
    <w:p w:rsidR="00403A26" w:rsidRPr="00462E35" w:rsidRDefault="00403A26" w:rsidP="00403A26">
      <w:pPr>
        <w:spacing w:line="360" w:lineRule="auto"/>
        <w:ind w:firstLineChars="150" w:firstLine="331"/>
        <w:rPr>
          <w:rFonts w:eastAsia="MS Mincho" w:cs="Times New Roman"/>
          <w:szCs w:val="21"/>
        </w:rPr>
      </w:pPr>
      <w:r w:rsidRPr="00462E35">
        <w:rPr>
          <w:rFonts w:eastAsia="MS Mincho" w:cs="Times New Roman"/>
          <w:b/>
          <w:szCs w:val="21"/>
        </w:rPr>
        <w:t xml:space="preserve">Figure SI-a: </w:t>
      </w:r>
      <w:r w:rsidRPr="00462E35">
        <w:rPr>
          <w:rFonts w:eastAsia="MS Mincho" w:cs="Times New Roman"/>
          <w:szCs w:val="21"/>
        </w:rPr>
        <w:t>Growth rates in IW per capita vs. HDI</w:t>
      </w:r>
    </w:p>
    <w:p w:rsidR="00403A26" w:rsidRPr="00462E35" w:rsidRDefault="00403A26" w:rsidP="00403A26">
      <w:pPr>
        <w:spacing w:line="360" w:lineRule="auto"/>
        <w:ind w:firstLineChars="150" w:firstLine="330"/>
        <w:rPr>
          <w:rFonts w:eastAsia="MS Mincho" w:cs="Times New Roman"/>
          <w:szCs w:val="21"/>
        </w:rPr>
      </w:pPr>
      <w:r w:rsidRPr="00462E35">
        <w:rPr>
          <w:rFonts w:cs="Times New Roman"/>
          <w:noProof/>
          <w:lang w:eastAsia="en-IN"/>
        </w:rPr>
        <w:drawing>
          <wp:inline distT="0" distB="0" distL="0" distR="0" wp14:anchorId="7850F64A" wp14:editId="550567E6">
            <wp:extent cx="5720316" cy="3349625"/>
            <wp:effectExtent l="0" t="0" r="0" b="3175"/>
            <wp:docPr id="1" name="Chart 5735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03A26" w:rsidRPr="00462E35" w:rsidRDefault="00403A26" w:rsidP="00403A26">
      <w:pPr>
        <w:spacing w:line="360" w:lineRule="auto"/>
        <w:ind w:firstLineChars="150" w:firstLine="331"/>
        <w:rPr>
          <w:rFonts w:eastAsia="MS Mincho" w:cs="Times New Roman"/>
          <w:szCs w:val="21"/>
        </w:rPr>
      </w:pPr>
      <w:r w:rsidRPr="00462E35">
        <w:rPr>
          <w:rFonts w:eastAsia="MS Mincho" w:cs="Times New Roman"/>
          <w:b/>
          <w:szCs w:val="21"/>
        </w:rPr>
        <w:t>Figure SI-b:</w:t>
      </w:r>
      <w:r w:rsidRPr="00462E35">
        <w:rPr>
          <w:rFonts w:eastAsia="MS Mincho" w:cs="Times New Roman"/>
          <w:szCs w:val="21"/>
        </w:rPr>
        <w:t xml:space="preserve"> Growth rates in IW per capita vs. happiness</w:t>
      </w:r>
    </w:p>
    <w:p w:rsidR="00403A26" w:rsidRPr="00462E35" w:rsidRDefault="00403A26" w:rsidP="00403A26">
      <w:pPr>
        <w:spacing w:line="360" w:lineRule="auto"/>
        <w:ind w:firstLineChars="150" w:firstLine="330"/>
        <w:rPr>
          <w:rFonts w:eastAsia="MS Mincho" w:cs="Times New Roman"/>
          <w:szCs w:val="21"/>
        </w:rPr>
      </w:pPr>
      <w:r w:rsidRPr="00462E35">
        <w:rPr>
          <w:rFonts w:cs="Times New Roman"/>
          <w:noProof/>
          <w:lang w:eastAsia="en-IN"/>
        </w:rPr>
        <w:lastRenderedPageBreak/>
        <w:drawing>
          <wp:inline distT="0" distB="0" distL="0" distR="0" wp14:anchorId="4B6FB580" wp14:editId="1792CC44">
            <wp:extent cx="5773479" cy="3538220"/>
            <wp:effectExtent l="0" t="0" r="0" b="5080"/>
            <wp:docPr id="2" name="Chart 57360">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03A26" w:rsidRPr="00462E35" w:rsidRDefault="00403A26" w:rsidP="00403A26">
      <w:pPr>
        <w:spacing w:line="360" w:lineRule="auto"/>
        <w:ind w:firstLineChars="150" w:firstLine="331"/>
        <w:rPr>
          <w:rFonts w:eastAsia="MS Mincho" w:cs="Times New Roman"/>
          <w:szCs w:val="21"/>
        </w:rPr>
      </w:pPr>
      <w:r w:rsidRPr="00462E35">
        <w:rPr>
          <w:rFonts w:eastAsia="MS Mincho" w:cs="Times New Roman"/>
          <w:b/>
          <w:szCs w:val="21"/>
        </w:rPr>
        <w:t>Figure SI-c:</w:t>
      </w:r>
      <w:r w:rsidRPr="00462E35">
        <w:rPr>
          <w:rFonts w:eastAsia="MS Mincho" w:cs="Times New Roman"/>
          <w:szCs w:val="21"/>
        </w:rPr>
        <w:t xml:space="preserve"> Growth rates in IW per capita vs. genuine savings as a share of GNI</w:t>
      </w:r>
      <w:r w:rsidRPr="00462E35">
        <w:rPr>
          <w:rStyle w:val="FootnoteReference"/>
          <w:rFonts w:eastAsia="MS Mincho" w:cs="Times New Roman"/>
          <w:szCs w:val="21"/>
        </w:rPr>
        <w:footnoteReference w:id="1"/>
      </w:r>
    </w:p>
    <w:p w:rsidR="00403A26" w:rsidRPr="00462E35" w:rsidRDefault="00403A26" w:rsidP="00403A26">
      <w:pPr>
        <w:spacing w:line="360" w:lineRule="auto"/>
        <w:ind w:firstLineChars="150" w:firstLine="330"/>
        <w:rPr>
          <w:rFonts w:eastAsia="MS Mincho" w:cs="Times New Roman"/>
          <w:szCs w:val="21"/>
        </w:rPr>
      </w:pPr>
      <w:r w:rsidRPr="00462E35">
        <w:rPr>
          <w:rFonts w:cs="Times New Roman"/>
          <w:noProof/>
          <w:lang w:eastAsia="en-IN"/>
        </w:rPr>
        <w:lastRenderedPageBreak/>
        <w:drawing>
          <wp:inline distT="0" distB="0" distL="0" distR="0" wp14:anchorId="75B2FB3B" wp14:editId="6E5CFEEA">
            <wp:extent cx="5773479" cy="3362325"/>
            <wp:effectExtent l="0" t="0" r="0" b="0"/>
            <wp:docPr id="3" name="Chart 5736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52FD4A4C-40CC-4BF6-B4AB-AB6164FA9D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3A26" w:rsidRPr="00462E35" w:rsidRDefault="00403A26" w:rsidP="00403A26">
      <w:pPr>
        <w:pStyle w:val="Heading1"/>
        <w:numPr>
          <w:ilvl w:val="0"/>
          <w:numId w:val="0"/>
        </w:numPr>
        <w:ind w:left="720"/>
      </w:pPr>
      <w:r w:rsidRPr="00462E35">
        <w:t>Supplementary Background</w:t>
      </w:r>
    </w:p>
    <w:p w:rsidR="00403A26" w:rsidRPr="00462E35" w:rsidRDefault="00403A26" w:rsidP="00403A26">
      <w:pPr>
        <w:spacing w:line="360" w:lineRule="auto"/>
        <w:rPr>
          <w:rFonts w:eastAsia="MS Mincho" w:cs="Times New Roman"/>
          <w:szCs w:val="21"/>
        </w:rPr>
      </w:pPr>
      <w:r w:rsidRPr="00462E35">
        <w:rPr>
          <w:rFonts w:eastAsia="MS Mincho" w:cs="Times New Roman"/>
          <w:szCs w:val="21"/>
        </w:rPr>
        <w:t xml:space="preserve">There has been an elusive quest to determine how we can go beyond gross domestic product (GDP) to attain a true indicator of social well-being. The well-known report by Stiglitz et al. (2009) suggested that GDP faces three challenges: conventional problems, quality of life aspects, and sustainability issues. While some have argued that GDP is problematic on many fronts, it does have its uses. It is intended to measure the value added in an economy within a period and thus to act as a proxy for the magnitude of economic activity. Here, it is important to remember that one of the fathers of GDP, Simon Kuznets, originally intended to design an index that represents welfare rather than the value added in an economy (Coyle 2015). </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 xml:space="preserve">In the vast literature of green national accounting, with reference to the long-term well-being of an economy, an adjusted index of GDP – net domestic product (NDP) – has been shown to represent human well-being fairly well (Weitzman 1976; </w:t>
      </w:r>
      <w:proofErr w:type="spellStart"/>
      <w:r w:rsidRPr="00462E35">
        <w:rPr>
          <w:rFonts w:eastAsia="MS Mincho" w:cs="Times New Roman"/>
          <w:szCs w:val="21"/>
        </w:rPr>
        <w:t>Asheim</w:t>
      </w:r>
      <w:proofErr w:type="spellEnd"/>
      <w:r w:rsidRPr="00462E35">
        <w:rPr>
          <w:rFonts w:eastAsia="MS Mincho" w:cs="Times New Roman"/>
          <w:szCs w:val="21"/>
        </w:rPr>
        <w:t xml:space="preserve"> and Weitzman 2001). NDP is computed from GDP, accounting for changes in capital assets, such as capital depreciation and natural capital depletion. </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 xml:space="preserve">In this sense, NDP goes some way toward representing human well-being. However, this adjustment is not sufficient for representing intergenerational well-being or the sustainability of an economy. In particular, NDP still includes the portion that is supposed to be allocated to current consumption, which </w:t>
      </w:r>
      <w:r w:rsidRPr="00462E35">
        <w:rPr>
          <w:rFonts w:eastAsia="MS Mincho" w:cs="Times New Roman"/>
          <w:szCs w:val="21"/>
        </w:rPr>
        <w:lastRenderedPageBreak/>
        <w:t>could incur the risk of being excessive. Excluding the value of current consumption from NDP leaves us with investment into produced, human, and natural capital – that is, an inclusive wealth index (IWI) (</w:t>
      </w:r>
      <w:proofErr w:type="spellStart"/>
      <w:r w:rsidRPr="00462E35">
        <w:rPr>
          <w:rFonts w:eastAsia="MS Mincho" w:cs="Times New Roman"/>
          <w:szCs w:val="21"/>
        </w:rPr>
        <w:t>Dasgupta</w:t>
      </w:r>
      <w:proofErr w:type="spellEnd"/>
      <w:r w:rsidRPr="00462E35">
        <w:rPr>
          <w:rFonts w:eastAsia="MS Mincho" w:cs="Times New Roman"/>
          <w:szCs w:val="21"/>
        </w:rPr>
        <w:t xml:space="preserve"> et al., 2015).</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What makes our index and the World Bank’s genuine savings distinct from GDP is obvious</w:t>
      </w:r>
      <w:r w:rsidRPr="00462E35">
        <w:rPr>
          <w:rStyle w:val="FootnoteReference"/>
        </w:rPr>
        <w:footnoteReference w:id="2"/>
      </w:r>
      <w:r w:rsidRPr="00462E35">
        <w:rPr>
          <w:rFonts w:eastAsia="MS Mincho" w:cs="Times New Roman"/>
          <w:szCs w:val="21"/>
        </w:rPr>
        <w:t>. It is calculated from stocks rather than flows, and it measures determinants, rather than constituents, of well-being (</w:t>
      </w:r>
      <w:proofErr w:type="spellStart"/>
      <w:r w:rsidRPr="00462E35">
        <w:rPr>
          <w:rFonts w:eastAsia="MS Mincho" w:cs="Times New Roman"/>
          <w:szCs w:val="21"/>
        </w:rPr>
        <w:t>Dasgupta</w:t>
      </w:r>
      <w:proofErr w:type="spellEnd"/>
      <w:r w:rsidRPr="00462E35">
        <w:rPr>
          <w:rFonts w:eastAsia="MS Mincho" w:cs="Times New Roman"/>
          <w:szCs w:val="21"/>
        </w:rPr>
        <w:t xml:space="preserve"> 2001). The latter is more a matter of subjective well-being, i.e., happiness, life satisfaction (</w:t>
      </w:r>
      <w:proofErr w:type="spellStart"/>
      <w:r w:rsidRPr="00462E35">
        <w:rPr>
          <w:rFonts w:eastAsia="MS Mincho" w:cs="Times New Roman"/>
          <w:szCs w:val="21"/>
        </w:rPr>
        <w:t>Helliwell</w:t>
      </w:r>
      <w:proofErr w:type="spellEnd"/>
      <w:r w:rsidRPr="00462E35">
        <w:rPr>
          <w:rFonts w:eastAsia="MS Mincho" w:cs="Times New Roman"/>
          <w:szCs w:val="21"/>
        </w:rPr>
        <w:t xml:space="preserve"> et al. 2017, </w:t>
      </w:r>
      <w:proofErr w:type="spellStart"/>
      <w:r w:rsidRPr="00462E35">
        <w:rPr>
          <w:rFonts w:eastAsia="MS Mincho" w:cs="Times New Roman"/>
          <w:szCs w:val="21"/>
        </w:rPr>
        <w:t>Easterlin</w:t>
      </w:r>
      <w:proofErr w:type="spellEnd"/>
      <w:r w:rsidRPr="00462E35">
        <w:rPr>
          <w:rFonts w:eastAsia="MS Mincho" w:cs="Times New Roman"/>
          <w:szCs w:val="21"/>
        </w:rPr>
        <w:t xml:space="preserve"> 2003, </w:t>
      </w:r>
      <w:proofErr w:type="spellStart"/>
      <w:r w:rsidRPr="00462E35">
        <w:rPr>
          <w:rFonts w:eastAsia="MS Mincho" w:cs="Times New Roman"/>
          <w:szCs w:val="21"/>
        </w:rPr>
        <w:t>Kahneman</w:t>
      </w:r>
      <w:proofErr w:type="spellEnd"/>
      <w:r w:rsidRPr="00462E35">
        <w:rPr>
          <w:rFonts w:eastAsia="MS Mincho" w:cs="Times New Roman"/>
          <w:szCs w:val="21"/>
        </w:rPr>
        <w:t xml:space="preserve"> et al. 2006, Layard 2005) and other objective outcomes of well-being, such as the Better Life Index (OECD 2014). The Human Development Index (United Nations Development Programme 1990-2016) is a composite index of education and health, in addition to GDP; it is a commendable innovation in that it has shifted the focus toward human capital aspects of well-being. Although its original intention was not focused on sustainability, it fails to theoretically associate the index with social well-being; natural capital is also absent, but it is an unarguably crucial component of the long-term sustainability of nations.</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 xml:space="preserve">Another strand of the literature arguing to abandon GDP for a true welfare or well-being indicator is also flourishing. </w:t>
      </w:r>
      <w:proofErr w:type="spellStart"/>
      <w:r w:rsidRPr="00462E35">
        <w:rPr>
          <w:rFonts w:eastAsia="MS Mincho" w:cs="Times New Roman"/>
          <w:szCs w:val="21"/>
        </w:rPr>
        <w:t>Fleurbaey</w:t>
      </w:r>
      <w:proofErr w:type="spellEnd"/>
      <w:r w:rsidRPr="00462E35">
        <w:rPr>
          <w:rFonts w:eastAsia="MS Mincho" w:cs="Times New Roman"/>
          <w:szCs w:val="21"/>
        </w:rPr>
        <w:t xml:space="preserve"> and </w:t>
      </w:r>
      <w:proofErr w:type="spellStart"/>
      <w:r w:rsidRPr="00462E35">
        <w:rPr>
          <w:rFonts w:eastAsia="MS Mincho" w:cs="Times New Roman"/>
          <w:szCs w:val="21"/>
        </w:rPr>
        <w:t>Gaulier</w:t>
      </w:r>
      <w:proofErr w:type="spellEnd"/>
      <w:r w:rsidRPr="00462E35">
        <w:rPr>
          <w:rFonts w:eastAsia="MS Mincho" w:cs="Times New Roman"/>
          <w:szCs w:val="21"/>
        </w:rPr>
        <w:t xml:space="preserve"> (2009) ranked OECD countries by accounting for international flows of income, </w:t>
      </w:r>
      <w:proofErr w:type="spellStart"/>
      <w:r w:rsidRPr="00462E35">
        <w:rPr>
          <w:rFonts w:eastAsia="MS Mincho" w:cs="Times New Roman"/>
          <w:szCs w:val="21"/>
        </w:rPr>
        <w:t>labor</w:t>
      </w:r>
      <w:proofErr w:type="spellEnd"/>
      <w:r w:rsidRPr="00462E35">
        <w:rPr>
          <w:rFonts w:eastAsia="MS Mincho" w:cs="Times New Roman"/>
          <w:szCs w:val="21"/>
        </w:rPr>
        <w:t xml:space="preserve">, risk of unemployment, healthy life expectancy, household demography and inequalities, along with income. In a similar vein, Jones and </w:t>
      </w:r>
      <w:proofErr w:type="spellStart"/>
      <w:r w:rsidRPr="00462E35">
        <w:rPr>
          <w:rFonts w:eastAsia="MS Mincho" w:cs="Times New Roman"/>
          <w:szCs w:val="21"/>
        </w:rPr>
        <w:t>Klenow</w:t>
      </w:r>
      <w:proofErr w:type="spellEnd"/>
      <w:r w:rsidRPr="00462E35">
        <w:rPr>
          <w:rFonts w:eastAsia="MS Mincho" w:cs="Times New Roman"/>
          <w:szCs w:val="21"/>
        </w:rPr>
        <w:t xml:space="preserve"> (2016) constructed a welfare index including consumption, leisure, mortality, and inequality fronts, and they found that these data are highly correlated with – but also deviate from – GDP per capita. The aspects that they addressed are by no means dismissible; however, our focus is more on the long-term sustainability of determinants of human well-being, which leads us to the construction of a capital-based indicator.</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 xml:space="preserve">Of course, no single index can measure every aspect of human well-being, and IWI is not an exception in this regard. Note, in particular, that our IWI says little about the extent to which </w:t>
      </w:r>
      <w:r w:rsidRPr="00462E35">
        <w:rPr>
          <w:rFonts w:eastAsia="MS Mincho" w:cs="Times New Roman"/>
          <w:i/>
          <w:szCs w:val="21"/>
        </w:rPr>
        <w:t>current</w:t>
      </w:r>
      <w:r w:rsidRPr="00462E35">
        <w:rPr>
          <w:rFonts w:eastAsia="MS Mincho" w:cs="Times New Roman"/>
          <w:szCs w:val="21"/>
        </w:rPr>
        <w:t xml:space="preserve"> well-being is achieved in practice, partly because the score of current capital stocks is not fully consumed by contemporaries and partly because IWI is by construction a determinant- or </w:t>
      </w:r>
      <w:r w:rsidRPr="00462E35">
        <w:rPr>
          <w:rFonts w:eastAsia="MS Mincho" w:cs="Times New Roman"/>
          <w:i/>
          <w:szCs w:val="21"/>
        </w:rPr>
        <w:t>opportunity</w:t>
      </w:r>
      <w:r w:rsidRPr="00462E35">
        <w:rPr>
          <w:rFonts w:eastAsia="MS Mincho" w:cs="Times New Roman"/>
          <w:szCs w:val="21"/>
        </w:rPr>
        <w:t xml:space="preserve">-based indicator. It is not meant to be something that can explain the </w:t>
      </w:r>
      <w:r w:rsidRPr="00462E35">
        <w:rPr>
          <w:rFonts w:eastAsia="MS Mincho" w:cs="Times New Roman"/>
          <w:i/>
          <w:szCs w:val="21"/>
        </w:rPr>
        <w:t>outcomes</w:t>
      </w:r>
      <w:r w:rsidRPr="00462E35">
        <w:rPr>
          <w:rFonts w:eastAsia="MS Mincho" w:cs="Times New Roman"/>
          <w:szCs w:val="21"/>
        </w:rPr>
        <w:t xml:space="preserve"> and constituents of well-being.</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lastRenderedPageBreak/>
        <w:t xml:space="preserve">In principle, IWI should include a sufficiently broad and ideally exhaustive, but not redundant, score of capital assets that is relevant to current and future human well-being. While classical economics focused on the input trio of (produced) capital, </w:t>
      </w:r>
      <w:proofErr w:type="spellStart"/>
      <w:r w:rsidRPr="00462E35">
        <w:rPr>
          <w:rFonts w:eastAsia="MS Mincho" w:cs="Times New Roman"/>
          <w:szCs w:val="21"/>
        </w:rPr>
        <w:t>labor</w:t>
      </w:r>
      <w:proofErr w:type="spellEnd"/>
      <w:r w:rsidRPr="00462E35">
        <w:rPr>
          <w:rFonts w:eastAsia="MS Mincho" w:cs="Times New Roman"/>
          <w:szCs w:val="21"/>
        </w:rPr>
        <w:t xml:space="preserve"> and land, neoclassical economics has treated capital and </w:t>
      </w:r>
      <w:proofErr w:type="spellStart"/>
      <w:r w:rsidRPr="00462E35">
        <w:rPr>
          <w:rFonts w:eastAsia="MS Mincho" w:cs="Times New Roman"/>
          <w:szCs w:val="21"/>
        </w:rPr>
        <w:t>labor</w:t>
      </w:r>
      <w:proofErr w:type="spellEnd"/>
      <w:r w:rsidRPr="00462E35">
        <w:rPr>
          <w:rFonts w:eastAsia="MS Mincho" w:cs="Times New Roman"/>
          <w:szCs w:val="21"/>
        </w:rPr>
        <w:t xml:space="preserve"> as production function. The economics of exhaustible resources include capital and non-renewable resources (</w:t>
      </w:r>
      <w:proofErr w:type="spellStart"/>
      <w:r w:rsidRPr="00462E35">
        <w:rPr>
          <w:rFonts w:eastAsia="MS Mincho" w:cs="Times New Roman"/>
          <w:szCs w:val="21"/>
        </w:rPr>
        <w:t>Dasgupta</w:t>
      </w:r>
      <w:proofErr w:type="spellEnd"/>
      <w:r w:rsidRPr="00462E35">
        <w:rPr>
          <w:rFonts w:eastAsia="MS Mincho" w:cs="Times New Roman"/>
          <w:szCs w:val="21"/>
        </w:rPr>
        <w:t xml:space="preserve"> and Heal 1974; Solow 1974). In mainstream economics, human capital – the capitalized concept of </w:t>
      </w:r>
      <w:proofErr w:type="spellStart"/>
      <w:r w:rsidRPr="00462E35">
        <w:rPr>
          <w:rFonts w:eastAsia="MS Mincho" w:cs="Times New Roman"/>
          <w:szCs w:val="21"/>
        </w:rPr>
        <w:t>labor</w:t>
      </w:r>
      <w:proofErr w:type="spellEnd"/>
      <w:r w:rsidRPr="00462E35">
        <w:rPr>
          <w:rFonts w:eastAsia="MS Mincho" w:cs="Times New Roman"/>
          <w:szCs w:val="21"/>
        </w:rPr>
        <w:t xml:space="preserve"> – has also played an important role in the decomposition of economic growth (Mankiw et al. 1992). Regarding the sustainable development of well-being, natural capital – a broader notion than natural resource stock only – should not be absent. Thus, we have come full circle to attain the ultimate set of capital stocks as productive bases: produced, human, and natural capital. </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 xml:space="preserve">Figure 1 shows how these three types of capital lead to any economy’s ultimate purpose (if it has one): social well-being. The three types of capital are inputs into the production system; thus, they are called the </w:t>
      </w:r>
      <w:r w:rsidRPr="00462E35">
        <w:rPr>
          <w:rFonts w:eastAsia="MS Mincho" w:cs="Times New Roman"/>
          <w:i/>
          <w:szCs w:val="21"/>
        </w:rPr>
        <w:t>productive base</w:t>
      </w:r>
      <w:r w:rsidRPr="00462E35">
        <w:rPr>
          <w:rFonts w:eastAsia="MS Mincho" w:cs="Times New Roman"/>
          <w:szCs w:val="21"/>
        </w:rPr>
        <w:t xml:space="preserve"> of the economy. Produced capital is the easiest to imagine; it includes roads, ports, cables, buildings, machines, equipment, and other physical infrastructures. Human capital consists of population (size and composition), the knowledge and skills acquired by education, and health (enhancing quality of life, extending life, and boosting productivity). For natural capital, the current accounting addresses sub-soil non-renewable resources, forests, and agricultural land, but it should ideally also include ecosystems in general.</w:t>
      </w:r>
    </w:p>
    <w:p w:rsidR="00403A26" w:rsidRPr="00462E35" w:rsidRDefault="00403A26" w:rsidP="00403A26">
      <w:pPr>
        <w:spacing w:line="360" w:lineRule="auto"/>
        <w:rPr>
          <w:rFonts w:eastAsia="MS Mincho" w:cs="Times New Roman"/>
          <w:szCs w:val="21"/>
        </w:rPr>
      </w:pPr>
      <w:r w:rsidRPr="00462E35">
        <w:rPr>
          <w:rFonts w:eastAsia="MS Mincho" w:cs="Times New Roman"/>
          <w:b/>
          <w:szCs w:val="21"/>
        </w:rPr>
        <w:t>Figure SII:</w:t>
      </w:r>
      <w:r w:rsidRPr="00462E35">
        <w:rPr>
          <w:rFonts w:eastAsia="MS Mincho" w:cs="Times New Roman"/>
          <w:szCs w:val="21"/>
        </w:rPr>
        <w:t xml:space="preserve"> A three-capital model of wealth creation</w:t>
      </w:r>
    </w:p>
    <w:p w:rsidR="00403A26" w:rsidRPr="00462E35" w:rsidRDefault="00403A26" w:rsidP="00403A26">
      <w:pPr>
        <w:jc w:val="center"/>
      </w:pPr>
      <w:r w:rsidRPr="00462E35">
        <w:rPr>
          <w:noProof/>
          <w:lang w:eastAsia="en-IN"/>
        </w:rPr>
        <w:lastRenderedPageBreak/>
        <w:drawing>
          <wp:inline distT="0" distB="0" distL="0" distR="0" wp14:anchorId="00AC5A36" wp14:editId="6F0D7F30">
            <wp:extent cx="3733800" cy="3500892"/>
            <wp:effectExtent l="0" t="0" r="0" b="4445"/>
            <wp:docPr id="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346953"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747846" cy="3514062"/>
                    </a:xfrm>
                    <a:prstGeom prst="rect">
                      <a:avLst/>
                    </a:prstGeom>
                    <a:noFill/>
                    <a:ln>
                      <a:noFill/>
                    </a:ln>
                  </pic:spPr>
                </pic:pic>
              </a:graphicData>
            </a:graphic>
          </wp:inline>
        </w:drawing>
      </w:r>
    </w:p>
    <w:p w:rsidR="00403A26" w:rsidRPr="00462E35" w:rsidRDefault="00403A26" w:rsidP="00403A26">
      <w:pPr>
        <w:ind w:firstLine="315"/>
      </w:pPr>
      <w:r w:rsidRPr="00462E35">
        <w:t>Source: UNU-IHDP and UNEP (2014)</w:t>
      </w:r>
    </w:p>
    <w:p w:rsidR="00403A26" w:rsidRPr="00462E35" w:rsidRDefault="00403A26" w:rsidP="00403A26">
      <w:pPr>
        <w:jc w:val="center"/>
      </w:pP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 xml:space="preserve">Along with these three familiar capital assets, our first edition (UNU-IHDP and UNEP 2012) noted that knowledge, population, institutions, and even time can be conceived as capital assets. </w:t>
      </w:r>
      <w:proofErr w:type="spellStart"/>
      <w:r w:rsidRPr="00462E35">
        <w:rPr>
          <w:rFonts w:eastAsia="MS Mincho" w:cs="Times New Roman"/>
          <w:szCs w:val="21"/>
        </w:rPr>
        <w:t>Dasgupta</w:t>
      </w:r>
      <w:proofErr w:type="spellEnd"/>
      <w:r w:rsidRPr="00462E35">
        <w:rPr>
          <w:rFonts w:eastAsia="MS Mincho" w:cs="Times New Roman"/>
          <w:szCs w:val="21"/>
        </w:rPr>
        <w:t xml:space="preserve"> (2015) called them </w:t>
      </w:r>
      <w:r w:rsidRPr="00462E35">
        <w:rPr>
          <w:rFonts w:eastAsia="MS Mincho" w:cs="Times New Roman"/>
          <w:i/>
          <w:szCs w:val="21"/>
        </w:rPr>
        <w:t>enabling assets</w:t>
      </w:r>
      <w:r w:rsidRPr="00462E35">
        <w:rPr>
          <w:rFonts w:eastAsia="MS Mincho" w:cs="Times New Roman"/>
          <w:szCs w:val="21"/>
        </w:rPr>
        <w:t xml:space="preserve"> in the sense that they enable the three capital assets to function well to improve social well-being. Formally, they could increase the shadow prices of pillar capital assets. Overall, unconventional types of capital include the following:</w:t>
      </w:r>
    </w:p>
    <w:p w:rsidR="00403A26" w:rsidRPr="00462E35" w:rsidRDefault="00403A26" w:rsidP="00403A26">
      <w:pPr>
        <w:spacing w:line="360" w:lineRule="auto"/>
        <w:rPr>
          <w:rFonts w:eastAsia="MS Mincho" w:cs="Times New Roman"/>
          <w:szCs w:val="21"/>
        </w:rPr>
      </w:pPr>
      <w:r w:rsidRPr="00462E35">
        <w:rPr>
          <w:rFonts w:eastAsia="MS Mincho" w:cs="Times New Roman"/>
          <w:szCs w:val="21"/>
        </w:rPr>
        <w:t>--institutions (property rights, firms, government, households);</w:t>
      </w:r>
    </w:p>
    <w:p w:rsidR="00403A26" w:rsidRPr="00462E35" w:rsidRDefault="00403A26" w:rsidP="00403A26">
      <w:pPr>
        <w:spacing w:line="360" w:lineRule="auto"/>
        <w:rPr>
          <w:rFonts w:eastAsia="MS Mincho" w:cs="Times New Roman"/>
          <w:szCs w:val="21"/>
        </w:rPr>
      </w:pPr>
      <w:r w:rsidRPr="00462E35">
        <w:rPr>
          <w:rFonts w:eastAsia="MS Mincho" w:cs="Times New Roman"/>
          <w:szCs w:val="21"/>
        </w:rPr>
        <w:t>--knowledge (natural laws, algorithms, theorems, cultural narratives);</w:t>
      </w:r>
    </w:p>
    <w:p w:rsidR="00403A26" w:rsidRPr="00462E35" w:rsidRDefault="00403A26" w:rsidP="00403A26">
      <w:pPr>
        <w:spacing w:line="360" w:lineRule="auto"/>
        <w:rPr>
          <w:rFonts w:eastAsia="MS Mincho" w:cs="Times New Roman"/>
          <w:szCs w:val="21"/>
        </w:rPr>
      </w:pPr>
      <w:r w:rsidRPr="00462E35">
        <w:rPr>
          <w:rFonts w:eastAsia="MS Mincho" w:cs="Times New Roman"/>
          <w:szCs w:val="21"/>
        </w:rPr>
        <w:t>--social capital (law, social norms, habitual practices); and</w:t>
      </w:r>
    </w:p>
    <w:p w:rsidR="00403A26" w:rsidRPr="00462E35" w:rsidRDefault="00403A26" w:rsidP="00403A26">
      <w:pPr>
        <w:spacing w:line="360" w:lineRule="auto"/>
        <w:rPr>
          <w:rFonts w:eastAsia="MS Mincho" w:cs="Times New Roman"/>
          <w:szCs w:val="21"/>
        </w:rPr>
      </w:pPr>
      <w:r w:rsidRPr="00462E35">
        <w:rPr>
          <w:rFonts w:eastAsia="MS Mincho" w:cs="Times New Roman"/>
          <w:szCs w:val="21"/>
        </w:rPr>
        <w:t>--time (exogenous changes experienced by society over time).</w:t>
      </w:r>
    </w:p>
    <w:p w:rsidR="00403A26" w:rsidRPr="00462E35" w:rsidRDefault="00403A26" w:rsidP="00403A26">
      <w:pPr>
        <w:spacing w:line="360" w:lineRule="auto"/>
        <w:rPr>
          <w:rFonts w:eastAsia="MS Mincho" w:cs="Times New Roman"/>
          <w:szCs w:val="21"/>
        </w:rPr>
      </w:pPr>
      <w:r w:rsidRPr="00462E35">
        <w:rPr>
          <w:rFonts w:eastAsia="MS Mincho" w:cs="Times New Roman"/>
          <w:szCs w:val="21"/>
        </w:rPr>
        <w:t xml:space="preserve">While including these capital assets would be commendable, they are currently elusive. Changing institutions reveal themselves in how they employ capital assets to improve social well-being; thus, they could be a determinant of the shadow prices of capital assets. Time as an asset represents the value of waiting, including </w:t>
      </w:r>
      <w:proofErr w:type="spellStart"/>
      <w:r w:rsidRPr="00462E35">
        <w:rPr>
          <w:rFonts w:eastAsia="MS Mincho" w:cs="Times New Roman"/>
          <w:szCs w:val="21"/>
        </w:rPr>
        <w:t>Solowian</w:t>
      </w:r>
      <w:proofErr w:type="spellEnd"/>
      <w:r w:rsidRPr="00462E35">
        <w:rPr>
          <w:rFonts w:eastAsia="MS Mincho" w:cs="Times New Roman"/>
          <w:szCs w:val="21"/>
        </w:rPr>
        <w:t xml:space="preserve"> technological progress, resource price movements, population changes, and </w:t>
      </w:r>
      <w:r w:rsidRPr="00462E35">
        <w:rPr>
          <w:rFonts w:eastAsia="MS Mincho" w:cs="Times New Roman"/>
          <w:szCs w:val="21"/>
        </w:rPr>
        <w:lastRenderedPageBreak/>
        <w:t>other exogenous shocks to the economy in question. The IWR 2014 and our edition of this IWR2017 address all of these terms in the adjustment of IWI, namely, population changes, total factor productivity (TFP), oil capital gains, and carbon damage. Thus, time as an asset is already addressed in our framework.</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 xml:space="preserve">Once we establish relevant capital assets, the output of this production process is either consumed or invested as a result of national accounting identity. Current consumption directly improves current well-being, while investment increases the accumulation of the productive base, which in turn improves future well-being. This fundamental </w:t>
      </w:r>
      <w:proofErr w:type="spellStart"/>
      <w:r w:rsidRPr="00462E35">
        <w:rPr>
          <w:rFonts w:eastAsia="MS Mincho" w:cs="Times New Roman"/>
          <w:szCs w:val="21"/>
        </w:rPr>
        <w:t>tradeoff</w:t>
      </w:r>
      <w:proofErr w:type="spellEnd"/>
      <w:r w:rsidRPr="00462E35">
        <w:rPr>
          <w:rFonts w:eastAsia="MS Mincho" w:cs="Times New Roman"/>
          <w:szCs w:val="21"/>
        </w:rPr>
        <w:t xml:space="preserve"> between consumption and investment has been a classic problem of optimal saving, dating back at least to Ramsey (1928). However, in our context of sustainable development, economies should strike a balance between consumption and investment, the latter including the degradation – negative investment – of natural capital</w:t>
      </w:r>
      <w:r w:rsidRPr="00462E35">
        <w:rPr>
          <w:rStyle w:val="FootnoteReference"/>
        </w:rPr>
        <w:footnoteReference w:id="3"/>
      </w:r>
      <w:r w:rsidRPr="00462E35">
        <w:rPr>
          <w:rFonts w:eastAsia="MS Mincho" w:cs="Times New Roman"/>
          <w:szCs w:val="21"/>
        </w:rPr>
        <w:t>.</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Some studies have suggested that there is a direct effect of capital stocks on utility, circumventing the consumption channel. For example, air pollution or climate change can cause disutility, for which increased consumption cannot be a substitute (</w:t>
      </w:r>
      <w:proofErr w:type="spellStart"/>
      <w:r w:rsidRPr="00462E35">
        <w:rPr>
          <w:rFonts w:eastAsia="MS Mincho" w:cs="Times New Roman"/>
          <w:szCs w:val="21"/>
        </w:rPr>
        <w:t>Krautkraemer</w:t>
      </w:r>
      <w:proofErr w:type="spellEnd"/>
      <w:r w:rsidRPr="00462E35">
        <w:rPr>
          <w:rFonts w:eastAsia="MS Mincho" w:cs="Times New Roman"/>
          <w:szCs w:val="21"/>
        </w:rPr>
        <w:t xml:space="preserve"> 1985; </w:t>
      </w:r>
      <w:proofErr w:type="spellStart"/>
      <w:r w:rsidRPr="00462E35">
        <w:rPr>
          <w:rFonts w:eastAsia="MS Mincho" w:cs="Times New Roman"/>
          <w:szCs w:val="21"/>
        </w:rPr>
        <w:t>Xepapadeas</w:t>
      </w:r>
      <w:proofErr w:type="spellEnd"/>
      <w:r w:rsidRPr="00462E35">
        <w:rPr>
          <w:rFonts w:eastAsia="MS Mincho" w:cs="Times New Roman"/>
          <w:szCs w:val="21"/>
        </w:rPr>
        <w:t xml:space="preserve"> 2005; </w:t>
      </w:r>
      <w:proofErr w:type="spellStart"/>
      <w:r w:rsidRPr="00462E35">
        <w:rPr>
          <w:rFonts w:eastAsia="MS Mincho" w:cs="Times New Roman"/>
          <w:szCs w:val="21"/>
        </w:rPr>
        <w:t>d’Autume</w:t>
      </w:r>
      <w:proofErr w:type="spellEnd"/>
      <w:r w:rsidRPr="00462E35">
        <w:rPr>
          <w:rFonts w:eastAsia="MS Mincho" w:cs="Times New Roman"/>
          <w:szCs w:val="21"/>
        </w:rPr>
        <w:t xml:space="preserve"> and Schubert 2008). It is not uncommon in climate change </w:t>
      </w:r>
      <w:proofErr w:type="spellStart"/>
      <w:r w:rsidRPr="00462E35">
        <w:rPr>
          <w:rFonts w:eastAsia="MS Mincho" w:cs="Times New Roman"/>
          <w:szCs w:val="21"/>
        </w:rPr>
        <w:t>modeling</w:t>
      </w:r>
      <w:proofErr w:type="spellEnd"/>
      <w:r w:rsidRPr="00462E35">
        <w:rPr>
          <w:rFonts w:eastAsia="MS Mincho" w:cs="Times New Roman"/>
          <w:szCs w:val="21"/>
        </w:rPr>
        <w:t xml:space="preserve"> to assume that climate directly affects utility (van der </w:t>
      </w:r>
      <w:proofErr w:type="spellStart"/>
      <w:r w:rsidRPr="00462E35">
        <w:rPr>
          <w:rFonts w:eastAsia="MS Mincho" w:cs="Times New Roman"/>
          <w:szCs w:val="21"/>
        </w:rPr>
        <w:t>Ploeg</w:t>
      </w:r>
      <w:proofErr w:type="spellEnd"/>
      <w:r w:rsidRPr="00462E35">
        <w:rPr>
          <w:rFonts w:eastAsia="MS Mincho" w:cs="Times New Roman"/>
          <w:szCs w:val="21"/>
        </w:rPr>
        <w:t xml:space="preserve"> and </w:t>
      </w:r>
      <w:proofErr w:type="spellStart"/>
      <w:r w:rsidRPr="00462E35">
        <w:rPr>
          <w:rFonts w:eastAsia="MS Mincho" w:cs="Times New Roman"/>
          <w:szCs w:val="21"/>
        </w:rPr>
        <w:t>Withagen</w:t>
      </w:r>
      <w:proofErr w:type="spellEnd"/>
      <w:r w:rsidRPr="00462E35">
        <w:rPr>
          <w:rFonts w:eastAsia="MS Mincho" w:cs="Times New Roman"/>
          <w:szCs w:val="21"/>
        </w:rPr>
        <w:t xml:space="preserve"> 2014). For these reasons, we present an alternative route from a productive base to welfare in Figure 1.</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 xml:space="preserve">It is of utmost importance to note that the absolute value of wealth </w:t>
      </w:r>
      <w:r w:rsidRPr="00462E35">
        <w:rPr>
          <w:rFonts w:eastAsia="MS Mincho" w:cs="Times New Roman"/>
          <w:i/>
          <w:szCs w:val="21"/>
        </w:rPr>
        <w:t>per se</w:t>
      </w:r>
      <w:r w:rsidRPr="00462E35">
        <w:rPr>
          <w:rFonts w:eastAsia="MS Mincho" w:cs="Times New Roman"/>
          <w:szCs w:val="21"/>
        </w:rPr>
        <w:t xml:space="preserve"> does not indicate anything. Only the comparison of wealth across time or space (nations) can have welfare significance. </w:t>
      </w:r>
      <w:proofErr w:type="spellStart"/>
      <w:r w:rsidRPr="00462E35">
        <w:rPr>
          <w:rFonts w:eastAsia="MS Mincho" w:cs="Times New Roman"/>
          <w:szCs w:val="21"/>
        </w:rPr>
        <w:t>Asheim</w:t>
      </w:r>
      <w:proofErr w:type="spellEnd"/>
      <w:r w:rsidRPr="00462E35">
        <w:rPr>
          <w:rFonts w:eastAsia="MS Mincho" w:cs="Times New Roman"/>
          <w:szCs w:val="21"/>
        </w:rPr>
        <w:t xml:space="preserve"> (2010) showed that net national product (NNP) per capita can be the most appropriate index for the purpose of welfare comparisons across different countries. In any case, we must resist the temptation to compare the absolute value of inclusive wealth (per capita); our interest should lie in the </w:t>
      </w:r>
      <w:r w:rsidRPr="00462E35">
        <w:rPr>
          <w:rFonts w:eastAsia="MS Mincho" w:cs="Times New Roman"/>
          <w:i/>
          <w:szCs w:val="21"/>
        </w:rPr>
        <w:t>change</w:t>
      </w:r>
      <w:r w:rsidRPr="00462E35">
        <w:rPr>
          <w:rFonts w:eastAsia="MS Mincho" w:cs="Times New Roman"/>
          <w:szCs w:val="21"/>
        </w:rPr>
        <w:t xml:space="preserve"> in inclusive wealth per capita over the course of years.</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Building on our first and second editions of IWR, this year’s report features several advancements and expansions. First, our rich sample continues to track the 140-country sample of IWR2014, which is compared with 20 countries (IWR 2012). The dataset now represents the lion’s share of world GDP (56,835 billion) and of the global population (6,885 million).</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lastRenderedPageBreak/>
        <w:t>Second, the studied time period is expanded by five years to a quarter century. Specifically, our coverage is expanded to the period of 1990-2014, which provides us with a picture of the changes in capital assets over almost a generation.</w:t>
      </w:r>
    </w:p>
    <w:p w:rsidR="00403A26" w:rsidRPr="00462E35" w:rsidRDefault="00403A26" w:rsidP="00403A26">
      <w:pPr>
        <w:spacing w:line="360" w:lineRule="auto"/>
        <w:ind w:firstLineChars="150" w:firstLine="330"/>
        <w:rPr>
          <w:rFonts w:eastAsia="MS Mincho" w:cs="Times New Roman"/>
          <w:szCs w:val="21"/>
        </w:rPr>
      </w:pPr>
      <w:r w:rsidRPr="00462E35">
        <w:rPr>
          <w:rFonts w:eastAsia="MS Mincho" w:cs="Times New Roman"/>
          <w:szCs w:val="21"/>
        </w:rPr>
        <w:t>Third, our dataset of natural capital now includes one of the most significant renewable but mobile resources: fisheries. This inclusion adds to our collection of renewable resource natural capital, which already included forest resources and agricultural land in IWR2012 and 2014. IWR2012 included some discussion of the fishery resources of no more than four countries for the time period of 1990–2006, based on studies of fishery stock (the RAM Legacy Stock Assessment Database (Ricard et al. 2012)) and shadow prices (SAUP 2011). Our edition boasts a much more refined calculation of fish stocks extended for many countries.</w:t>
      </w:r>
    </w:p>
    <w:p w:rsidR="00403A26" w:rsidRPr="00462E35" w:rsidRDefault="00403A26" w:rsidP="00403A26">
      <w:pPr>
        <w:pStyle w:val="Heading1"/>
        <w:numPr>
          <w:ilvl w:val="0"/>
          <w:numId w:val="0"/>
        </w:numPr>
        <w:ind w:left="720"/>
      </w:pPr>
      <w:r w:rsidRPr="00462E35">
        <w:rPr>
          <w:szCs w:val="21"/>
        </w:rPr>
        <w:br w:type="page"/>
      </w:r>
      <w:r w:rsidRPr="00462E35">
        <w:lastRenderedPageBreak/>
        <w:t>Supplementary Method</w:t>
      </w:r>
      <w:r w:rsidRPr="00462E35">
        <w:rPr>
          <w:rStyle w:val="FootnoteReference"/>
          <w:rFonts w:cs="Times New Roman"/>
          <w:b w:val="0"/>
          <w:sz w:val="28"/>
          <w:szCs w:val="28"/>
        </w:rPr>
        <w:footnoteReference w:id="4"/>
      </w:r>
    </w:p>
    <w:p w:rsidR="00403A26" w:rsidRPr="00462E35" w:rsidRDefault="00403A26" w:rsidP="00403A26">
      <w:pPr>
        <w:pStyle w:val="ListParagraph"/>
        <w:numPr>
          <w:ilvl w:val="0"/>
          <w:numId w:val="10"/>
        </w:numPr>
        <w:spacing w:line="360" w:lineRule="auto"/>
        <w:ind w:leftChars="0"/>
        <w:rPr>
          <w:rFonts w:cs="Times New Roman"/>
          <w:szCs w:val="21"/>
        </w:rPr>
      </w:pPr>
      <w:r w:rsidRPr="00462E35">
        <w:rPr>
          <w:rFonts w:cs="Times New Roman"/>
          <w:szCs w:val="21"/>
        </w:rPr>
        <w:t>Overall framework</w:t>
      </w:r>
    </w:p>
    <w:p w:rsidR="00403A26" w:rsidRPr="00462E35" w:rsidRDefault="00403A26" w:rsidP="00403A26">
      <w:pPr>
        <w:spacing w:line="360" w:lineRule="auto"/>
        <w:rPr>
          <w:rFonts w:cs="Times New Roman"/>
          <w:szCs w:val="21"/>
        </w:rPr>
      </w:pPr>
      <w:r w:rsidRPr="00462E35">
        <w:rPr>
          <w:rFonts w:cs="Times New Roman"/>
          <w:szCs w:val="21"/>
        </w:rPr>
        <w:t xml:space="preserve">In this Annex, we lay out the methodology and data used for the computation of inclusive wealth shown in Chapter 1. To recap our conceptual framework, we are interested in the change in intertemporal well-being at </w:t>
      </w:r>
      <m:oMath>
        <m:r>
          <w:rPr>
            <w:rFonts w:ascii="Cambria Math" w:hAnsi="Cambria Math" w:cs="Times New Roman"/>
            <w:szCs w:val="21"/>
          </w:rPr>
          <m:t>t</m:t>
        </m:r>
      </m:oMath>
      <w:r w:rsidRPr="00462E35">
        <w:rPr>
          <w:rFonts w:cs="Times New Roman"/>
          <w:szCs w:val="21"/>
        </w:rPr>
        <w:t>:</w:t>
      </w:r>
      <w:r w:rsidRPr="00462E35">
        <w:rPr>
          <w:rFonts w:ascii="Cambria Math" w:hAnsi="Cambria Math" w:cs="Times New Roman"/>
          <w:szCs w:val="21"/>
        </w:rPr>
        <w:br/>
      </w:r>
      <m:oMathPara>
        <m:oMath>
          <m:r>
            <w:rPr>
              <w:rFonts w:ascii="Cambria Math" w:hAnsi="Cambria Math" w:cs="Times New Roman"/>
              <w:szCs w:val="21"/>
            </w:rPr>
            <m:t>V</m:t>
          </m:r>
          <m:d>
            <m:dPr>
              <m:ctrlPr>
                <w:rPr>
                  <w:rFonts w:ascii="Cambria Math" w:hAnsi="Cambria Math" w:cs="Times New Roman"/>
                  <w:i/>
                  <w:szCs w:val="21"/>
                </w:rPr>
              </m:ctrlPr>
            </m:dPr>
            <m:e>
              <m:r>
                <w:rPr>
                  <w:rFonts w:ascii="Cambria Math" w:hAnsi="Cambria Math" w:cs="Times New Roman"/>
                  <w:szCs w:val="21"/>
                </w:rPr>
                <m:t>t</m:t>
              </m:r>
            </m:e>
          </m:d>
          <m:r>
            <w:rPr>
              <w:rFonts w:ascii="Cambria Math" w:hAnsi="Cambria Math" w:cs="Times New Roman"/>
              <w:szCs w:val="21"/>
            </w:rPr>
            <m:t>=</m:t>
          </m:r>
          <m:nary>
            <m:naryPr>
              <m:ctrlPr>
                <w:rPr>
                  <w:rFonts w:ascii="Cambria Math" w:hAnsi="Cambria Math" w:cs="Times New Roman"/>
                  <w:i/>
                  <w:szCs w:val="21"/>
                </w:rPr>
              </m:ctrlPr>
            </m:naryPr>
            <m:sub>
              <m:r>
                <w:rPr>
                  <w:rFonts w:ascii="Cambria Math" w:hAnsi="Cambria Math" w:cs="Times New Roman"/>
                  <w:szCs w:val="21"/>
                </w:rPr>
                <m:t>t</m:t>
              </m:r>
            </m:sub>
            <m:sup>
              <m:r>
                <w:rPr>
                  <w:rFonts w:ascii="Cambria Math" w:hAnsi="Cambria Math" w:cs="Times New Roman"/>
                  <w:szCs w:val="21"/>
                </w:rPr>
                <m:t>∞</m:t>
              </m:r>
            </m:sup>
            <m:e>
              <m:r>
                <w:rPr>
                  <w:rFonts w:ascii="Cambria Math" w:hAnsi="Cambria Math" w:cs="Times New Roman"/>
                  <w:szCs w:val="21"/>
                </w:rPr>
                <m:t>U</m:t>
              </m:r>
              <m:d>
                <m:dPr>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C</m:t>
                      </m:r>
                    </m:e>
                    <m:sub>
                      <m:r>
                        <w:rPr>
                          <w:rFonts w:ascii="Cambria Math" w:hAnsi="Cambria Math" w:cs="Times New Roman"/>
                          <w:szCs w:val="21"/>
                        </w:rPr>
                        <m:t>τ</m:t>
                      </m:r>
                    </m:sub>
                  </m:sSub>
                </m:e>
              </m:d>
              <m:sSup>
                <m:sSupPr>
                  <m:ctrlPr>
                    <w:rPr>
                      <w:rFonts w:ascii="Cambria Math" w:hAnsi="Cambria Math" w:cs="Times New Roman"/>
                      <w:i/>
                      <w:szCs w:val="21"/>
                    </w:rPr>
                  </m:ctrlPr>
                </m:sSupPr>
                <m:e>
                  <m:r>
                    <w:rPr>
                      <w:rFonts w:ascii="Cambria Math" w:hAnsi="Cambria Math" w:cs="Times New Roman"/>
                      <w:szCs w:val="21"/>
                    </w:rPr>
                    <m:t>e</m:t>
                  </m:r>
                </m:e>
                <m:sup>
                  <m:r>
                    <w:rPr>
                      <w:rFonts w:ascii="Cambria Math" w:hAnsi="Cambria Math" w:cs="Times New Roman"/>
                      <w:szCs w:val="21"/>
                    </w:rPr>
                    <m:t>-δ</m:t>
                  </m:r>
                  <m:d>
                    <m:dPr>
                      <m:ctrlPr>
                        <w:rPr>
                          <w:rFonts w:ascii="Cambria Math" w:hAnsi="Cambria Math" w:cs="Times New Roman"/>
                          <w:i/>
                          <w:szCs w:val="21"/>
                        </w:rPr>
                      </m:ctrlPr>
                    </m:dPr>
                    <m:e>
                      <m:r>
                        <w:rPr>
                          <w:rFonts w:ascii="Cambria Math" w:hAnsi="Cambria Math" w:cs="Times New Roman"/>
                          <w:szCs w:val="21"/>
                        </w:rPr>
                        <m:t>τ-t</m:t>
                      </m:r>
                    </m:e>
                  </m:d>
                </m:sup>
              </m:sSup>
              <m:r>
                <w:rPr>
                  <w:rFonts w:ascii="Cambria Math" w:hAnsi="Cambria Math" w:cs="Times New Roman"/>
                  <w:szCs w:val="21"/>
                </w:rPr>
                <m:t>dτ</m:t>
              </m:r>
            </m:e>
          </m:nary>
          <m:r>
            <w:rPr>
              <w:rFonts w:ascii="Cambria Math" w:hAnsi="Cambria Math" w:cs="Times New Roman"/>
              <w:szCs w:val="21"/>
            </w:rPr>
            <m:t>.</m:t>
          </m:r>
        </m:oMath>
      </m:oMathPara>
    </w:p>
    <w:p w:rsidR="00403A26" w:rsidRPr="00462E35" w:rsidRDefault="00403A26" w:rsidP="00403A26">
      <w:pPr>
        <w:spacing w:line="360" w:lineRule="auto"/>
        <w:rPr>
          <w:rFonts w:cs="Times New Roman"/>
          <w:szCs w:val="21"/>
        </w:rPr>
      </w:pPr>
      <w:r w:rsidRPr="00462E35">
        <w:rPr>
          <w:rFonts w:cs="Times New Roman"/>
          <w:szCs w:val="21"/>
        </w:rPr>
        <w:t xml:space="preserve">Assuming equivalence between wealth and well-being, this is measured by wealth in practice. Denoting produced, human, and natural capital as </w:t>
      </w:r>
      <m:oMath>
        <m:r>
          <w:rPr>
            <w:rFonts w:ascii="Cambria Math" w:hAnsi="Cambria Math" w:cs="Times New Roman"/>
            <w:szCs w:val="21"/>
          </w:rPr>
          <m:t>K,H,</m:t>
        </m:r>
      </m:oMath>
      <w:r w:rsidRPr="00462E35">
        <w:rPr>
          <w:rFonts w:cs="Times New Roman"/>
          <w:szCs w:val="21"/>
        </w:rPr>
        <w:t xml:space="preserve"> and </w:t>
      </w:r>
      <m:oMath>
        <m:r>
          <w:rPr>
            <w:rFonts w:ascii="Cambria Math" w:hAnsi="Cambria Math" w:cs="Times New Roman"/>
            <w:szCs w:val="21"/>
          </w:rPr>
          <m:t>N,</m:t>
        </m:r>
      </m:oMath>
      <w:r w:rsidRPr="00462E35">
        <w:rPr>
          <w:rFonts w:cs="Times New Roman"/>
          <w:szCs w:val="21"/>
        </w:rPr>
        <w:t xml:space="preserve"> the change in inclusive wealth </w:t>
      </w:r>
      <m:oMath>
        <m:r>
          <w:rPr>
            <w:rFonts w:ascii="Cambria Math" w:hAnsi="Cambria Math" w:cs="Times New Roman"/>
            <w:szCs w:val="21"/>
          </w:rPr>
          <m:t>W</m:t>
        </m:r>
      </m:oMath>
      <w:r w:rsidRPr="00462E35">
        <w:rPr>
          <w:rFonts w:cs="Times New Roman"/>
          <w:szCs w:val="21"/>
        </w:rPr>
        <w:t xml:space="preserve"> is expressed by</w:t>
      </w:r>
    </w:p>
    <w:p w:rsidR="00403A26" w:rsidRPr="00462E35" w:rsidRDefault="00462E35" w:rsidP="00403A26">
      <w:pPr>
        <w:spacing w:line="360" w:lineRule="auto"/>
        <w:rPr>
          <w:rFonts w:cs="Times New Roman"/>
          <w:szCs w:val="21"/>
        </w:rPr>
      </w:pPr>
      <m:oMathPara>
        <m:oMath>
          <m:f>
            <m:fPr>
              <m:ctrlPr>
                <w:rPr>
                  <w:rFonts w:ascii="Cambria Math" w:hAnsi="Cambria Math" w:cs="Times New Roman"/>
                  <w:i/>
                  <w:szCs w:val="21"/>
                </w:rPr>
              </m:ctrlPr>
            </m:fPr>
            <m:num>
              <m:r>
                <w:rPr>
                  <w:rFonts w:ascii="Cambria Math" w:hAnsi="Cambria Math" w:cs="Times New Roman"/>
                  <w:szCs w:val="21"/>
                </w:rPr>
                <m:t>dW</m:t>
              </m:r>
              <m:d>
                <m:dPr>
                  <m:ctrlPr>
                    <w:rPr>
                      <w:rFonts w:ascii="Cambria Math" w:hAnsi="Cambria Math" w:cs="Times New Roman"/>
                      <w:i/>
                      <w:szCs w:val="21"/>
                    </w:rPr>
                  </m:ctrlPr>
                </m:dPr>
                <m:e>
                  <m:r>
                    <w:rPr>
                      <w:rFonts w:ascii="Cambria Math" w:hAnsi="Cambria Math" w:cs="Times New Roman"/>
                      <w:szCs w:val="21"/>
                    </w:rPr>
                    <m:t>K,H,N,t</m:t>
                  </m:r>
                </m:e>
              </m:d>
            </m:num>
            <m:den>
              <m:r>
                <w:rPr>
                  <w:rFonts w:ascii="Cambria Math" w:hAnsi="Cambria Math" w:cs="Times New Roman"/>
                  <w:szCs w:val="21"/>
                </w:rPr>
                <m:t>dt</m:t>
              </m:r>
            </m:den>
          </m:f>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K</m:t>
              </m:r>
            </m:sub>
          </m:sSub>
          <m:f>
            <m:fPr>
              <m:ctrlPr>
                <w:rPr>
                  <w:rFonts w:ascii="Cambria Math" w:hAnsi="Cambria Math" w:cs="Times New Roman"/>
                  <w:i/>
                  <w:szCs w:val="21"/>
                </w:rPr>
              </m:ctrlPr>
            </m:fPr>
            <m:num>
              <m:r>
                <w:rPr>
                  <w:rFonts w:ascii="Cambria Math" w:hAnsi="Cambria Math" w:cs="Times New Roman"/>
                  <w:szCs w:val="21"/>
                </w:rPr>
                <m:t>dK</m:t>
              </m:r>
            </m:num>
            <m:den>
              <m:r>
                <w:rPr>
                  <w:rFonts w:ascii="Cambria Math" w:hAnsi="Cambria Math" w:cs="Times New Roman"/>
                  <w:szCs w:val="21"/>
                </w:rPr>
                <m:t>dt</m:t>
              </m:r>
            </m:den>
          </m:f>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H</m:t>
              </m:r>
            </m:sub>
          </m:sSub>
          <m:f>
            <m:fPr>
              <m:ctrlPr>
                <w:rPr>
                  <w:rFonts w:ascii="Cambria Math" w:hAnsi="Cambria Math" w:cs="Times New Roman"/>
                  <w:i/>
                  <w:szCs w:val="21"/>
                </w:rPr>
              </m:ctrlPr>
            </m:fPr>
            <m:num>
              <m:r>
                <w:rPr>
                  <w:rFonts w:ascii="Cambria Math" w:hAnsi="Cambria Math" w:cs="Times New Roman"/>
                  <w:szCs w:val="21"/>
                </w:rPr>
                <m:t>dH</m:t>
              </m:r>
            </m:num>
            <m:den>
              <m:r>
                <w:rPr>
                  <w:rFonts w:ascii="Cambria Math" w:hAnsi="Cambria Math" w:cs="Times New Roman"/>
                  <w:szCs w:val="21"/>
                </w:rPr>
                <m:t>dt</m:t>
              </m:r>
            </m:den>
          </m:f>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N</m:t>
              </m:r>
            </m:sub>
          </m:sSub>
          <m:f>
            <m:fPr>
              <m:ctrlPr>
                <w:rPr>
                  <w:rFonts w:ascii="Cambria Math" w:hAnsi="Cambria Math" w:cs="Times New Roman"/>
                  <w:i/>
                  <w:szCs w:val="21"/>
                </w:rPr>
              </m:ctrlPr>
            </m:fPr>
            <m:num>
              <m:r>
                <w:rPr>
                  <w:rFonts w:ascii="Cambria Math" w:hAnsi="Cambria Math" w:cs="Times New Roman"/>
                  <w:szCs w:val="21"/>
                </w:rPr>
                <m:t>dN</m:t>
              </m:r>
            </m:num>
            <m:den>
              <m:r>
                <w:rPr>
                  <w:rFonts w:ascii="Cambria Math" w:hAnsi="Cambria Math" w:cs="Times New Roman"/>
                  <w:szCs w:val="21"/>
                </w:rPr>
                <m:t>dt</m:t>
              </m:r>
            </m:den>
          </m:f>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∂V</m:t>
              </m:r>
            </m:num>
            <m:den>
              <m:r>
                <w:rPr>
                  <w:rFonts w:ascii="Cambria Math" w:hAnsi="Cambria Math" w:cs="Times New Roman"/>
                  <w:szCs w:val="21"/>
                </w:rPr>
                <m:t>∂t</m:t>
              </m:r>
            </m:den>
          </m:f>
          <m:r>
            <m:rPr>
              <m:sty m:val="p"/>
            </m:rPr>
            <w:rPr>
              <w:rFonts w:ascii="Cambria Math" w:hAnsi="Cambria Math" w:cs="Times New Roman"/>
              <w:szCs w:val="21"/>
            </w:rPr>
            <m:t>,</m:t>
          </m:r>
        </m:oMath>
      </m:oMathPara>
    </w:p>
    <w:p w:rsidR="00403A26" w:rsidRPr="00462E35" w:rsidRDefault="00403A26" w:rsidP="00403A26">
      <w:pPr>
        <w:spacing w:line="360" w:lineRule="auto"/>
        <w:rPr>
          <w:rFonts w:cs="Times New Roman"/>
          <w:szCs w:val="21"/>
        </w:rPr>
      </w:pPr>
      <w:r w:rsidRPr="00462E35">
        <w:rPr>
          <w:rFonts w:cs="Times New Roman"/>
          <w:szCs w:val="21"/>
        </w:rPr>
        <w:t xml:space="preserve">where </w:t>
      </w: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K</m:t>
            </m:r>
          </m:sub>
        </m:sSub>
        <m:r>
          <w:rPr>
            <w:rFonts w:ascii="Cambria Math" w:hAnsi="Cambria Math" w:cs="Times New Roman"/>
            <w:szCs w:val="21"/>
          </w:rPr>
          <m:t xml:space="preserve">, </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H</m:t>
            </m:r>
          </m:sub>
        </m:sSub>
      </m:oMath>
      <w:r w:rsidRPr="00462E35">
        <w:rPr>
          <w:rFonts w:cs="Times New Roman"/>
          <w:szCs w:val="21"/>
        </w:rPr>
        <w:t xml:space="preserve"> and </w:t>
      </w: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K</m:t>
            </m:r>
          </m:sub>
        </m:sSub>
      </m:oMath>
      <w:r w:rsidRPr="00462E35">
        <w:rPr>
          <w:rFonts w:cs="Times New Roman"/>
          <w:szCs w:val="21"/>
        </w:rPr>
        <w:t xml:space="preserve"> are the marginal shadow prices of produced, human, and natural capital, respectively. They are formally defined by</w:t>
      </w:r>
    </w:p>
    <w:p w:rsidR="00403A26" w:rsidRPr="00462E35" w:rsidRDefault="00462E35" w:rsidP="00403A26">
      <w:pPr>
        <w:spacing w:line="360" w:lineRule="auto"/>
        <w:rPr>
          <w:rFonts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K</m:t>
              </m:r>
            </m:sub>
          </m:sSub>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∂V</m:t>
              </m:r>
            </m:num>
            <m:den>
              <m:r>
                <w:rPr>
                  <w:rFonts w:ascii="Cambria Math" w:hAnsi="Cambria Math" w:cs="Times New Roman"/>
                  <w:szCs w:val="21"/>
                </w:rPr>
                <m:t>∂K</m:t>
              </m:r>
            </m:den>
          </m:f>
          <m:r>
            <w:rPr>
              <w:rFonts w:ascii="Cambria Math" w:hAnsi="Cambria Math" w:cs="Times New Roman"/>
              <w:szCs w:val="21"/>
            </w:rPr>
            <m:t xml:space="preserve">, </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H</m:t>
              </m:r>
            </m:sub>
          </m:sSub>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∂V</m:t>
              </m:r>
            </m:num>
            <m:den>
              <m:r>
                <w:rPr>
                  <w:rFonts w:ascii="Cambria Math" w:hAnsi="Cambria Math" w:cs="Times New Roman"/>
                  <w:szCs w:val="21"/>
                </w:rPr>
                <m:t>∂H</m:t>
              </m:r>
            </m:den>
          </m:f>
          <m:r>
            <m:rPr>
              <m:sty m:val="p"/>
            </m:rP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N</m:t>
              </m:r>
            </m:sub>
          </m:sSub>
          <m:r>
            <w:rPr>
              <w:rFonts w:ascii="Cambria Math" w:hAnsi="Cambria Math" w:cs="Times New Roman"/>
              <w:szCs w:val="21"/>
            </w:rPr>
            <m:t>≡</m:t>
          </m:r>
          <m:f>
            <m:fPr>
              <m:ctrlPr>
                <w:rPr>
                  <w:rFonts w:ascii="Cambria Math" w:hAnsi="Cambria Math" w:cs="Times New Roman"/>
                  <w:i/>
                  <w:szCs w:val="21"/>
                </w:rPr>
              </m:ctrlPr>
            </m:fPr>
            <m:num>
              <m:r>
                <w:rPr>
                  <w:rFonts w:ascii="Cambria Math" w:hAnsi="Cambria Math" w:cs="Times New Roman"/>
                  <w:szCs w:val="21"/>
                </w:rPr>
                <m:t>∂V</m:t>
              </m:r>
            </m:num>
            <m:den>
              <m:r>
                <w:rPr>
                  <w:rFonts w:ascii="Cambria Math" w:hAnsi="Cambria Math" w:cs="Times New Roman"/>
                  <w:szCs w:val="21"/>
                </w:rPr>
                <m:t>∂N</m:t>
              </m:r>
            </m:den>
          </m:f>
          <m:r>
            <w:rPr>
              <w:rFonts w:ascii="Cambria Math" w:hAnsi="Cambria Math" w:cs="Times New Roman"/>
              <w:szCs w:val="21"/>
            </w:rPr>
            <m:t>,</m:t>
          </m:r>
        </m:oMath>
      </m:oMathPara>
    </w:p>
    <w:p w:rsidR="00403A26" w:rsidRPr="00462E35" w:rsidRDefault="00403A26" w:rsidP="00403A26">
      <w:pPr>
        <w:spacing w:line="360" w:lineRule="auto"/>
        <w:rPr>
          <w:rFonts w:cs="Times New Roman"/>
          <w:szCs w:val="21"/>
        </w:rPr>
      </w:pPr>
      <w:r w:rsidRPr="00462E35">
        <w:rPr>
          <w:rFonts w:cs="Times New Roman"/>
          <w:szCs w:val="21"/>
        </w:rPr>
        <w:t>given a forecast of how produced, human, and natural capital, as well as other flow variables, evolve in the future in the economy in question. This algorithm of mapping the initial capital stocks to future variables is called a resource allocation mechanism (</w:t>
      </w:r>
      <w:proofErr w:type="spellStart"/>
      <w:r w:rsidRPr="00462E35">
        <w:rPr>
          <w:rFonts w:cs="Times New Roman"/>
          <w:szCs w:val="21"/>
        </w:rPr>
        <w:t>Dasgupta</w:t>
      </w:r>
      <w:proofErr w:type="spellEnd"/>
      <w:r w:rsidRPr="00462E35">
        <w:rPr>
          <w:rFonts w:cs="Times New Roman"/>
          <w:szCs w:val="21"/>
        </w:rPr>
        <w:t xml:space="preserve"> and </w:t>
      </w:r>
      <w:proofErr w:type="spellStart"/>
      <w:r w:rsidRPr="00462E35">
        <w:rPr>
          <w:rFonts w:cs="Times New Roman"/>
          <w:szCs w:val="21"/>
        </w:rPr>
        <w:t>Mäler</w:t>
      </w:r>
      <w:proofErr w:type="spellEnd"/>
      <w:r w:rsidRPr="00462E35">
        <w:rPr>
          <w:rFonts w:cs="Times New Roman"/>
          <w:szCs w:val="21"/>
        </w:rPr>
        <w:t xml:space="preserve"> 2000;  Arrow et al. 2003; </w:t>
      </w:r>
      <w:proofErr w:type="spellStart"/>
      <w:r w:rsidRPr="00462E35">
        <w:rPr>
          <w:rFonts w:cs="Times New Roman"/>
          <w:szCs w:val="21"/>
        </w:rPr>
        <w:t>Fenichel</w:t>
      </w:r>
      <w:proofErr w:type="spellEnd"/>
      <w:r w:rsidRPr="00462E35">
        <w:rPr>
          <w:rFonts w:cs="Times New Roman"/>
          <w:szCs w:val="21"/>
        </w:rPr>
        <w:t xml:space="preserve"> and Abbott 2014; Hanley et al. 2015; Hamilton and </w:t>
      </w:r>
      <w:proofErr w:type="spellStart"/>
      <w:r w:rsidRPr="00462E35">
        <w:rPr>
          <w:rFonts w:cs="Times New Roman"/>
          <w:szCs w:val="21"/>
        </w:rPr>
        <w:t>Ruta</w:t>
      </w:r>
      <w:proofErr w:type="spellEnd"/>
      <w:r w:rsidRPr="00462E35">
        <w:rPr>
          <w:rFonts w:cs="Times New Roman"/>
          <w:szCs w:val="21"/>
        </w:rPr>
        <w:t xml:space="preserve"> 2017; Yamaguchi 2019). Practically, shadow prices act as a weight factor attached to each type of capital, resulting in the measure of wealth, or IWI:</w:t>
      </w:r>
    </w:p>
    <w:p w:rsidR="00403A26" w:rsidRPr="00462E35" w:rsidRDefault="00403A26" w:rsidP="00403A26">
      <w:pPr>
        <w:spacing w:line="360" w:lineRule="auto"/>
        <w:rPr>
          <w:rFonts w:cs="Times New Roman"/>
          <w:szCs w:val="21"/>
        </w:rPr>
      </w:pPr>
      <m:oMathPara>
        <m:oMath>
          <m:r>
            <w:rPr>
              <w:rFonts w:ascii="Cambria Math" w:hAnsi="Cambria Math" w:cs="Times New Roman"/>
              <w:szCs w:val="21"/>
            </w:rPr>
            <m:t>IWI=</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K</m:t>
              </m:r>
            </m:sub>
          </m:sSub>
          <m:r>
            <w:rPr>
              <w:rFonts w:ascii="Cambria Math" w:hAnsi="Cambria Math" w:cs="Times New Roman"/>
              <w:szCs w:val="21"/>
            </w:rPr>
            <m:t>K+</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H</m:t>
              </m:r>
            </m:sub>
          </m:sSub>
          <m:r>
            <w:rPr>
              <w:rFonts w:ascii="Cambria Math" w:hAnsi="Cambria Math" w:cs="Times New Roman"/>
              <w:szCs w:val="21"/>
            </w:rPr>
            <m:t>H+</m:t>
          </m:r>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N</m:t>
              </m:r>
            </m:sub>
          </m:sSub>
          <m:r>
            <w:rPr>
              <w:rFonts w:ascii="Cambria Math" w:hAnsi="Cambria Math" w:cs="Times New Roman"/>
              <w:szCs w:val="21"/>
            </w:rPr>
            <m:t>N</m:t>
          </m:r>
          <m:r>
            <m:rPr>
              <m:sty m:val="p"/>
            </m:rPr>
            <w:rPr>
              <w:rFonts w:ascii="Cambria Math" w:hAnsi="Cambria Math" w:cs="Times New Roman"/>
              <w:szCs w:val="21"/>
            </w:rPr>
            <m:t>.</m:t>
          </m:r>
        </m:oMath>
      </m:oMathPara>
    </w:p>
    <w:p w:rsidR="00403A26" w:rsidRPr="00462E35" w:rsidRDefault="00403A26" w:rsidP="00403A26">
      <w:pPr>
        <w:spacing w:line="360" w:lineRule="auto"/>
        <w:rPr>
          <w:rFonts w:cs="Times New Roman"/>
          <w:szCs w:val="21"/>
        </w:rPr>
      </w:pPr>
      <w:r w:rsidRPr="00462E35">
        <w:rPr>
          <w:rFonts w:cs="Times New Roman"/>
          <w:szCs w:val="21"/>
        </w:rPr>
        <w:t xml:space="preserve">In practice, we can use </w:t>
      </w:r>
      <m:oMath>
        <m:r>
          <w:rPr>
            <w:rFonts w:ascii="Cambria Math" w:hAnsi="Cambria Math" w:cs="Times New Roman"/>
            <w:szCs w:val="21"/>
          </w:rPr>
          <m:t>W</m:t>
        </m:r>
      </m:oMath>
      <w:r w:rsidRPr="00462E35">
        <w:rPr>
          <w:rFonts w:cs="Times New Roman"/>
          <w:szCs w:val="21"/>
        </w:rPr>
        <w:t xml:space="preserve"> and IWI interchangeably </w:t>
      </w:r>
      <w:r w:rsidRPr="00462E35">
        <w:rPr>
          <w:rFonts w:eastAsia="MS Mincho" w:cs="Times New Roman"/>
          <w:szCs w:val="21"/>
        </w:rPr>
        <w:t>only over a short period of time</w:t>
      </w:r>
      <w:r w:rsidRPr="00462E35">
        <w:rPr>
          <w:rFonts w:cs="Times New Roman"/>
          <w:szCs w:val="21"/>
        </w:rPr>
        <w:t xml:space="preserve">, although they can differ in that IWI also uses shadow prices on the margin. In addition, the unit of IWI is in dollar (monetary) terms, rather than utility units. Of course, this does not affect sustainability assessment, as the unit of accounts is a matter of convenience. </w:t>
      </w:r>
    </w:p>
    <w:p w:rsidR="00403A26" w:rsidRPr="00462E35" w:rsidRDefault="00403A26" w:rsidP="00403A26">
      <w:pPr>
        <w:spacing w:line="360" w:lineRule="auto"/>
        <w:ind w:firstLineChars="150" w:firstLine="330"/>
        <w:rPr>
          <w:rFonts w:cs="Times New Roman"/>
          <w:szCs w:val="21"/>
        </w:rPr>
      </w:pPr>
      <w:r w:rsidRPr="00462E35">
        <w:rPr>
          <w:rFonts w:cs="Times New Roman"/>
          <w:szCs w:val="21"/>
        </w:rPr>
        <w:lastRenderedPageBreak/>
        <w:t>Another point worth exploring is the effect of population. Aside from</w:t>
      </w:r>
      <w:r w:rsidRPr="00462E35">
        <w:rPr>
          <w:rFonts w:eastAsia="Yu Mincho" w:cs="Times New Roman"/>
          <w:szCs w:val="21"/>
        </w:rPr>
        <w:t xml:space="preserve"> the</w:t>
      </w:r>
      <w:r w:rsidRPr="00462E35">
        <w:rPr>
          <w:rFonts w:cs="Times New Roman"/>
          <w:szCs w:val="21"/>
        </w:rPr>
        <w:t xml:space="preserve"> simple Malthusian effect (Arrow et al. 2004; Ferreira et al. 2010), wealth per capita may not represent well-being divided by </w:t>
      </w:r>
      <w:r w:rsidRPr="00462E35">
        <w:rPr>
          <w:rFonts w:eastAsia="Yu Mincho" w:cs="Times New Roman"/>
          <w:szCs w:val="21"/>
        </w:rPr>
        <w:t xml:space="preserve">the </w:t>
      </w:r>
      <w:r w:rsidRPr="00462E35">
        <w:rPr>
          <w:rFonts w:cs="Times New Roman"/>
          <w:szCs w:val="21"/>
        </w:rPr>
        <w:t>current population (Arrow et al. 2003b). Moreover, as expounded in Arrow et al. (2012), even if we employ well-being divided by future population, i.e., adopting dynamic average utilitarianism, inclusive wealth per capita is shown to be in line with social well-being, under simple assumptions. When these assumptions do not hold, sustainability assessment may change (Yamaguchi 2018).</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0"/>
          <w:numId w:val="10"/>
        </w:numPr>
        <w:spacing w:line="360" w:lineRule="auto"/>
        <w:ind w:leftChars="0"/>
        <w:rPr>
          <w:rFonts w:cs="Times New Roman"/>
          <w:szCs w:val="21"/>
        </w:rPr>
      </w:pPr>
      <w:r w:rsidRPr="00462E35">
        <w:rPr>
          <w:rFonts w:cs="Times New Roman"/>
          <w:szCs w:val="21"/>
        </w:rPr>
        <w:t>Produced capital</w:t>
      </w:r>
    </w:p>
    <w:p w:rsidR="00403A26" w:rsidRPr="00462E35" w:rsidRDefault="00403A26" w:rsidP="00403A26">
      <w:pPr>
        <w:spacing w:line="360" w:lineRule="auto"/>
        <w:rPr>
          <w:rFonts w:cs="Times New Roman"/>
          <w:szCs w:val="21"/>
        </w:rPr>
      </w:pPr>
      <w:r w:rsidRPr="00462E35">
        <w:rPr>
          <w:rFonts w:cs="Times New Roman"/>
          <w:szCs w:val="21"/>
        </w:rPr>
        <w:t xml:space="preserve">Produced capital, also referred to as manufactured or reproducible capital, includes physical infrastructure, land, property, and facilities of private firms, houses, etc. For our calculation, we follow the method originated by </w:t>
      </w:r>
      <w:proofErr w:type="spellStart"/>
      <w:r w:rsidRPr="00462E35">
        <w:rPr>
          <w:rFonts w:cs="Times New Roman"/>
          <w:szCs w:val="21"/>
        </w:rPr>
        <w:t>Harberger</w:t>
      </w:r>
      <w:proofErr w:type="spellEnd"/>
      <w:r w:rsidRPr="00462E35">
        <w:rPr>
          <w:rFonts w:cs="Times New Roman"/>
          <w:szCs w:val="21"/>
        </w:rPr>
        <w:t xml:space="preserve"> (1978) and applied by King and Levine (1994) and </w:t>
      </w:r>
      <w:proofErr w:type="spellStart"/>
      <w:r w:rsidRPr="00462E35">
        <w:rPr>
          <w:rFonts w:cs="Times New Roman"/>
          <w:szCs w:val="21"/>
        </w:rPr>
        <w:t>Feenstra</w:t>
      </w:r>
      <w:proofErr w:type="spellEnd"/>
      <w:r w:rsidRPr="00462E35">
        <w:rPr>
          <w:rFonts w:cs="Times New Roman"/>
          <w:szCs w:val="21"/>
        </w:rPr>
        <w:t xml:space="preserve"> et al. (2015). In particular, we employ</w:t>
      </w:r>
      <w:r w:rsidRPr="00462E35">
        <w:rPr>
          <w:rFonts w:eastAsia="Yu Mincho" w:cs="Times New Roman"/>
          <w:szCs w:val="21"/>
        </w:rPr>
        <w:t xml:space="preserve"> the</w:t>
      </w:r>
      <w:r w:rsidRPr="00462E35">
        <w:rPr>
          <w:rFonts w:cs="Times New Roman"/>
          <w:szCs w:val="21"/>
        </w:rPr>
        <w:t xml:space="preserve"> perpetual inventory method (PIM), which is a simple summation of </w:t>
      </w:r>
      <w:r w:rsidRPr="00462E35">
        <w:rPr>
          <w:rFonts w:eastAsia="Yu Mincho" w:cs="Times New Roman"/>
          <w:szCs w:val="21"/>
        </w:rPr>
        <w:t xml:space="preserve">the </w:t>
      </w:r>
      <w:r w:rsidRPr="00462E35">
        <w:rPr>
          <w:rFonts w:cs="Times New Roman"/>
          <w:szCs w:val="21"/>
        </w:rPr>
        <w:t xml:space="preserve">gross investment net of depreciation that occurs in each period. One cannot keep track of investment and depreciation indefinitely into the past, so one should start from somewhere. This is called a benchmark year </w:t>
      </w:r>
      <m:oMath>
        <m:r>
          <w:rPr>
            <w:rFonts w:ascii="Cambria Math" w:hAnsi="Cambria Math" w:cs="Times New Roman"/>
            <w:szCs w:val="21"/>
          </w:rPr>
          <m:t>t=0</m:t>
        </m:r>
      </m:oMath>
      <w:r w:rsidRPr="00462E35">
        <w:rPr>
          <w:rFonts w:cs="Times New Roman"/>
          <w:szCs w:val="21"/>
        </w:rPr>
        <w:t xml:space="preserve"> (which is the year 1970), in which the initial capital stock </w:t>
      </w:r>
      <m:oMath>
        <m:r>
          <w:rPr>
            <w:rFonts w:ascii="Cambria Math" w:hAnsi="Cambria Math" w:cs="Times New Roman"/>
            <w:szCs w:val="21"/>
          </w:rPr>
          <m:t>K</m:t>
        </m:r>
        <m:d>
          <m:dPr>
            <m:ctrlPr>
              <w:rPr>
                <w:rFonts w:ascii="Cambria Math" w:hAnsi="Cambria Math" w:cs="Times New Roman"/>
                <w:i/>
                <w:iCs/>
                <w:szCs w:val="21"/>
              </w:rPr>
            </m:ctrlPr>
          </m:dPr>
          <m:e>
            <m:r>
              <w:rPr>
                <w:rFonts w:ascii="Cambria Math" w:hAnsi="Cambria Math" w:cs="Times New Roman"/>
                <w:szCs w:val="21"/>
              </w:rPr>
              <m:t>0</m:t>
            </m:r>
          </m:e>
        </m:d>
        <m:r>
          <w:rPr>
            <w:rFonts w:ascii="Cambria Math" w:hAnsi="Cambria Math" w:cs="Times New Roman"/>
            <w:szCs w:val="21"/>
          </w:rPr>
          <m:t xml:space="preserve"> </m:t>
        </m:r>
      </m:oMath>
      <w:r w:rsidRPr="00462E35">
        <w:rPr>
          <w:rFonts w:cs="Times New Roman"/>
          <w:szCs w:val="21"/>
        </w:rPr>
        <w:t xml:space="preserve">is set. Formally, produced capital stock at </w:t>
      </w:r>
      <m:oMath>
        <m:r>
          <w:rPr>
            <w:rFonts w:ascii="Cambria Math" w:hAnsi="Cambria Math" w:cs="Times New Roman"/>
            <w:szCs w:val="21"/>
          </w:rPr>
          <m:t>t</m:t>
        </m:r>
      </m:oMath>
      <w:r w:rsidRPr="00462E35">
        <w:rPr>
          <w:rFonts w:cs="Times New Roman"/>
          <w:szCs w:val="21"/>
        </w:rPr>
        <w:t xml:space="preserve"> is</w:t>
      </w:r>
    </w:p>
    <w:p w:rsidR="00403A26" w:rsidRPr="00462E35" w:rsidRDefault="00403A26" w:rsidP="00403A26">
      <w:pPr>
        <w:spacing w:line="360" w:lineRule="auto"/>
        <w:rPr>
          <w:rFonts w:cs="Times New Roman"/>
          <w:szCs w:val="21"/>
        </w:rPr>
      </w:pPr>
      <m:oMathPara>
        <m:oMath>
          <m:r>
            <w:rPr>
              <w:rFonts w:ascii="Cambria Math" w:hAnsi="Cambria Math" w:cs="Times New Roman"/>
              <w:szCs w:val="21"/>
            </w:rPr>
            <m:t>K</m:t>
          </m:r>
          <m:d>
            <m:dPr>
              <m:ctrlPr>
                <w:rPr>
                  <w:rFonts w:ascii="Cambria Math" w:hAnsi="Cambria Math" w:cs="Times New Roman"/>
                  <w:i/>
                  <w:iCs/>
                  <w:szCs w:val="21"/>
                </w:rPr>
              </m:ctrlPr>
            </m:dPr>
            <m:e>
              <m:r>
                <w:rPr>
                  <w:rFonts w:ascii="Cambria Math" w:hAnsi="Cambria Math" w:cs="Times New Roman"/>
                  <w:szCs w:val="21"/>
                </w:rPr>
                <m:t>t</m:t>
              </m:r>
            </m:e>
          </m:d>
          <m:r>
            <w:rPr>
              <w:rFonts w:ascii="Cambria Math" w:hAnsi="Cambria Math" w:cs="Times New Roman"/>
              <w:szCs w:val="21"/>
            </w:rPr>
            <m:t>=K</m:t>
          </m:r>
          <m:d>
            <m:dPr>
              <m:ctrlPr>
                <w:rPr>
                  <w:rFonts w:ascii="Cambria Math" w:hAnsi="Cambria Math" w:cs="Times New Roman"/>
                  <w:i/>
                  <w:iCs/>
                  <w:szCs w:val="21"/>
                </w:rPr>
              </m:ctrlPr>
            </m:dPr>
            <m:e>
              <m:r>
                <w:rPr>
                  <w:rFonts w:ascii="Cambria Math" w:hAnsi="Cambria Math" w:cs="Times New Roman"/>
                  <w:szCs w:val="21"/>
                </w:rPr>
                <m:t>0</m:t>
              </m:r>
            </m:e>
          </m:d>
          <m:sSup>
            <m:sSupPr>
              <m:ctrlPr>
                <w:rPr>
                  <w:rFonts w:ascii="Cambria Math" w:hAnsi="Cambria Math" w:cs="Times New Roman"/>
                  <w:i/>
                  <w:iCs/>
                  <w:szCs w:val="21"/>
                </w:rPr>
              </m:ctrlPr>
            </m:sSupPr>
            <m:e>
              <m:d>
                <m:dPr>
                  <m:ctrlPr>
                    <w:rPr>
                      <w:rFonts w:ascii="Cambria Math" w:hAnsi="Cambria Math" w:cs="Times New Roman"/>
                      <w:i/>
                      <w:iCs/>
                      <w:szCs w:val="21"/>
                    </w:rPr>
                  </m:ctrlPr>
                </m:dPr>
                <m:e>
                  <m:r>
                    <w:rPr>
                      <w:rFonts w:ascii="Cambria Math" w:hAnsi="Cambria Math" w:cs="Times New Roman"/>
                      <w:szCs w:val="21"/>
                    </w:rPr>
                    <m:t>1-δ</m:t>
                  </m:r>
                </m:e>
              </m:d>
            </m:e>
            <m:sup>
              <m:r>
                <w:rPr>
                  <w:rFonts w:ascii="Cambria Math" w:hAnsi="Cambria Math" w:cs="Times New Roman"/>
                  <w:szCs w:val="21"/>
                </w:rPr>
                <m:t>t</m:t>
              </m:r>
            </m:sup>
          </m:sSup>
          <m:r>
            <w:rPr>
              <w:rFonts w:ascii="Cambria Math" w:hAnsi="Cambria Math" w:cs="Times New Roman"/>
              <w:szCs w:val="21"/>
            </w:rPr>
            <m:t>+</m:t>
          </m:r>
          <m:nary>
            <m:naryPr>
              <m:chr m:val="∑"/>
              <m:ctrlPr>
                <w:rPr>
                  <w:rFonts w:ascii="Cambria Math" w:hAnsi="Cambria Math" w:cs="Times New Roman"/>
                  <w:i/>
                  <w:iCs/>
                  <w:szCs w:val="21"/>
                </w:rPr>
              </m:ctrlPr>
            </m:naryPr>
            <m:sub>
              <m:r>
                <w:rPr>
                  <w:rFonts w:ascii="Cambria Math" w:hAnsi="Cambria Math" w:cs="Times New Roman"/>
                  <w:szCs w:val="21"/>
                </w:rPr>
                <m:t>τ=1</m:t>
              </m:r>
            </m:sub>
            <m:sup>
              <m:r>
                <w:rPr>
                  <w:rFonts w:ascii="Cambria Math" w:hAnsi="Cambria Math" w:cs="Times New Roman"/>
                  <w:szCs w:val="21"/>
                </w:rPr>
                <m:t>t</m:t>
              </m:r>
            </m:sup>
            <m:e>
              <m:r>
                <w:rPr>
                  <w:rFonts w:ascii="Cambria Math" w:hAnsi="Cambria Math" w:cs="Times New Roman"/>
                  <w:szCs w:val="21"/>
                </w:rPr>
                <m:t>I</m:t>
              </m:r>
              <m:d>
                <m:dPr>
                  <m:ctrlPr>
                    <w:rPr>
                      <w:rFonts w:ascii="Cambria Math" w:hAnsi="Cambria Math" w:cs="Times New Roman"/>
                      <w:i/>
                      <w:iCs/>
                      <w:szCs w:val="21"/>
                    </w:rPr>
                  </m:ctrlPr>
                </m:dPr>
                <m:e>
                  <m:r>
                    <w:rPr>
                      <w:rFonts w:ascii="Cambria Math" w:hAnsi="Cambria Math" w:cs="Times New Roman"/>
                      <w:szCs w:val="21"/>
                    </w:rPr>
                    <m:t>τ</m:t>
                  </m:r>
                </m:e>
              </m:d>
              <m:sSup>
                <m:sSupPr>
                  <m:ctrlPr>
                    <w:rPr>
                      <w:rFonts w:ascii="Cambria Math" w:hAnsi="Cambria Math" w:cs="Times New Roman"/>
                      <w:i/>
                      <w:iCs/>
                      <w:szCs w:val="21"/>
                    </w:rPr>
                  </m:ctrlPr>
                </m:sSupPr>
                <m:e>
                  <m:d>
                    <m:dPr>
                      <m:ctrlPr>
                        <w:rPr>
                          <w:rFonts w:ascii="Cambria Math" w:hAnsi="Cambria Math" w:cs="Times New Roman"/>
                          <w:i/>
                          <w:iCs/>
                          <w:szCs w:val="21"/>
                        </w:rPr>
                      </m:ctrlPr>
                    </m:dPr>
                    <m:e>
                      <m:r>
                        <w:rPr>
                          <w:rFonts w:ascii="Cambria Math" w:hAnsi="Cambria Math" w:cs="Times New Roman"/>
                          <w:szCs w:val="21"/>
                        </w:rPr>
                        <m:t>1-δ</m:t>
                      </m:r>
                    </m:e>
                  </m:d>
                </m:e>
                <m:sup>
                  <m:r>
                    <w:rPr>
                      <w:rFonts w:ascii="Cambria Math" w:hAnsi="Cambria Math" w:cs="Times New Roman"/>
                      <w:szCs w:val="21"/>
                    </w:rPr>
                    <m:t>t-τ</m:t>
                  </m:r>
                </m:sup>
              </m:sSup>
            </m:e>
          </m:nary>
          <m:r>
            <w:rPr>
              <w:rFonts w:ascii="Cambria Math" w:hAnsi="Cambria Math" w:cs="Times New Roman"/>
              <w:szCs w:val="21"/>
            </w:rPr>
            <m:t>,</m:t>
          </m:r>
        </m:oMath>
      </m:oMathPara>
    </w:p>
    <w:p w:rsidR="00403A26" w:rsidRPr="00462E35" w:rsidRDefault="00403A26" w:rsidP="00403A26">
      <w:pPr>
        <w:spacing w:line="360" w:lineRule="auto"/>
        <w:rPr>
          <w:rFonts w:cs="Times New Roman"/>
          <w:iCs/>
          <w:szCs w:val="21"/>
        </w:rPr>
      </w:pPr>
      <w:r w:rsidRPr="00462E35">
        <w:rPr>
          <w:rFonts w:cs="Times New Roman"/>
          <w:szCs w:val="21"/>
        </w:rPr>
        <w:t xml:space="preserve">where </w:t>
      </w:r>
      <m:oMath>
        <m:r>
          <w:rPr>
            <w:rFonts w:ascii="Cambria Math" w:hAnsi="Cambria Math" w:cs="Times New Roman"/>
            <w:szCs w:val="21"/>
          </w:rPr>
          <m:t>I</m:t>
        </m:r>
        <m:d>
          <m:dPr>
            <m:ctrlPr>
              <w:rPr>
                <w:rFonts w:ascii="Cambria Math" w:hAnsi="Cambria Math" w:cs="Times New Roman"/>
                <w:iCs/>
                <w:szCs w:val="21"/>
              </w:rPr>
            </m:ctrlPr>
          </m:dPr>
          <m:e>
            <m:r>
              <w:rPr>
                <w:rFonts w:ascii="Cambria Math" w:hAnsi="Cambria Math" w:cs="Times New Roman"/>
                <w:szCs w:val="21"/>
              </w:rPr>
              <m:t>t</m:t>
            </m:r>
          </m:e>
        </m:d>
      </m:oMath>
      <w:r w:rsidRPr="00462E35">
        <w:rPr>
          <w:rFonts w:cs="Times New Roman"/>
          <w:szCs w:val="21"/>
        </w:rPr>
        <w:t xml:space="preserve"> and </w:t>
      </w:r>
      <m:oMath>
        <m:r>
          <m:rPr>
            <m:sty m:val="p"/>
          </m:rPr>
          <w:rPr>
            <w:rFonts w:ascii="Cambria Math" w:hAnsi="Cambria Math" w:cs="Times New Roman"/>
            <w:szCs w:val="21"/>
          </w:rPr>
          <m:t>δ</m:t>
        </m:r>
      </m:oMath>
      <w:r w:rsidRPr="00462E35">
        <w:rPr>
          <w:rFonts w:cs="Times New Roman"/>
          <w:szCs w:val="21"/>
        </w:rPr>
        <w:t xml:space="preserve"> stand for investment at </w:t>
      </w:r>
      <m:oMath>
        <m:r>
          <w:rPr>
            <w:rFonts w:ascii="Cambria Math" w:hAnsi="Cambria Math" w:cs="Times New Roman"/>
            <w:szCs w:val="21"/>
          </w:rPr>
          <m:t>t</m:t>
        </m:r>
      </m:oMath>
      <w:r w:rsidRPr="00462E35">
        <w:rPr>
          <w:rFonts w:cs="Times New Roman"/>
          <w:szCs w:val="21"/>
        </w:rPr>
        <w:t xml:space="preserve"> and depreciation rate. In our computation, the initial capital stock </w:t>
      </w:r>
      <m:oMath>
        <m:r>
          <w:rPr>
            <w:rFonts w:ascii="Cambria Math" w:hAnsi="Cambria Math" w:cs="Times New Roman"/>
            <w:szCs w:val="21"/>
          </w:rPr>
          <m:t>K</m:t>
        </m:r>
        <m:d>
          <m:dPr>
            <m:ctrlPr>
              <w:rPr>
                <w:rFonts w:ascii="Cambria Math" w:hAnsi="Cambria Math" w:cs="Times New Roman"/>
                <w:i/>
                <w:iCs/>
                <w:szCs w:val="21"/>
              </w:rPr>
            </m:ctrlPr>
          </m:dPr>
          <m:e>
            <m:r>
              <w:rPr>
                <w:rFonts w:ascii="Cambria Math" w:hAnsi="Cambria Math" w:cs="Times New Roman"/>
                <w:szCs w:val="21"/>
              </w:rPr>
              <m:t>0</m:t>
            </m:r>
          </m:e>
        </m:d>
      </m:oMath>
      <w:r w:rsidRPr="00462E35">
        <w:rPr>
          <w:rFonts w:cs="Times New Roman"/>
          <w:szCs w:val="21"/>
        </w:rPr>
        <w:t xml:space="preserve"> is estimated by assuming a steady state of the capital-output ratio. That is, if we assumed </w:t>
      </w:r>
      <m:oMath>
        <m:r>
          <w:rPr>
            <w:rFonts w:ascii="Cambria Math" w:hAnsi="Cambria Math" w:cs="Times New Roman"/>
            <w:szCs w:val="21"/>
          </w:rPr>
          <m:t>0=</m:t>
        </m:r>
        <m:f>
          <m:fPr>
            <m:ctrlPr>
              <w:rPr>
                <w:rFonts w:ascii="Cambria Math" w:hAnsi="Cambria Math" w:cs="Times New Roman"/>
                <w:i/>
                <w:iCs/>
                <w:szCs w:val="21"/>
              </w:rPr>
            </m:ctrlPr>
          </m:fPr>
          <m:num>
            <m:r>
              <w:rPr>
                <w:rFonts w:ascii="Cambria Math" w:hAnsi="Cambria Math" w:cs="Times New Roman"/>
                <w:szCs w:val="21"/>
              </w:rPr>
              <m:t>d</m:t>
            </m:r>
          </m:num>
          <m:den>
            <m:r>
              <w:rPr>
                <w:rFonts w:ascii="Cambria Math" w:hAnsi="Cambria Math" w:cs="Times New Roman"/>
                <w:szCs w:val="21"/>
              </w:rPr>
              <m:t>dt</m:t>
            </m:r>
          </m:den>
        </m:f>
        <m:d>
          <m:dPr>
            <m:ctrlPr>
              <w:rPr>
                <w:rFonts w:ascii="Cambria Math" w:hAnsi="Cambria Math" w:cs="Times New Roman"/>
                <w:i/>
                <w:iCs/>
                <w:szCs w:val="21"/>
              </w:rPr>
            </m:ctrlPr>
          </m:dPr>
          <m:e>
            <m:f>
              <m:fPr>
                <m:ctrlPr>
                  <w:rPr>
                    <w:rFonts w:ascii="Cambria Math" w:hAnsi="Cambria Math" w:cs="Times New Roman"/>
                    <w:i/>
                    <w:iCs/>
                    <w:szCs w:val="21"/>
                  </w:rPr>
                </m:ctrlPr>
              </m:fPr>
              <m:num>
                <m:r>
                  <w:rPr>
                    <w:rFonts w:ascii="Cambria Math" w:hAnsi="Cambria Math" w:cs="Times New Roman"/>
                    <w:szCs w:val="21"/>
                  </w:rPr>
                  <m:t>K</m:t>
                </m:r>
              </m:num>
              <m:den>
                <m:r>
                  <w:rPr>
                    <w:rFonts w:ascii="Cambria Math" w:hAnsi="Cambria Math" w:cs="Times New Roman"/>
                    <w:szCs w:val="21"/>
                  </w:rPr>
                  <m:t>y</m:t>
                </m:r>
              </m:den>
            </m:f>
          </m:e>
        </m:d>
        <m:r>
          <w:rPr>
            <w:rFonts w:ascii="Cambria Math" w:hAnsi="Cambria Math" w:cs="Times New Roman"/>
            <w:szCs w:val="21"/>
          </w:rPr>
          <m:t>=(I-δK)/K-γ</m:t>
        </m:r>
      </m:oMath>
      <w:r w:rsidRPr="00462E35">
        <w:rPr>
          <w:rFonts w:cs="Times New Roman"/>
          <w:szCs w:val="21"/>
        </w:rPr>
        <w:t xml:space="preserve">, where </w:t>
      </w:r>
      <m:oMath>
        <m:r>
          <w:rPr>
            <w:rFonts w:ascii="Cambria Math" w:hAnsi="Cambria Math" w:cs="Times New Roman"/>
            <w:szCs w:val="21"/>
          </w:rPr>
          <m:t>γ</m:t>
        </m:r>
      </m:oMath>
      <w:r w:rsidRPr="00462E35">
        <w:rPr>
          <w:rFonts w:cs="Times New Roman"/>
          <w:szCs w:val="21"/>
        </w:rPr>
        <w:t xml:space="preserve"> is the economic growth rate, the steady state capital stock would be</w:t>
      </w:r>
      <w:bookmarkStart w:id="0" w:name="_Hlk2002801"/>
      <w:r w:rsidRPr="00462E35">
        <w:rPr>
          <w:rFonts w:cs="Times New Roman"/>
          <w:szCs w:val="21"/>
        </w:rPr>
        <w:t xml:space="preserve"> </w:t>
      </w:r>
      <m:oMath>
        <m:sSup>
          <m:sSupPr>
            <m:ctrlPr>
              <w:rPr>
                <w:rFonts w:ascii="Cambria Math" w:hAnsi="Cambria Math" w:cs="Times New Roman"/>
                <w:i/>
                <w:iCs/>
                <w:szCs w:val="21"/>
              </w:rPr>
            </m:ctrlPr>
          </m:sSupPr>
          <m:e>
            <m:r>
              <w:rPr>
                <w:rFonts w:ascii="Cambria Math" w:hAnsi="Cambria Math" w:cs="Times New Roman"/>
                <w:szCs w:val="21"/>
              </w:rPr>
              <m:t>K</m:t>
            </m:r>
          </m:e>
          <m:sup>
            <m:r>
              <w:rPr>
                <w:rFonts w:ascii="Cambria Math" w:hAnsi="Cambria Math" w:cs="Times New Roman"/>
                <w:szCs w:val="21"/>
              </w:rPr>
              <m:t>ss</m:t>
            </m:r>
          </m:sup>
        </m:sSup>
        <m:r>
          <w:rPr>
            <w:rFonts w:ascii="Cambria Math" w:hAnsi="Cambria Math" w:cs="Times New Roman"/>
            <w:szCs w:val="21"/>
          </w:rPr>
          <m:t>=</m:t>
        </m:r>
        <m:f>
          <m:fPr>
            <m:ctrlPr>
              <w:rPr>
                <w:rFonts w:ascii="Cambria Math" w:hAnsi="Cambria Math" w:cs="Times New Roman"/>
                <w:i/>
                <w:iCs/>
                <w:szCs w:val="21"/>
              </w:rPr>
            </m:ctrlPr>
          </m:fPr>
          <m:num>
            <m:r>
              <w:rPr>
                <w:rFonts w:ascii="Cambria Math" w:hAnsi="Cambria Math" w:cs="Times New Roman"/>
                <w:szCs w:val="21"/>
              </w:rPr>
              <m:t>I</m:t>
            </m:r>
          </m:num>
          <m:den>
            <m:r>
              <w:rPr>
                <w:rFonts w:ascii="Cambria Math" w:hAnsi="Cambria Math" w:cs="Times New Roman"/>
                <w:szCs w:val="21"/>
              </w:rPr>
              <m:t>δ</m:t>
            </m:r>
            <m:r>
              <m:rPr>
                <m:sty m:val="p"/>
              </m:rPr>
              <w:rPr>
                <w:rFonts w:ascii="Cambria Math" w:hAnsi="Cambria Math" w:cs="Times New Roman"/>
                <w:szCs w:val="21"/>
              </w:rPr>
              <m:t>+</m:t>
            </m:r>
            <m:r>
              <w:rPr>
                <w:rFonts w:ascii="Cambria Math" w:hAnsi="Cambria Math" w:cs="Times New Roman"/>
                <w:szCs w:val="21"/>
              </w:rPr>
              <m:t>γ</m:t>
            </m:r>
          </m:den>
        </m:f>
      </m:oMath>
      <w:bookmarkEnd w:id="0"/>
      <w:r w:rsidRPr="00462E35">
        <w:rPr>
          <w:rFonts w:cs="Times New Roman"/>
          <w:iCs/>
          <w:szCs w:val="21"/>
        </w:rPr>
        <w:t>.</w:t>
      </w:r>
    </w:p>
    <w:p w:rsidR="00403A26" w:rsidRPr="00462E35" w:rsidRDefault="00403A26" w:rsidP="00403A26">
      <w:pPr>
        <w:spacing w:line="360" w:lineRule="auto"/>
        <w:ind w:firstLine="360"/>
        <w:rPr>
          <w:rFonts w:cs="Times New Roman"/>
          <w:szCs w:val="21"/>
        </w:rPr>
      </w:pPr>
      <w:r w:rsidRPr="00462E35">
        <w:rPr>
          <w:rFonts w:cs="Times New Roman"/>
          <w:szCs w:val="21"/>
        </w:rPr>
        <w:t>Finally, it is worth noting that the shadow price of produced capital is unity, since national statisticians measure investment in produced capital in dollar terms, which is the unit of inclusive wealth. The dataset we employ is summarized in Table A1.</w:t>
      </w:r>
    </w:p>
    <w:p w:rsidR="00403A26" w:rsidRPr="00462E35" w:rsidRDefault="00403A26" w:rsidP="00403A26">
      <w:pPr>
        <w:spacing w:line="360" w:lineRule="auto"/>
        <w:rPr>
          <w:rFonts w:cs="Times New Roman"/>
          <w:szCs w:val="21"/>
        </w:rPr>
      </w:pPr>
    </w:p>
    <w:tbl>
      <w:tblPr>
        <w:tblW w:w="8495" w:type="dxa"/>
        <w:tblLook w:val="0420" w:firstRow="1" w:lastRow="0" w:firstColumn="0" w:lastColumn="0" w:noHBand="0" w:noVBand="1"/>
      </w:tblPr>
      <w:tblGrid>
        <w:gridCol w:w="2117"/>
        <w:gridCol w:w="6378"/>
      </w:tblGrid>
      <w:tr w:rsidR="00462E35" w:rsidRPr="00462E35" w:rsidTr="00C07065">
        <w:trPr>
          <w:trHeight w:val="236"/>
        </w:trPr>
        <w:tc>
          <w:tcPr>
            <w:tcW w:w="2117" w:type="dxa"/>
            <w:hideMark/>
          </w:tcPr>
          <w:p w:rsidR="00403A26" w:rsidRPr="00462E35" w:rsidRDefault="00403A26" w:rsidP="00C07065">
            <w:pPr>
              <w:spacing w:line="360" w:lineRule="auto"/>
              <w:rPr>
                <w:rFonts w:eastAsia="MS PGothic" w:cs="Times New Roman"/>
                <w:szCs w:val="21"/>
              </w:rPr>
            </w:pPr>
            <w:r w:rsidRPr="00462E35">
              <w:rPr>
                <w:rFonts w:eastAsia="Yu Gothic" w:cs="Times New Roman"/>
                <w:kern w:val="24"/>
                <w:szCs w:val="21"/>
              </w:rPr>
              <w:t>Variables</w:t>
            </w:r>
          </w:p>
        </w:tc>
        <w:tc>
          <w:tcPr>
            <w:tcW w:w="6378" w:type="dxa"/>
            <w:hideMark/>
          </w:tcPr>
          <w:p w:rsidR="00403A26" w:rsidRPr="00462E35" w:rsidRDefault="00403A26" w:rsidP="00C07065">
            <w:pPr>
              <w:spacing w:line="360" w:lineRule="auto"/>
              <w:rPr>
                <w:rFonts w:eastAsia="MS PGothic" w:cs="Times New Roman"/>
                <w:szCs w:val="21"/>
              </w:rPr>
            </w:pPr>
            <w:r w:rsidRPr="00462E35">
              <w:rPr>
                <w:rFonts w:eastAsia="Yu Gothic" w:cs="Times New Roman"/>
                <w:kern w:val="24"/>
                <w:szCs w:val="21"/>
              </w:rPr>
              <w:t>Data sources / assumptions</w:t>
            </w:r>
          </w:p>
        </w:tc>
      </w:tr>
      <w:tr w:rsidR="00462E35" w:rsidRPr="00462E35" w:rsidTr="00C07065">
        <w:trPr>
          <w:trHeight w:val="236"/>
        </w:trPr>
        <w:tc>
          <w:tcPr>
            <w:tcW w:w="2117" w:type="dxa"/>
            <w:hideMark/>
          </w:tcPr>
          <w:p w:rsidR="00403A26" w:rsidRPr="00462E35" w:rsidRDefault="00403A26" w:rsidP="00C07065">
            <w:pPr>
              <w:spacing w:line="360" w:lineRule="auto"/>
              <w:rPr>
                <w:rFonts w:eastAsia="MS PGothic" w:cs="Times New Roman"/>
                <w:szCs w:val="21"/>
              </w:rPr>
            </w:pPr>
            <w:r w:rsidRPr="00462E35">
              <w:rPr>
                <w:rFonts w:eastAsia="Yu Gothic" w:cs="Times New Roman"/>
                <w:kern w:val="24"/>
                <w:szCs w:val="21"/>
              </w:rPr>
              <w:lastRenderedPageBreak/>
              <w:t>Investment, I</w:t>
            </w:r>
          </w:p>
        </w:tc>
        <w:tc>
          <w:tcPr>
            <w:tcW w:w="6378" w:type="dxa"/>
            <w:hideMark/>
          </w:tcPr>
          <w:p w:rsidR="00403A26" w:rsidRPr="00462E35" w:rsidRDefault="00403A26" w:rsidP="00C07065">
            <w:pPr>
              <w:spacing w:line="360" w:lineRule="auto"/>
              <w:rPr>
                <w:rFonts w:eastAsia="MS PGothic" w:cs="Times New Roman"/>
                <w:szCs w:val="21"/>
              </w:rPr>
            </w:pPr>
            <w:r w:rsidRPr="00462E35">
              <w:rPr>
                <w:rFonts w:eastAsia="Yu Gothic" w:cs="Times New Roman"/>
                <w:kern w:val="24"/>
                <w:szCs w:val="21"/>
              </w:rPr>
              <w:t>United Nations Statistics Division (2013a)</w:t>
            </w:r>
          </w:p>
        </w:tc>
      </w:tr>
      <w:tr w:rsidR="00462E35" w:rsidRPr="00462E35" w:rsidTr="00C07065">
        <w:trPr>
          <w:trHeight w:val="236"/>
        </w:trPr>
        <w:tc>
          <w:tcPr>
            <w:tcW w:w="2117" w:type="dxa"/>
            <w:hideMark/>
          </w:tcPr>
          <w:p w:rsidR="00403A26" w:rsidRPr="00462E35" w:rsidRDefault="00403A26" w:rsidP="00C07065">
            <w:pPr>
              <w:spacing w:line="360" w:lineRule="auto"/>
              <w:rPr>
                <w:rFonts w:eastAsia="MS PGothic" w:cs="Times New Roman"/>
                <w:szCs w:val="21"/>
              </w:rPr>
            </w:pPr>
            <w:r w:rsidRPr="00462E35">
              <w:rPr>
                <w:rFonts w:eastAsia="Yu Gothic" w:cs="Times New Roman"/>
                <w:kern w:val="24"/>
                <w:szCs w:val="21"/>
              </w:rPr>
              <w:t>Output, y</w:t>
            </w:r>
          </w:p>
        </w:tc>
        <w:tc>
          <w:tcPr>
            <w:tcW w:w="6378" w:type="dxa"/>
            <w:hideMark/>
          </w:tcPr>
          <w:p w:rsidR="00403A26" w:rsidRPr="00462E35" w:rsidRDefault="00403A26" w:rsidP="00C07065">
            <w:pPr>
              <w:spacing w:line="360" w:lineRule="auto"/>
              <w:rPr>
                <w:rFonts w:eastAsia="MS PGothic" w:cs="Times New Roman"/>
                <w:szCs w:val="21"/>
              </w:rPr>
            </w:pPr>
            <w:r w:rsidRPr="00462E35">
              <w:rPr>
                <w:rFonts w:eastAsia="Yu Gothic" w:cs="Times New Roman"/>
                <w:kern w:val="24"/>
                <w:szCs w:val="21"/>
              </w:rPr>
              <w:t>United Nations Statistics Division (2013a)</w:t>
            </w:r>
          </w:p>
        </w:tc>
      </w:tr>
      <w:tr w:rsidR="00462E35" w:rsidRPr="00462E35" w:rsidTr="00C07065">
        <w:trPr>
          <w:trHeight w:val="236"/>
        </w:trPr>
        <w:tc>
          <w:tcPr>
            <w:tcW w:w="2117" w:type="dxa"/>
            <w:hideMark/>
          </w:tcPr>
          <w:p w:rsidR="00403A26" w:rsidRPr="00462E35" w:rsidRDefault="00403A26" w:rsidP="00C07065">
            <w:pPr>
              <w:spacing w:line="360" w:lineRule="auto"/>
              <w:rPr>
                <w:rFonts w:eastAsia="MS PGothic" w:cs="Times New Roman"/>
                <w:szCs w:val="21"/>
              </w:rPr>
            </w:pPr>
            <w:r w:rsidRPr="00462E35">
              <w:rPr>
                <w:rFonts w:eastAsia="Yu Gothic" w:cs="Times New Roman"/>
                <w:kern w:val="24"/>
                <w:szCs w:val="21"/>
              </w:rPr>
              <w:t xml:space="preserve">Depreciation rate, </w:t>
            </w:r>
            <m:oMath>
              <m:r>
                <w:rPr>
                  <w:rFonts w:ascii="Cambria Math" w:eastAsia="MS PGothic" w:hAnsi="Cambria Math" w:cs="Times New Roman"/>
                  <w:kern w:val="24"/>
                  <w:szCs w:val="21"/>
                </w:rPr>
                <m:t>δ</m:t>
              </m:r>
            </m:oMath>
          </w:p>
        </w:tc>
        <w:tc>
          <w:tcPr>
            <w:tcW w:w="6378" w:type="dxa"/>
            <w:hideMark/>
          </w:tcPr>
          <w:p w:rsidR="00403A26" w:rsidRPr="00462E35" w:rsidRDefault="00403A26" w:rsidP="00C07065">
            <w:pPr>
              <w:spacing w:line="360" w:lineRule="auto"/>
              <w:rPr>
                <w:rFonts w:eastAsia="MS PGothic" w:cs="Times New Roman"/>
                <w:szCs w:val="21"/>
              </w:rPr>
            </w:pPr>
            <w:r w:rsidRPr="00462E35">
              <w:rPr>
                <w:rFonts w:eastAsia="Yu Gothic" w:cs="Times New Roman"/>
                <w:kern w:val="24"/>
                <w:szCs w:val="21"/>
              </w:rPr>
              <w:t>4% (</w:t>
            </w:r>
            <w:r w:rsidRPr="00462E35">
              <w:rPr>
                <w:rFonts w:cs="Times New Roman"/>
                <w:kern w:val="24"/>
                <w:szCs w:val="21"/>
              </w:rPr>
              <w:t xml:space="preserve">taking the country average from </w:t>
            </w:r>
            <w:proofErr w:type="spellStart"/>
            <w:r w:rsidRPr="00462E35">
              <w:rPr>
                <w:rFonts w:cs="Times New Roman"/>
                <w:kern w:val="24"/>
                <w:szCs w:val="21"/>
              </w:rPr>
              <w:t>Feenstra</w:t>
            </w:r>
            <w:proofErr w:type="spellEnd"/>
            <w:r w:rsidRPr="00462E35">
              <w:rPr>
                <w:rFonts w:cs="Times New Roman"/>
                <w:kern w:val="24"/>
                <w:szCs w:val="21"/>
              </w:rPr>
              <w:t xml:space="preserve"> et al. (2013))</w:t>
            </w:r>
          </w:p>
        </w:tc>
      </w:tr>
    </w:tbl>
    <w:p w:rsidR="00403A26" w:rsidRPr="00462E35" w:rsidRDefault="00403A26" w:rsidP="00403A26">
      <w:pPr>
        <w:spacing w:line="360" w:lineRule="auto"/>
        <w:rPr>
          <w:rFonts w:cs="Times New Roman"/>
          <w:szCs w:val="21"/>
        </w:rPr>
      </w:pPr>
      <w:r w:rsidRPr="00462E35">
        <w:rPr>
          <w:rFonts w:cs="Times New Roman"/>
          <w:szCs w:val="21"/>
        </w:rPr>
        <w:t>Table A1: Data sources and assumptions for the calculation of produced capital</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0"/>
          <w:numId w:val="10"/>
        </w:numPr>
        <w:spacing w:line="360" w:lineRule="auto"/>
        <w:ind w:leftChars="0"/>
        <w:rPr>
          <w:rFonts w:cs="Times New Roman"/>
          <w:szCs w:val="21"/>
        </w:rPr>
      </w:pPr>
      <w:r w:rsidRPr="00462E35">
        <w:rPr>
          <w:rFonts w:cs="Times New Roman"/>
          <w:szCs w:val="21"/>
        </w:rPr>
        <w:t>Human capital</w:t>
      </w:r>
    </w:p>
    <w:p w:rsidR="00403A26" w:rsidRPr="00462E35" w:rsidRDefault="00403A26" w:rsidP="00403A26">
      <w:pPr>
        <w:spacing w:line="360" w:lineRule="auto"/>
        <w:rPr>
          <w:rFonts w:cs="Times New Roman"/>
          <w:szCs w:val="21"/>
        </w:rPr>
      </w:pPr>
      <w:r w:rsidRPr="00462E35">
        <w:rPr>
          <w:rFonts w:cs="Times New Roman"/>
          <w:szCs w:val="21"/>
        </w:rPr>
        <w:t>The IWR 2018 (Chapter 1) employed two approaches to human capital and reported them separately. However, due to both theoretical and empirical support, we use only the same methodology as in IWR 2012 and 2014.</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1"/>
          <w:numId w:val="10"/>
        </w:numPr>
        <w:spacing w:line="360" w:lineRule="auto"/>
        <w:ind w:leftChars="0"/>
        <w:rPr>
          <w:rFonts w:cs="Times New Roman"/>
          <w:szCs w:val="21"/>
        </w:rPr>
      </w:pPr>
      <w:r w:rsidRPr="00462E35">
        <w:rPr>
          <w:rFonts w:cs="Times New Roman"/>
          <w:szCs w:val="21"/>
        </w:rPr>
        <w:t>Education</w:t>
      </w:r>
    </w:p>
    <w:p w:rsidR="00403A26" w:rsidRPr="00462E35" w:rsidRDefault="00403A26" w:rsidP="00403A26">
      <w:pPr>
        <w:spacing w:line="360" w:lineRule="auto"/>
        <w:rPr>
          <w:rFonts w:cs="Times New Roman"/>
          <w:szCs w:val="21"/>
        </w:rPr>
      </w:pPr>
      <w:r w:rsidRPr="00462E35">
        <w:rPr>
          <w:rFonts w:cs="Times New Roman"/>
          <w:szCs w:val="21"/>
        </w:rPr>
        <w:t xml:space="preserve">Education pays off later in life through increased lifetime income and well-being at both personal and aggregate levels. In line with the literature on human capital, and for practical reasons, we focus on the return on formal education, but this does not mean that other non-formal education (e.g., early childhood education, vocational training) is inadequate as part of wealth. We estimate the value of human capital based on the output of the education production function. This is generally called </w:t>
      </w:r>
      <w:r w:rsidRPr="00462E35">
        <w:rPr>
          <w:rFonts w:eastAsia="Yu Mincho" w:cs="Times New Roman"/>
          <w:szCs w:val="21"/>
        </w:rPr>
        <w:t xml:space="preserve">the </w:t>
      </w:r>
      <w:r w:rsidRPr="00462E35">
        <w:rPr>
          <w:rFonts w:cs="Times New Roman"/>
          <w:szCs w:val="21"/>
        </w:rPr>
        <w:t>income approach to human capital computation. In contrast, some other estimates use the input side of the education production function, typically by considering educational expenditure (World Bank 2014). For a more detailed and excellent review of human capital in general and a detailed account of this, see Chapters 3-4 of IWR 2014.</w:t>
      </w:r>
    </w:p>
    <w:p w:rsidR="00403A26" w:rsidRPr="00462E35" w:rsidRDefault="00403A26" w:rsidP="00403A26">
      <w:pPr>
        <w:spacing w:line="360" w:lineRule="auto"/>
        <w:rPr>
          <w:rFonts w:cs="Times New Roman"/>
          <w:szCs w:val="21"/>
        </w:rPr>
      </w:pPr>
      <w:r w:rsidRPr="00462E35">
        <w:rPr>
          <w:rFonts w:cs="Times New Roman"/>
          <w:szCs w:val="21"/>
        </w:rPr>
        <w:t xml:space="preserve">   We estimate the value of human capital based on the idea that educational attainment yields returns to human capital.</w:t>
      </w:r>
      <w:r w:rsidRPr="00462E35">
        <w:rPr>
          <w:rStyle w:val="FootnoteReference"/>
          <w:rFonts w:cs="Times New Roman"/>
          <w:szCs w:val="21"/>
        </w:rPr>
        <w:footnoteReference w:id="5"/>
      </w:r>
      <w:r w:rsidRPr="00462E35">
        <w:rPr>
          <w:rFonts w:cs="Times New Roman"/>
          <w:szCs w:val="21"/>
        </w:rPr>
        <w:t xml:space="preserve"> Following Arrow et al. (2012) and </w:t>
      </w:r>
      <w:proofErr w:type="spellStart"/>
      <w:r w:rsidRPr="00462E35">
        <w:rPr>
          <w:rFonts w:cs="Times New Roman"/>
          <w:szCs w:val="21"/>
        </w:rPr>
        <w:t>Klenow</w:t>
      </w:r>
      <w:proofErr w:type="spellEnd"/>
      <w:r w:rsidRPr="00462E35">
        <w:rPr>
          <w:rFonts w:cs="Times New Roman"/>
          <w:szCs w:val="21"/>
        </w:rPr>
        <w:t xml:space="preserve"> and Rodríguez-Clare (1997), educational </w:t>
      </w:r>
      <w:r w:rsidRPr="00462E35">
        <w:rPr>
          <w:rFonts w:cs="Times New Roman"/>
          <w:szCs w:val="21"/>
        </w:rPr>
        <w:lastRenderedPageBreak/>
        <w:t xml:space="preserve">attainment is </w:t>
      </w:r>
      <w:proofErr w:type="spellStart"/>
      <w:r w:rsidRPr="00462E35">
        <w:rPr>
          <w:rFonts w:cs="Times New Roman"/>
          <w:szCs w:val="21"/>
        </w:rPr>
        <w:t>proxied</w:t>
      </w:r>
      <w:proofErr w:type="spellEnd"/>
      <w:r w:rsidRPr="00462E35">
        <w:rPr>
          <w:rFonts w:cs="Times New Roman"/>
          <w:szCs w:val="21"/>
        </w:rPr>
        <w:t xml:space="preserve"> by the average  years of total schooling per person, </w:t>
      </w:r>
      <m:oMath>
        <m:r>
          <w:rPr>
            <w:rFonts w:ascii="Cambria Math" w:hAnsi="Cambria Math" w:cs="Times New Roman"/>
            <w:szCs w:val="21"/>
          </w:rPr>
          <m:t>A</m:t>
        </m:r>
      </m:oMath>
      <w:r w:rsidRPr="00462E35">
        <w:rPr>
          <w:rFonts w:cs="Times New Roman"/>
          <w:iCs/>
          <w:szCs w:val="21"/>
        </w:rPr>
        <w:t xml:space="preserve">, </w:t>
      </w:r>
      <w:r w:rsidRPr="00462E35">
        <w:rPr>
          <w:rFonts w:cs="Times New Roman"/>
          <w:szCs w:val="21"/>
        </w:rPr>
        <w:t xml:space="preserve">which is obtained from </w:t>
      </w:r>
      <w:proofErr w:type="spellStart"/>
      <w:r w:rsidRPr="00462E35">
        <w:rPr>
          <w:rFonts w:cs="Times New Roman"/>
          <w:szCs w:val="21"/>
        </w:rPr>
        <w:t>Barro</w:t>
      </w:r>
      <w:proofErr w:type="spellEnd"/>
      <w:r w:rsidRPr="00462E35">
        <w:rPr>
          <w:rFonts w:cs="Times New Roman"/>
          <w:szCs w:val="21"/>
        </w:rPr>
        <w:t xml:space="preserve"> and Lee (2015). The rate of return on education is assumed to be constant at </w:t>
      </w:r>
      <m:oMath>
        <m:r>
          <w:rPr>
            <w:rFonts w:ascii="Cambria Math" w:hAnsi="Cambria Math" w:cs="Times New Roman"/>
            <w:szCs w:val="21"/>
          </w:rPr>
          <m:t>ρ=</m:t>
        </m:r>
      </m:oMath>
      <w:r w:rsidRPr="00462E35">
        <w:rPr>
          <w:rFonts w:cs="Times New Roman"/>
          <w:szCs w:val="21"/>
        </w:rPr>
        <w:t xml:space="preserve">8.5%. This is multiplied by the percentage of the population with an education, </w:t>
      </w:r>
      <m:oMath>
        <m:sSub>
          <m:sSubPr>
            <m:ctrlPr>
              <w:rPr>
                <w:rFonts w:ascii="Cambria Math" w:hAnsi="Cambria Math" w:cs="Times New Roman"/>
                <w:i/>
                <w:iCs/>
                <w:szCs w:val="21"/>
              </w:rPr>
            </m:ctrlPr>
          </m:sSubPr>
          <m:e>
            <m:r>
              <w:rPr>
                <w:rFonts w:ascii="Cambria Math" w:hAnsi="Cambria Math" w:cs="Times New Roman"/>
                <w:szCs w:val="21"/>
              </w:rPr>
              <m:t>P</m:t>
            </m:r>
          </m:e>
          <m:sub>
            <m:r>
              <w:rPr>
                <w:rFonts w:ascii="Cambria Math" w:hAnsi="Cambria Math" w:cs="Times New Roman"/>
                <w:szCs w:val="21"/>
              </w:rPr>
              <m:t>5+edu</m:t>
            </m:r>
          </m:sub>
        </m:sSub>
      </m:oMath>
      <w:r w:rsidRPr="00462E35">
        <w:rPr>
          <w:rFonts w:cs="Times New Roman"/>
          <w:szCs w:val="21"/>
        </w:rPr>
        <w:t>. Thus, the s</w:t>
      </w:r>
      <w:proofErr w:type="spellStart"/>
      <w:r w:rsidRPr="00462E35">
        <w:rPr>
          <w:rFonts w:cs="Times New Roman"/>
          <w:szCs w:val="21"/>
        </w:rPr>
        <w:t>tock</w:t>
      </w:r>
      <w:proofErr w:type="spellEnd"/>
      <w:r w:rsidRPr="00462E35">
        <w:rPr>
          <w:rFonts w:cs="Times New Roman"/>
          <w:szCs w:val="21"/>
        </w:rPr>
        <w:t xml:space="preserve"> of human capital is</w:t>
      </w:r>
    </w:p>
    <w:p w:rsidR="00403A26" w:rsidRPr="00462E35" w:rsidRDefault="00403A26" w:rsidP="00403A26">
      <w:pPr>
        <w:spacing w:line="360" w:lineRule="auto"/>
        <w:rPr>
          <w:rFonts w:cs="Times New Roman"/>
          <w:szCs w:val="21"/>
        </w:rPr>
      </w:pPr>
      <m:oMathPara>
        <m:oMath>
          <m:r>
            <w:rPr>
              <w:rFonts w:ascii="Cambria Math" w:hAnsi="Cambria Math" w:cs="Times New Roman"/>
              <w:szCs w:val="21"/>
            </w:rPr>
            <m:t>H=</m:t>
          </m:r>
          <m:sSup>
            <m:sSupPr>
              <m:ctrlPr>
                <w:rPr>
                  <w:rFonts w:ascii="Cambria Math" w:hAnsi="Cambria Math" w:cs="Times New Roman"/>
                  <w:i/>
                  <w:iCs/>
                  <w:szCs w:val="21"/>
                </w:rPr>
              </m:ctrlPr>
            </m:sSupPr>
            <m:e>
              <m:r>
                <w:rPr>
                  <w:rFonts w:ascii="Cambria Math" w:hAnsi="Cambria Math" w:cs="Times New Roman"/>
                  <w:szCs w:val="21"/>
                </w:rPr>
                <m:t>e</m:t>
              </m:r>
            </m:e>
            <m:sup>
              <m:r>
                <w:rPr>
                  <w:rFonts w:ascii="Cambria Math" w:hAnsi="Cambria Math" w:cs="Times New Roman"/>
                  <w:szCs w:val="21"/>
                </w:rPr>
                <m:t>ρA</m:t>
              </m:r>
            </m:sup>
          </m:sSup>
          <m:r>
            <w:rPr>
              <w:rFonts w:ascii="Cambria Math" w:hAnsi="Cambria Math" w:cs="Times New Roman"/>
              <w:szCs w:val="21"/>
            </w:rPr>
            <m:t>*</m:t>
          </m:r>
          <m:sSub>
            <m:sSubPr>
              <m:ctrlPr>
                <w:rPr>
                  <w:rFonts w:ascii="Cambria Math" w:hAnsi="Cambria Math" w:cs="Times New Roman"/>
                  <w:i/>
                  <w:iCs/>
                  <w:szCs w:val="21"/>
                </w:rPr>
              </m:ctrlPr>
            </m:sSubPr>
            <m:e>
              <m:r>
                <w:rPr>
                  <w:rFonts w:ascii="Cambria Math" w:hAnsi="Cambria Math" w:cs="Times New Roman"/>
                  <w:szCs w:val="21"/>
                </w:rPr>
                <m:t>P</m:t>
              </m:r>
            </m:e>
            <m:sub>
              <m:r>
                <w:rPr>
                  <w:rFonts w:ascii="Cambria Math" w:hAnsi="Cambria Math" w:cs="Times New Roman"/>
                  <w:szCs w:val="21"/>
                </w:rPr>
                <m:t>5+edu</m:t>
              </m:r>
            </m:sub>
          </m:sSub>
        </m:oMath>
      </m:oMathPara>
    </w:p>
    <w:p w:rsidR="00403A26" w:rsidRPr="00462E35" w:rsidRDefault="00403A26" w:rsidP="00403A26">
      <w:pPr>
        <w:spacing w:line="360" w:lineRule="auto"/>
        <w:rPr>
          <w:rFonts w:cs="Times New Roman"/>
          <w:szCs w:val="21"/>
        </w:rPr>
      </w:pPr>
      <w:r w:rsidRPr="00462E35">
        <w:rPr>
          <w:rFonts w:cs="Times New Roman"/>
          <w:szCs w:val="21"/>
        </w:rPr>
        <w:t xml:space="preserve">   The shadow price of one unit of human capital is calculated by the present value of lifetime income, which is </w:t>
      </w:r>
      <w:proofErr w:type="spellStart"/>
      <w:r w:rsidRPr="00462E35">
        <w:rPr>
          <w:rFonts w:cs="Times New Roman"/>
          <w:szCs w:val="21"/>
        </w:rPr>
        <w:t>proxied</w:t>
      </w:r>
      <w:proofErr w:type="spellEnd"/>
      <w:r w:rsidRPr="00462E35">
        <w:rPr>
          <w:rFonts w:cs="Times New Roman"/>
          <w:szCs w:val="21"/>
        </w:rPr>
        <w:t xml:space="preserve"> by the average compensation to employees, </w:t>
      </w:r>
      <m:oMath>
        <m:r>
          <w:rPr>
            <w:rFonts w:ascii="Cambria Math" w:hAnsi="Cambria Math" w:cs="Times New Roman"/>
            <w:szCs w:val="21"/>
          </w:rPr>
          <m:t>w</m:t>
        </m:r>
      </m:oMath>
      <w:r w:rsidRPr="00462E35">
        <w:rPr>
          <w:rFonts w:cs="Times New Roman"/>
          <w:szCs w:val="21"/>
        </w:rPr>
        <w:t xml:space="preserve">, per unit of human capital times the expected working years, </w:t>
      </w:r>
      <m:oMath>
        <m:r>
          <w:rPr>
            <w:rFonts w:ascii="Cambria Math" w:hAnsi="Cambria Math" w:cs="Times New Roman"/>
            <w:szCs w:val="21"/>
          </w:rPr>
          <m:t>T</m:t>
        </m:r>
      </m:oMath>
      <w:r w:rsidRPr="00462E35">
        <w:rPr>
          <w:rFonts w:cs="Times New Roman"/>
          <w:szCs w:val="21"/>
        </w:rPr>
        <w:t>. This brings us to the following formula:</w:t>
      </w:r>
    </w:p>
    <w:p w:rsidR="00403A26" w:rsidRPr="00462E35" w:rsidRDefault="00462E35" w:rsidP="00403A26">
      <w:pPr>
        <w:spacing w:line="360" w:lineRule="auto"/>
        <w:rPr>
          <w:rFonts w:cs="Times New Roman"/>
          <w:szCs w:val="21"/>
        </w:rPr>
      </w:pPr>
      <m:oMathPara>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H</m:t>
              </m:r>
            </m:sub>
          </m:sSub>
          <m:d>
            <m:dPr>
              <m:ctrlPr>
                <w:rPr>
                  <w:rFonts w:ascii="Cambria Math" w:hAnsi="Cambria Math" w:cs="Times New Roman"/>
                  <w:i/>
                  <w:szCs w:val="21"/>
                </w:rPr>
              </m:ctrlPr>
            </m:dPr>
            <m:e>
              <m:r>
                <w:rPr>
                  <w:rFonts w:ascii="Cambria Math" w:hAnsi="Cambria Math" w:cs="Times New Roman"/>
                  <w:szCs w:val="21"/>
                </w:rPr>
                <m:t>t</m:t>
              </m:r>
            </m:e>
          </m:d>
          <m:r>
            <w:rPr>
              <w:rFonts w:ascii="Cambria Math" w:hAnsi="Cambria Math" w:cs="Times New Roman"/>
              <w:szCs w:val="21"/>
            </w:rPr>
            <m:t>=</m:t>
          </m:r>
          <m:nary>
            <m:naryPr>
              <m:ctrlPr>
                <w:rPr>
                  <w:rFonts w:ascii="Cambria Math" w:hAnsi="Cambria Math" w:cs="Times New Roman"/>
                  <w:i/>
                  <w:szCs w:val="21"/>
                </w:rPr>
              </m:ctrlPr>
            </m:naryPr>
            <m:sub>
              <m:r>
                <w:rPr>
                  <w:rFonts w:ascii="Cambria Math" w:hAnsi="Cambria Math" w:cs="Times New Roman"/>
                  <w:szCs w:val="21"/>
                </w:rPr>
                <m:t>0</m:t>
              </m:r>
            </m:sub>
            <m:sup>
              <m:r>
                <w:rPr>
                  <w:rFonts w:ascii="Cambria Math" w:hAnsi="Cambria Math" w:cs="Times New Roman"/>
                  <w:szCs w:val="21"/>
                </w:rPr>
                <m:t>T</m:t>
              </m:r>
              <m:d>
                <m:dPr>
                  <m:ctrlPr>
                    <w:rPr>
                      <w:rFonts w:ascii="Cambria Math" w:hAnsi="Cambria Math" w:cs="Times New Roman"/>
                      <w:i/>
                      <w:szCs w:val="21"/>
                    </w:rPr>
                  </m:ctrlPr>
                </m:dPr>
                <m:e>
                  <m:r>
                    <w:rPr>
                      <w:rFonts w:ascii="Cambria Math" w:hAnsi="Cambria Math" w:cs="Times New Roman"/>
                      <w:szCs w:val="21"/>
                    </w:rPr>
                    <m:t>t</m:t>
                  </m:r>
                </m:e>
              </m:d>
            </m:sup>
            <m:e>
              <m:r>
                <w:rPr>
                  <w:rFonts w:ascii="Cambria Math" w:hAnsi="Cambria Math" w:cs="Times New Roman"/>
                  <w:szCs w:val="21"/>
                </w:rPr>
                <m:t>w</m:t>
              </m:r>
              <m:d>
                <m:dPr>
                  <m:ctrlPr>
                    <w:rPr>
                      <w:rFonts w:ascii="Cambria Math" w:hAnsi="Cambria Math" w:cs="Times New Roman"/>
                      <w:i/>
                      <w:szCs w:val="21"/>
                    </w:rPr>
                  </m:ctrlPr>
                </m:dPr>
                <m:e>
                  <m:r>
                    <w:rPr>
                      <w:rFonts w:ascii="Cambria Math" w:hAnsi="Cambria Math" w:cs="Times New Roman"/>
                      <w:szCs w:val="21"/>
                    </w:rPr>
                    <m:t>τ</m:t>
                  </m:r>
                </m:e>
              </m:d>
              <m:sSup>
                <m:sSupPr>
                  <m:ctrlPr>
                    <w:rPr>
                      <w:rFonts w:ascii="Cambria Math" w:hAnsi="Cambria Math" w:cs="Times New Roman"/>
                      <w:i/>
                      <w:szCs w:val="21"/>
                    </w:rPr>
                  </m:ctrlPr>
                </m:sSupPr>
                <m:e>
                  <m:r>
                    <w:rPr>
                      <w:rFonts w:ascii="Cambria Math" w:hAnsi="Cambria Math" w:cs="Times New Roman"/>
                      <w:szCs w:val="21"/>
                    </w:rPr>
                    <m:t>e</m:t>
                  </m:r>
                </m:e>
                <m:sup>
                  <m:r>
                    <w:rPr>
                      <w:rFonts w:ascii="Cambria Math" w:hAnsi="Cambria Math" w:cs="Times New Roman"/>
                      <w:szCs w:val="21"/>
                    </w:rPr>
                    <m:t>-δτ</m:t>
                  </m:r>
                </m:sup>
              </m:sSup>
              <m:r>
                <w:rPr>
                  <w:rFonts w:ascii="Cambria Math" w:hAnsi="Cambria Math" w:cs="Times New Roman"/>
                  <w:szCs w:val="21"/>
                </w:rPr>
                <m:t>dτ</m:t>
              </m:r>
            </m:e>
          </m:nary>
        </m:oMath>
      </m:oMathPara>
    </w:p>
    <w:p w:rsidR="00403A26" w:rsidRPr="00462E35" w:rsidRDefault="00403A26" w:rsidP="00403A26">
      <w:pPr>
        <w:spacing w:line="360" w:lineRule="auto"/>
        <w:rPr>
          <w:rFonts w:cs="Times New Roman"/>
          <w:szCs w:val="21"/>
        </w:rPr>
      </w:pPr>
      <w:r w:rsidRPr="00462E35">
        <w:rPr>
          <w:rFonts w:cs="Times New Roman"/>
          <w:szCs w:val="21"/>
        </w:rPr>
        <w:t>The dataset we employ is summarized in Table A2.</w:t>
      </w:r>
    </w:p>
    <w:p w:rsidR="00403A26" w:rsidRPr="00462E35" w:rsidRDefault="00403A26" w:rsidP="00403A26">
      <w:pPr>
        <w:spacing w:line="360" w:lineRule="auto"/>
        <w:rPr>
          <w:rFonts w:cs="Times New Roman"/>
          <w:szCs w:val="21"/>
        </w:rPr>
      </w:pPr>
    </w:p>
    <w:tbl>
      <w:tblPr>
        <w:tblW w:w="8607" w:type="dxa"/>
        <w:tblLook w:val="04A0" w:firstRow="1" w:lastRow="0" w:firstColumn="1" w:lastColumn="0" w:noHBand="0" w:noVBand="1"/>
      </w:tblPr>
      <w:tblGrid>
        <w:gridCol w:w="3352"/>
        <w:gridCol w:w="5255"/>
      </w:tblGrid>
      <w:tr w:rsidR="00462E35" w:rsidRPr="00462E35" w:rsidTr="00C07065">
        <w:trPr>
          <w:trHeight w:val="528"/>
        </w:trPr>
        <w:tc>
          <w:tcPr>
            <w:tcW w:w="3352"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Variables</w:t>
            </w:r>
          </w:p>
        </w:tc>
        <w:tc>
          <w:tcPr>
            <w:tcW w:w="5255"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Data sources / assumptions</w:t>
            </w:r>
          </w:p>
        </w:tc>
      </w:tr>
      <w:tr w:rsidR="00462E35" w:rsidRPr="00462E35" w:rsidTr="00C07065">
        <w:trPr>
          <w:trHeight w:val="528"/>
        </w:trPr>
        <w:tc>
          <w:tcPr>
            <w:tcW w:w="3352"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 xml:space="preserve">Educational attainment, </w:t>
            </w:r>
            <m:oMath>
              <m:r>
                <w:rPr>
                  <w:rFonts w:ascii="Cambria Math" w:eastAsia="Yu Gothic" w:hAnsi="Cambria Math" w:cs="Times New Roman"/>
                  <w:kern w:val="24"/>
                  <w:szCs w:val="21"/>
                </w:rPr>
                <m:t>A</m:t>
              </m:r>
            </m:oMath>
          </w:p>
        </w:tc>
        <w:tc>
          <w:tcPr>
            <w:tcW w:w="5255" w:type="dxa"/>
            <w:hideMark/>
          </w:tcPr>
          <w:p w:rsidR="00403A26" w:rsidRPr="00462E35" w:rsidRDefault="00403A26" w:rsidP="00C07065">
            <w:pPr>
              <w:spacing w:line="360" w:lineRule="auto"/>
              <w:rPr>
                <w:rFonts w:eastAsia="Yu Gothic" w:cs="Times New Roman"/>
                <w:kern w:val="24"/>
                <w:szCs w:val="21"/>
              </w:rPr>
            </w:pPr>
            <w:proofErr w:type="spellStart"/>
            <w:r w:rsidRPr="00462E35">
              <w:rPr>
                <w:rFonts w:eastAsia="Yu Gothic" w:cs="Times New Roman"/>
                <w:kern w:val="24"/>
                <w:szCs w:val="21"/>
              </w:rPr>
              <w:t>Barro</w:t>
            </w:r>
            <w:proofErr w:type="spellEnd"/>
            <w:r w:rsidRPr="00462E35">
              <w:rPr>
                <w:rFonts w:eastAsia="Yu Gothic" w:cs="Times New Roman"/>
                <w:kern w:val="24"/>
                <w:szCs w:val="21"/>
              </w:rPr>
              <w:t xml:space="preserve"> and Lee (1990, 1995, 2000, 2005, 2010, and 2015)</w:t>
            </w:r>
          </w:p>
        </w:tc>
      </w:tr>
      <w:tr w:rsidR="00462E35" w:rsidRPr="00462E35" w:rsidTr="00C07065">
        <w:trPr>
          <w:trHeight w:val="528"/>
        </w:trPr>
        <w:tc>
          <w:tcPr>
            <w:tcW w:w="3352"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 xml:space="preserve">Population </w:t>
            </w:r>
            <m:oMath>
              <m:r>
                <w:rPr>
                  <w:rFonts w:ascii="Cambria Math" w:eastAsia="Yu Gothic" w:hAnsi="Cambria Math" w:cs="Times New Roman"/>
                  <w:kern w:val="24"/>
                  <w:szCs w:val="21"/>
                </w:rPr>
                <m:t>P</m:t>
              </m:r>
            </m:oMath>
            <w:r w:rsidRPr="00462E35">
              <w:rPr>
                <w:rFonts w:eastAsia="Yu Gothic" w:cs="Times New Roman"/>
                <w:kern w:val="24"/>
                <w:szCs w:val="21"/>
              </w:rPr>
              <w:t xml:space="preserve"> by age, gender, time</w:t>
            </w:r>
          </w:p>
        </w:tc>
        <w:tc>
          <w:tcPr>
            <w:tcW w:w="5255"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United Nations Population Division (2016)</w:t>
            </w:r>
          </w:p>
        </w:tc>
      </w:tr>
      <w:tr w:rsidR="00462E35" w:rsidRPr="00462E35" w:rsidTr="00C07065">
        <w:trPr>
          <w:trHeight w:val="528"/>
        </w:trPr>
        <w:tc>
          <w:tcPr>
            <w:tcW w:w="3352"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 xml:space="preserve">Rate of return on education, </w:t>
            </w:r>
            <m:oMath>
              <m:r>
                <w:rPr>
                  <w:rFonts w:ascii="Cambria Math" w:eastAsia="Yu Gothic" w:hAnsi="Cambria Math" w:cs="Times New Roman"/>
                  <w:kern w:val="24"/>
                  <w:szCs w:val="21"/>
                </w:rPr>
                <m:t>ρ</m:t>
              </m:r>
            </m:oMath>
          </w:p>
        </w:tc>
        <w:tc>
          <w:tcPr>
            <w:tcW w:w="5255"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8.5% (</w:t>
            </w:r>
            <w:proofErr w:type="spellStart"/>
            <w:r w:rsidRPr="00462E35">
              <w:rPr>
                <w:rFonts w:eastAsia="Yu Gothic" w:cs="Times New Roman"/>
                <w:kern w:val="24"/>
                <w:szCs w:val="21"/>
              </w:rPr>
              <w:t>Klenow</w:t>
            </w:r>
            <w:proofErr w:type="spellEnd"/>
            <w:r w:rsidRPr="00462E35">
              <w:rPr>
                <w:rFonts w:eastAsia="Yu Gothic" w:cs="Times New Roman"/>
                <w:kern w:val="24"/>
                <w:szCs w:val="21"/>
              </w:rPr>
              <w:t xml:space="preserve"> and Rodríguez-Clare 1997)</w:t>
            </w:r>
          </w:p>
        </w:tc>
      </w:tr>
      <w:tr w:rsidR="00462E35" w:rsidRPr="00462E35" w:rsidTr="00C07065">
        <w:trPr>
          <w:trHeight w:val="528"/>
        </w:trPr>
        <w:tc>
          <w:tcPr>
            <w:tcW w:w="3352"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 xml:space="preserve">Discount rate, </w:t>
            </w:r>
            <m:oMath>
              <m:r>
                <w:rPr>
                  <w:rFonts w:ascii="Cambria Math" w:eastAsia="Yu Gothic" w:hAnsi="Cambria Math" w:cs="Times New Roman"/>
                  <w:kern w:val="24"/>
                  <w:szCs w:val="21"/>
                </w:rPr>
                <m:t>ρ</m:t>
              </m:r>
            </m:oMath>
          </w:p>
        </w:tc>
        <w:tc>
          <w:tcPr>
            <w:tcW w:w="5255"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8.5%</w:t>
            </w:r>
          </w:p>
        </w:tc>
      </w:tr>
      <w:tr w:rsidR="00462E35" w:rsidRPr="00462E35" w:rsidTr="00C07065">
        <w:trPr>
          <w:trHeight w:val="528"/>
        </w:trPr>
        <w:tc>
          <w:tcPr>
            <w:tcW w:w="3352"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Employment</w:t>
            </w:r>
          </w:p>
        </w:tc>
        <w:tc>
          <w:tcPr>
            <w:tcW w:w="5255"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International Labour Organization (2015); Conference Board (2016)</w:t>
            </w:r>
          </w:p>
        </w:tc>
      </w:tr>
      <w:tr w:rsidR="00462E35" w:rsidRPr="00462E35" w:rsidTr="00C07065">
        <w:trPr>
          <w:trHeight w:val="70"/>
        </w:trPr>
        <w:tc>
          <w:tcPr>
            <w:tcW w:w="3352"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Compensation of Employees</w:t>
            </w:r>
          </w:p>
        </w:tc>
        <w:tc>
          <w:tcPr>
            <w:tcW w:w="5255" w:type="dxa"/>
            <w:hideMark/>
          </w:tcPr>
          <w:p w:rsidR="00403A26" w:rsidRPr="00462E35" w:rsidRDefault="00403A26" w:rsidP="00C07065">
            <w:pPr>
              <w:spacing w:line="360" w:lineRule="auto"/>
              <w:rPr>
                <w:rFonts w:eastAsia="Yu Gothic" w:cs="Times New Roman"/>
                <w:kern w:val="24"/>
                <w:szCs w:val="21"/>
              </w:rPr>
            </w:pPr>
            <w:r w:rsidRPr="00462E35">
              <w:rPr>
                <w:rFonts w:eastAsia="Yu Gothic" w:cs="Times New Roman"/>
                <w:kern w:val="24"/>
                <w:szCs w:val="21"/>
              </w:rPr>
              <w:t xml:space="preserve">United Nations Statistics Division (2016); OECD (2016); </w:t>
            </w:r>
            <w:proofErr w:type="spellStart"/>
            <w:r w:rsidRPr="00462E35">
              <w:rPr>
                <w:rFonts w:eastAsia="Yu Gothic" w:cs="Times New Roman"/>
                <w:kern w:val="24"/>
                <w:szCs w:val="21"/>
              </w:rPr>
              <w:t>Feenstra</w:t>
            </w:r>
            <w:proofErr w:type="spellEnd"/>
            <w:r w:rsidRPr="00462E35">
              <w:rPr>
                <w:rFonts w:eastAsia="Yu Gothic" w:cs="Times New Roman"/>
                <w:kern w:val="24"/>
                <w:szCs w:val="21"/>
              </w:rPr>
              <w:t xml:space="preserve"> et al. (2013); </w:t>
            </w:r>
            <w:proofErr w:type="spellStart"/>
            <w:r w:rsidRPr="00462E35">
              <w:rPr>
                <w:rFonts w:eastAsia="Yu Gothic" w:cs="Times New Roman"/>
                <w:kern w:val="24"/>
                <w:szCs w:val="21"/>
              </w:rPr>
              <w:t>Lenzen</w:t>
            </w:r>
            <w:proofErr w:type="spellEnd"/>
            <w:r w:rsidRPr="00462E35">
              <w:rPr>
                <w:rFonts w:eastAsia="Yu Gothic" w:cs="Times New Roman"/>
                <w:kern w:val="24"/>
                <w:szCs w:val="21"/>
              </w:rPr>
              <w:t xml:space="preserve"> et al. (2013); Conference Board (2016)</w:t>
            </w:r>
          </w:p>
        </w:tc>
      </w:tr>
    </w:tbl>
    <w:p w:rsidR="00403A26" w:rsidRPr="00462E35" w:rsidRDefault="00403A26" w:rsidP="00403A26">
      <w:pPr>
        <w:spacing w:line="360" w:lineRule="auto"/>
        <w:rPr>
          <w:rFonts w:cs="Times New Roman"/>
          <w:szCs w:val="21"/>
        </w:rPr>
      </w:pPr>
      <w:r w:rsidRPr="00462E35">
        <w:rPr>
          <w:rFonts w:cs="Times New Roman"/>
          <w:szCs w:val="21"/>
        </w:rPr>
        <w:t>Table A2: Data sources and assumptions for the calculation of human capital</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1"/>
          <w:numId w:val="10"/>
        </w:numPr>
        <w:spacing w:line="360" w:lineRule="auto"/>
        <w:ind w:leftChars="0"/>
        <w:rPr>
          <w:rFonts w:cs="Times New Roman"/>
          <w:szCs w:val="21"/>
        </w:rPr>
      </w:pPr>
      <w:r w:rsidRPr="00462E35">
        <w:rPr>
          <w:rFonts w:cs="Times New Roman"/>
          <w:szCs w:val="21"/>
        </w:rPr>
        <w:t>Health</w:t>
      </w:r>
    </w:p>
    <w:p w:rsidR="00403A26" w:rsidRPr="00462E35" w:rsidRDefault="00403A26" w:rsidP="00403A26">
      <w:pPr>
        <w:spacing w:line="360" w:lineRule="auto"/>
        <w:rPr>
          <w:rFonts w:cs="Times New Roman"/>
          <w:szCs w:val="21"/>
        </w:rPr>
      </w:pPr>
      <w:r w:rsidRPr="00462E35">
        <w:rPr>
          <w:rFonts w:cs="Times New Roman"/>
          <w:szCs w:val="21"/>
        </w:rPr>
        <w:lastRenderedPageBreak/>
        <w:t>The state of health affects human well-being through at least three channels: contributing to well-being directly, raising productivity, and extending life years (UNU-IHDP and UNEP 2014). We compute the last of these three values of health capital, largely because it is still challenging to account for the first and second ones.</w:t>
      </w:r>
    </w:p>
    <w:p w:rsidR="00403A26" w:rsidRPr="00462E35" w:rsidRDefault="00403A26" w:rsidP="00403A26">
      <w:pPr>
        <w:spacing w:line="360" w:lineRule="auto"/>
        <w:ind w:firstLineChars="150" w:firstLine="330"/>
        <w:rPr>
          <w:rFonts w:cs="Times New Roman"/>
          <w:iCs/>
          <w:szCs w:val="21"/>
        </w:rPr>
      </w:pPr>
      <w:r w:rsidRPr="00462E35">
        <w:rPr>
          <w:rFonts w:cs="Times New Roman"/>
          <w:iCs/>
          <w:szCs w:val="21"/>
        </w:rPr>
        <w:t xml:space="preserve">Health capital of an individual of age </w:t>
      </w:r>
      <m:oMath>
        <m:r>
          <w:rPr>
            <w:rFonts w:ascii="Cambria Math" w:hAnsi="Cambria Math" w:cs="Times New Roman"/>
            <w:szCs w:val="21"/>
          </w:rPr>
          <m:t>a</m:t>
        </m:r>
      </m:oMath>
      <w:r w:rsidRPr="00462E35">
        <w:rPr>
          <w:rFonts w:cs="Times New Roman"/>
          <w:iCs/>
          <w:szCs w:val="21"/>
        </w:rPr>
        <w:t xml:space="preserve"> is defined by</w:t>
      </w:r>
    </w:p>
    <w:p w:rsidR="00403A26" w:rsidRPr="00462E35" w:rsidRDefault="00403A26" w:rsidP="00403A26">
      <w:pPr>
        <w:spacing w:line="360" w:lineRule="auto"/>
        <w:rPr>
          <w:rFonts w:cs="Times New Roman"/>
          <w:iCs/>
          <w:szCs w:val="21"/>
        </w:rPr>
      </w:pPr>
      <m:oMathPara>
        <m:oMath>
          <m:r>
            <w:rPr>
              <w:rFonts w:ascii="Cambria Math" w:hAnsi="Cambria Math" w:cs="Times New Roman"/>
              <w:szCs w:val="21"/>
            </w:rPr>
            <m:t>H</m:t>
          </m:r>
          <m:d>
            <m:dPr>
              <m:ctrlPr>
                <w:rPr>
                  <w:rFonts w:ascii="Cambria Math" w:hAnsi="Cambria Math" w:cs="Times New Roman"/>
                  <w:i/>
                  <w:iCs/>
                  <w:szCs w:val="21"/>
                </w:rPr>
              </m:ctrlPr>
            </m:dPr>
            <m:e>
              <m:r>
                <w:rPr>
                  <w:rFonts w:ascii="Cambria Math" w:hAnsi="Cambria Math" w:cs="Times New Roman"/>
                  <w:szCs w:val="21"/>
                </w:rPr>
                <m:t>a</m:t>
              </m:r>
            </m:e>
          </m:d>
          <m:r>
            <w:rPr>
              <w:rFonts w:ascii="Cambria Math" w:hAnsi="Cambria Math" w:cs="Times New Roman"/>
              <w:szCs w:val="21"/>
            </w:rPr>
            <m:t>=</m:t>
          </m:r>
          <m:nary>
            <m:naryPr>
              <m:chr m:val="∑"/>
              <m:ctrlPr>
                <w:rPr>
                  <w:rFonts w:ascii="Cambria Math" w:hAnsi="Cambria Math" w:cs="Times New Roman"/>
                  <w:i/>
                  <w:iCs/>
                  <w:szCs w:val="21"/>
                </w:rPr>
              </m:ctrlPr>
            </m:naryPr>
            <m:sub>
              <m:r>
                <w:rPr>
                  <w:rFonts w:ascii="Cambria Math" w:hAnsi="Cambria Math" w:cs="Times New Roman"/>
                  <w:szCs w:val="21"/>
                </w:rPr>
                <m:t>t=a</m:t>
              </m:r>
            </m:sub>
            <m:sup>
              <m:r>
                <w:rPr>
                  <w:rFonts w:ascii="Cambria Math" w:hAnsi="Cambria Math" w:cs="Times New Roman"/>
                  <w:szCs w:val="21"/>
                </w:rPr>
                <m:t>100</m:t>
              </m:r>
            </m:sup>
            <m:e>
              <m:r>
                <w:rPr>
                  <w:rFonts w:ascii="Cambria Math" w:hAnsi="Cambria Math" w:cs="Times New Roman"/>
                  <w:szCs w:val="21"/>
                </w:rPr>
                <m:t>f</m:t>
              </m:r>
              <m:d>
                <m:dPr>
                  <m:ctrlPr>
                    <w:rPr>
                      <w:rFonts w:ascii="Cambria Math" w:hAnsi="Cambria Math" w:cs="Times New Roman"/>
                      <w:i/>
                      <w:iCs/>
                      <w:szCs w:val="21"/>
                    </w:rPr>
                  </m:ctrlPr>
                </m:dPr>
                <m:e>
                  <m:r>
                    <w:rPr>
                      <w:rFonts w:ascii="Cambria Math" w:hAnsi="Cambria Math" w:cs="Times New Roman"/>
                      <w:szCs w:val="21"/>
                    </w:rPr>
                    <m:t>t|t≥a</m:t>
                  </m:r>
                </m:e>
              </m:d>
              <m:r>
                <w:rPr>
                  <w:rFonts w:ascii="Cambria Math" w:hAnsi="Cambria Math" w:cs="Times New Roman"/>
                  <w:szCs w:val="21"/>
                </w:rPr>
                <m:t>V</m:t>
              </m:r>
              <m:d>
                <m:dPr>
                  <m:ctrlPr>
                    <w:rPr>
                      <w:rFonts w:ascii="Cambria Math" w:hAnsi="Cambria Math" w:cs="Times New Roman"/>
                      <w:i/>
                      <w:iCs/>
                      <w:szCs w:val="21"/>
                    </w:rPr>
                  </m:ctrlPr>
                </m:dPr>
                <m:e>
                  <m:r>
                    <w:rPr>
                      <w:rFonts w:ascii="Cambria Math" w:hAnsi="Cambria Math" w:cs="Times New Roman"/>
                      <w:szCs w:val="21"/>
                    </w:rPr>
                    <m:t>a,t</m:t>
                  </m:r>
                </m:e>
              </m:d>
              <m:r>
                <w:rPr>
                  <w:rFonts w:ascii="Cambria Math" w:hAnsi="Cambria Math" w:cs="Times New Roman"/>
                  <w:szCs w:val="21"/>
                </w:rPr>
                <m:t>,</m:t>
              </m:r>
            </m:e>
          </m:nary>
        </m:oMath>
      </m:oMathPara>
    </w:p>
    <w:p w:rsidR="00403A26" w:rsidRPr="00462E35" w:rsidRDefault="00403A26" w:rsidP="00403A26">
      <w:pPr>
        <w:spacing w:line="360" w:lineRule="auto"/>
        <w:rPr>
          <w:rFonts w:cs="Times New Roman"/>
          <w:iCs/>
          <w:szCs w:val="21"/>
        </w:rPr>
      </w:pPr>
      <w:r w:rsidRPr="00462E35">
        <w:rPr>
          <w:rFonts w:cs="Times New Roman"/>
          <w:iCs/>
          <w:szCs w:val="21"/>
        </w:rPr>
        <w:t xml:space="preserve">Where conditional density of age of death given survival to age </w:t>
      </w:r>
      <m:oMath>
        <m:r>
          <w:rPr>
            <w:rFonts w:ascii="Cambria Math" w:hAnsi="Cambria Math" w:cs="Times New Roman"/>
            <w:szCs w:val="21"/>
          </w:rPr>
          <m:t>a</m:t>
        </m:r>
      </m:oMath>
      <w:r w:rsidRPr="00462E35">
        <w:rPr>
          <w:rFonts w:cs="Times New Roman"/>
          <w:iCs/>
          <w:szCs w:val="21"/>
        </w:rPr>
        <w:t xml:space="preserve"> is</w:t>
      </w:r>
    </w:p>
    <w:p w:rsidR="00403A26" w:rsidRPr="00462E35" w:rsidRDefault="00403A26" w:rsidP="00403A26">
      <w:pPr>
        <w:spacing w:line="360" w:lineRule="auto"/>
        <w:rPr>
          <w:rFonts w:cs="Times New Roman"/>
          <w:iCs/>
          <w:szCs w:val="21"/>
        </w:rPr>
      </w:pPr>
      <m:oMathPara>
        <m:oMath>
          <m:r>
            <w:rPr>
              <w:rFonts w:ascii="Cambria Math" w:hAnsi="Cambria Math" w:cs="Times New Roman"/>
              <w:szCs w:val="21"/>
            </w:rPr>
            <m:t>f</m:t>
          </m:r>
          <m:d>
            <m:dPr>
              <m:ctrlPr>
                <w:rPr>
                  <w:rFonts w:ascii="Cambria Math" w:hAnsi="Cambria Math" w:cs="Times New Roman"/>
                  <w:i/>
                  <w:iCs/>
                  <w:szCs w:val="21"/>
                </w:rPr>
              </m:ctrlPr>
            </m:dPr>
            <m:e>
              <m:r>
                <w:rPr>
                  <w:rFonts w:ascii="Cambria Math" w:hAnsi="Cambria Math" w:cs="Times New Roman"/>
                  <w:szCs w:val="21"/>
                </w:rPr>
                <m:t>t|t≥a</m:t>
              </m:r>
            </m:e>
          </m:d>
          <m:r>
            <w:rPr>
              <w:rFonts w:ascii="Cambria Math" w:hAnsi="Cambria Math" w:cs="Times New Roman"/>
              <w:szCs w:val="21"/>
            </w:rPr>
            <m:t>=</m:t>
          </m:r>
          <m:f>
            <m:fPr>
              <m:ctrlPr>
                <w:rPr>
                  <w:rFonts w:ascii="Cambria Math" w:hAnsi="Cambria Math" w:cs="Times New Roman"/>
                  <w:i/>
                  <w:iCs/>
                  <w:szCs w:val="21"/>
                </w:rPr>
              </m:ctrlPr>
            </m:fPr>
            <m:num>
              <m:r>
                <w:rPr>
                  <w:rFonts w:ascii="Cambria Math" w:hAnsi="Cambria Math" w:cs="Times New Roman"/>
                  <w:szCs w:val="21"/>
                </w:rPr>
                <m:t>f</m:t>
              </m:r>
              <m:d>
                <m:dPr>
                  <m:ctrlPr>
                    <w:rPr>
                      <w:rFonts w:ascii="Cambria Math" w:hAnsi="Cambria Math" w:cs="Times New Roman"/>
                      <w:i/>
                      <w:iCs/>
                      <w:szCs w:val="21"/>
                    </w:rPr>
                  </m:ctrlPr>
                </m:dPr>
                <m:e>
                  <m:r>
                    <w:rPr>
                      <w:rFonts w:ascii="Cambria Math" w:hAnsi="Cambria Math" w:cs="Times New Roman"/>
                      <w:szCs w:val="21"/>
                    </w:rPr>
                    <m:t>t</m:t>
                  </m:r>
                </m:e>
              </m:d>
            </m:num>
            <m:den>
              <m:d>
                <m:dPr>
                  <m:begChr m:val="["/>
                  <m:endChr m:val="]"/>
                  <m:ctrlPr>
                    <w:rPr>
                      <w:rFonts w:ascii="Cambria Math" w:hAnsi="Cambria Math" w:cs="Times New Roman"/>
                      <w:i/>
                      <w:iCs/>
                      <w:szCs w:val="21"/>
                    </w:rPr>
                  </m:ctrlPr>
                </m:dPr>
                <m:e>
                  <m:r>
                    <w:rPr>
                      <w:rFonts w:ascii="Cambria Math" w:hAnsi="Cambria Math" w:cs="Times New Roman"/>
                      <w:szCs w:val="21"/>
                    </w:rPr>
                    <m:t>1-F</m:t>
                  </m:r>
                  <m:d>
                    <m:dPr>
                      <m:ctrlPr>
                        <w:rPr>
                          <w:rFonts w:ascii="Cambria Math" w:hAnsi="Cambria Math" w:cs="Times New Roman"/>
                          <w:i/>
                          <w:iCs/>
                          <w:szCs w:val="21"/>
                        </w:rPr>
                      </m:ctrlPr>
                    </m:dPr>
                    <m:e>
                      <m:r>
                        <w:rPr>
                          <w:rFonts w:ascii="Cambria Math" w:hAnsi="Cambria Math" w:cs="Times New Roman"/>
                          <w:szCs w:val="21"/>
                        </w:rPr>
                        <m:t>a</m:t>
                      </m:r>
                    </m:e>
                  </m:d>
                </m:e>
              </m:d>
            </m:den>
          </m:f>
          <m:r>
            <m:rPr>
              <m:sty m:val="p"/>
            </m:rPr>
            <w:rPr>
              <w:rFonts w:ascii="Cambria Math" w:hAnsi="Cambria Math" w:cs="Times New Roman"/>
              <w:szCs w:val="21"/>
            </w:rPr>
            <m:t>,</m:t>
          </m:r>
        </m:oMath>
      </m:oMathPara>
    </w:p>
    <w:p w:rsidR="00403A26" w:rsidRPr="00462E35" w:rsidRDefault="00403A26" w:rsidP="00403A26">
      <w:pPr>
        <w:spacing w:line="360" w:lineRule="auto"/>
        <w:rPr>
          <w:rFonts w:cs="Times New Roman"/>
          <w:iCs/>
          <w:szCs w:val="21"/>
        </w:rPr>
      </w:pPr>
      <w:r w:rsidRPr="00462E35">
        <w:rPr>
          <w:rFonts w:cs="Times New Roman"/>
          <w:iCs/>
          <w:szCs w:val="21"/>
        </w:rPr>
        <w:t>and</w:t>
      </w:r>
    </w:p>
    <w:p w:rsidR="00403A26" w:rsidRPr="00462E35" w:rsidRDefault="00403A26" w:rsidP="00403A26">
      <w:pPr>
        <w:spacing w:line="360" w:lineRule="auto"/>
        <w:rPr>
          <w:rFonts w:cs="Times New Roman"/>
          <w:iCs/>
          <w:szCs w:val="21"/>
        </w:rPr>
      </w:pPr>
      <m:oMathPara>
        <m:oMath>
          <m:r>
            <w:rPr>
              <w:rFonts w:ascii="Cambria Math" w:hAnsi="Cambria Math" w:cs="Times New Roman"/>
              <w:szCs w:val="21"/>
            </w:rPr>
            <m:t>V</m:t>
          </m:r>
          <m:d>
            <m:dPr>
              <m:ctrlPr>
                <w:rPr>
                  <w:rFonts w:ascii="Cambria Math" w:hAnsi="Cambria Math" w:cs="Times New Roman"/>
                  <w:i/>
                  <w:iCs/>
                  <w:szCs w:val="21"/>
                </w:rPr>
              </m:ctrlPr>
            </m:dPr>
            <m:e>
              <m:r>
                <w:rPr>
                  <w:rFonts w:ascii="Cambria Math" w:hAnsi="Cambria Math" w:cs="Times New Roman"/>
                  <w:szCs w:val="21"/>
                </w:rPr>
                <m:t>a,t</m:t>
              </m:r>
            </m:e>
          </m:d>
          <m:r>
            <w:rPr>
              <w:rFonts w:ascii="Cambria Math" w:hAnsi="Cambria Math" w:cs="Times New Roman"/>
              <w:szCs w:val="21"/>
            </w:rPr>
            <m:t>=</m:t>
          </m:r>
          <m:nary>
            <m:naryPr>
              <m:chr m:val="∑"/>
              <m:ctrlPr>
                <w:rPr>
                  <w:rFonts w:ascii="Cambria Math" w:hAnsi="Cambria Math" w:cs="Times New Roman"/>
                  <w:i/>
                  <w:iCs/>
                  <w:szCs w:val="21"/>
                </w:rPr>
              </m:ctrlPr>
            </m:naryPr>
            <m:sub>
              <m:r>
                <w:rPr>
                  <w:rFonts w:ascii="Cambria Math" w:hAnsi="Cambria Math" w:cs="Times New Roman"/>
                  <w:szCs w:val="21"/>
                </w:rPr>
                <m:t>u=0</m:t>
              </m:r>
            </m:sub>
            <m:sup>
              <m:r>
                <w:rPr>
                  <w:rFonts w:ascii="Cambria Math" w:hAnsi="Cambria Math" w:cs="Times New Roman"/>
                  <w:szCs w:val="21"/>
                </w:rPr>
                <m:t>t-a</m:t>
              </m:r>
            </m:sup>
            <m:e>
              <m:sSup>
                <m:sSupPr>
                  <m:ctrlPr>
                    <w:rPr>
                      <w:rFonts w:ascii="Cambria Math" w:hAnsi="Cambria Math" w:cs="Times New Roman"/>
                      <w:i/>
                      <w:iCs/>
                      <w:szCs w:val="21"/>
                    </w:rPr>
                  </m:ctrlPr>
                </m:sSupPr>
                <m:e>
                  <m:d>
                    <m:dPr>
                      <m:ctrlPr>
                        <w:rPr>
                          <w:rFonts w:ascii="Cambria Math" w:hAnsi="Cambria Math" w:cs="Times New Roman"/>
                          <w:i/>
                          <w:iCs/>
                          <w:szCs w:val="21"/>
                        </w:rPr>
                      </m:ctrlPr>
                    </m:dPr>
                    <m:e>
                      <m:r>
                        <w:rPr>
                          <w:rFonts w:ascii="Cambria Math" w:hAnsi="Cambria Math" w:cs="Times New Roman"/>
                          <w:szCs w:val="21"/>
                        </w:rPr>
                        <m:t>1-δ</m:t>
                      </m:r>
                    </m:e>
                  </m:d>
                </m:e>
                <m:sup>
                  <m:r>
                    <w:rPr>
                      <w:rFonts w:ascii="Cambria Math" w:hAnsi="Cambria Math" w:cs="Times New Roman"/>
                      <w:szCs w:val="21"/>
                    </w:rPr>
                    <m:t>u</m:t>
                  </m:r>
                </m:sup>
              </m:sSup>
            </m:e>
          </m:nary>
        </m:oMath>
      </m:oMathPara>
    </w:p>
    <w:p w:rsidR="00403A26" w:rsidRPr="00462E35" w:rsidRDefault="00403A26" w:rsidP="00403A26">
      <w:pPr>
        <w:spacing w:line="360" w:lineRule="auto"/>
        <w:rPr>
          <w:rFonts w:cs="Times New Roman"/>
          <w:szCs w:val="21"/>
        </w:rPr>
      </w:pPr>
      <w:r w:rsidRPr="00462E35">
        <w:rPr>
          <w:rFonts w:cs="Times New Roman"/>
          <w:iCs/>
          <w:szCs w:val="21"/>
        </w:rPr>
        <w:t xml:space="preserve">is the discount factor. </w:t>
      </w:r>
      <w:r w:rsidRPr="00462E35">
        <w:rPr>
          <w:rFonts w:eastAsia="Yu Mincho" w:cs="Times New Roman"/>
          <w:szCs w:val="21"/>
        </w:rPr>
        <w:t>The total</w:t>
      </w:r>
      <w:r w:rsidRPr="00462E35">
        <w:rPr>
          <w:rFonts w:cs="Times New Roman"/>
          <w:szCs w:val="21"/>
        </w:rPr>
        <w:t xml:space="preserve"> health capital of a country is</w:t>
      </w:r>
    </w:p>
    <w:p w:rsidR="00403A26" w:rsidRPr="00462E35" w:rsidRDefault="00403A26" w:rsidP="00403A26">
      <w:pPr>
        <w:spacing w:line="360" w:lineRule="auto"/>
        <w:rPr>
          <w:rFonts w:cs="Times New Roman"/>
          <w:iCs/>
          <w:szCs w:val="21"/>
        </w:rPr>
      </w:pPr>
      <m:oMathPara>
        <m:oMath>
          <m:r>
            <w:rPr>
              <w:rFonts w:ascii="Cambria Math" w:hAnsi="Cambria Math" w:cs="Times New Roman"/>
              <w:szCs w:val="21"/>
            </w:rPr>
            <m:t>H=</m:t>
          </m:r>
          <m:nary>
            <m:naryPr>
              <m:chr m:val="∑"/>
              <m:ctrlPr>
                <w:rPr>
                  <w:rFonts w:ascii="Cambria Math" w:hAnsi="Cambria Math" w:cs="Times New Roman"/>
                  <w:i/>
                  <w:iCs/>
                  <w:szCs w:val="21"/>
                </w:rPr>
              </m:ctrlPr>
            </m:naryPr>
            <m:sub>
              <m:r>
                <w:rPr>
                  <w:rFonts w:ascii="Cambria Math" w:hAnsi="Cambria Math" w:cs="Times New Roman"/>
                  <w:szCs w:val="21"/>
                </w:rPr>
                <m:t>a=0</m:t>
              </m:r>
            </m:sub>
            <m:sup>
              <m:r>
                <w:rPr>
                  <w:rFonts w:ascii="Cambria Math" w:hAnsi="Cambria Math" w:cs="Times New Roman"/>
                  <w:szCs w:val="21"/>
                </w:rPr>
                <m:t>100</m:t>
              </m:r>
            </m:sup>
            <m:e>
              <m:r>
                <w:rPr>
                  <w:rFonts w:ascii="Cambria Math" w:hAnsi="Cambria Math" w:cs="Times New Roman"/>
                  <w:szCs w:val="21"/>
                </w:rPr>
                <m:t>H</m:t>
              </m:r>
              <m:d>
                <m:dPr>
                  <m:ctrlPr>
                    <w:rPr>
                      <w:rFonts w:ascii="Cambria Math" w:hAnsi="Cambria Math" w:cs="Times New Roman"/>
                      <w:i/>
                      <w:iCs/>
                      <w:szCs w:val="21"/>
                    </w:rPr>
                  </m:ctrlPr>
                </m:dPr>
                <m:e>
                  <m:r>
                    <w:rPr>
                      <w:rFonts w:ascii="Cambria Math" w:hAnsi="Cambria Math" w:cs="Times New Roman"/>
                      <w:szCs w:val="21"/>
                    </w:rPr>
                    <m:t>a</m:t>
                  </m:r>
                </m:e>
              </m:d>
              <m:r>
                <w:rPr>
                  <w:rFonts w:ascii="Cambria Math" w:hAnsi="Cambria Math" w:cs="Times New Roman"/>
                  <w:szCs w:val="21"/>
                </w:rPr>
                <m:t>P</m:t>
              </m:r>
              <m:d>
                <m:dPr>
                  <m:ctrlPr>
                    <w:rPr>
                      <w:rFonts w:ascii="Cambria Math" w:hAnsi="Cambria Math" w:cs="Times New Roman"/>
                      <w:i/>
                      <w:iCs/>
                      <w:szCs w:val="21"/>
                    </w:rPr>
                  </m:ctrlPr>
                </m:dPr>
                <m:e>
                  <m:r>
                    <w:rPr>
                      <w:rFonts w:ascii="Cambria Math" w:hAnsi="Cambria Math" w:cs="Times New Roman"/>
                      <w:szCs w:val="21"/>
                    </w:rPr>
                    <m:t>a</m:t>
                  </m:r>
                </m:e>
              </m:d>
            </m:e>
          </m:nary>
          <m:r>
            <w:rPr>
              <w:rFonts w:ascii="Cambria Math" w:hAnsi="Cambria Math" w:cs="Times New Roman"/>
              <w:szCs w:val="21"/>
            </w:rPr>
            <m:t>,</m:t>
          </m:r>
        </m:oMath>
      </m:oMathPara>
    </w:p>
    <w:p w:rsidR="00403A26" w:rsidRPr="00462E35" w:rsidRDefault="00403A26" w:rsidP="00403A26">
      <w:pPr>
        <w:spacing w:line="360" w:lineRule="auto"/>
        <w:rPr>
          <w:rFonts w:cs="Times New Roman"/>
          <w:szCs w:val="21"/>
        </w:rPr>
      </w:pPr>
      <w:r w:rsidRPr="00462E35">
        <w:rPr>
          <w:rFonts w:cs="Times New Roman"/>
          <w:iCs/>
          <w:szCs w:val="21"/>
        </w:rPr>
        <w:t xml:space="preserve">where </w:t>
      </w:r>
      <m:oMath>
        <m:r>
          <w:rPr>
            <w:rFonts w:ascii="Cambria Math" w:hAnsi="Cambria Math" w:cs="Times New Roman"/>
            <w:szCs w:val="21"/>
          </w:rPr>
          <m:t>P</m:t>
        </m:r>
        <m:d>
          <m:dPr>
            <m:ctrlPr>
              <w:rPr>
                <w:rFonts w:ascii="Cambria Math" w:hAnsi="Cambria Math" w:cs="Times New Roman"/>
                <w:i/>
                <w:iCs/>
                <w:szCs w:val="21"/>
              </w:rPr>
            </m:ctrlPr>
          </m:dPr>
          <m:e>
            <m:r>
              <w:rPr>
                <w:rFonts w:ascii="Cambria Math" w:hAnsi="Cambria Math" w:cs="Times New Roman"/>
                <w:szCs w:val="21"/>
              </w:rPr>
              <m:t>a</m:t>
            </m:r>
          </m:e>
        </m:d>
      </m:oMath>
      <w:r w:rsidRPr="00462E35">
        <w:rPr>
          <w:rFonts w:cs="Times New Roman"/>
          <w:iCs/>
          <w:szCs w:val="21"/>
        </w:rPr>
        <w:t xml:space="preserve"> is the population of age </w:t>
      </w:r>
      <m:oMath>
        <m:r>
          <w:rPr>
            <w:rFonts w:ascii="Cambria Math" w:hAnsi="Cambria Math" w:cs="Times New Roman"/>
            <w:szCs w:val="21"/>
          </w:rPr>
          <m:t>a</m:t>
        </m:r>
      </m:oMath>
      <w:r w:rsidRPr="00462E35">
        <w:rPr>
          <w:rFonts w:cs="Times New Roman"/>
          <w:iCs/>
          <w:szCs w:val="21"/>
        </w:rPr>
        <w:t>.</w:t>
      </w:r>
    </w:p>
    <w:p w:rsidR="00403A26" w:rsidRPr="00462E35" w:rsidRDefault="00403A26" w:rsidP="00403A26">
      <w:pPr>
        <w:spacing w:line="360" w:lineRule="auto"/>
        <w:ind w:firstLineChars="150" w:firstLine="330"/>
        <w:rPr>
          <w:rFonts w:cs="Times New Roman"/>
          <w:szCs w:val="21"/>
        </w:rPr>
      </w:pPr>
      <w:r w:rsidRPr="00462E35">
        <w:rPr>
          <w:rFonts w:cs="Times New Roman"/>
          <w:iCs/>
          <w:szCs w:val="21"/>
        </w:rPr>
        <w:t>The shadow price of health capital is simply the value of a statistical life year (</w:t>
      </w:r>
      <w:r w:rsidRPr="00462E35">
        <w:rPr>
          <w:rFonts w:cs="Times New Roman"/>
          <w:szCs w:val="21"/>
        </w:rPr>
        <w:t xml:space="preserve">VSLY). For </w:t>
      </w:r>
      <w:r w:rsidRPr="00462E35">
        <w:rPr>
          <w:rFonts w:eastAsia="Yu Mincho" w:cs="Times New Roman"/>
          <w:szCs w:val="21"/>
        </w:rPr>
        <w:t xml:space="preserve">a </w:t>
      </w:r>
      <w:r w:rsidRPr="00462E35">
        <w:rPr>
          <w:rFonts w:cs="Times New Roman"/>
          <w:szCs w:val="21"/>
        </w:rPr>
        <w:t>more detailed illustration, see Arrow et al. (2012; 2013) and UNU-IHDP and UNEP (2014). These values for health capital are not reported in the current paper.</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0"/>
          <w:numId w:val="10"/>
        </w:numPr>
        <w:spacing w:line="360" w:lineRule="auto"/>
        <w:ind w:leftChars="0"/>
        <w:rPr>
          <w:rFonts w:cs="Times New Roman"/>
          <w:szCs w:val="21"/>
        </w:rPr>
      </w:pPr>
      <w:r w:rsidRPr="00462E35">
        <w:rPr>
          <w:rFonts w:cs="Times New Roman"/>
          <w:szCs w:val="21"/>
        </w:rPr>
        <w:t>Natural capital</w:t>
      </w:r>
    </w:p>
    <w:p w:rsidR="00403A26" w:rsidRPr="00462E35" w:rsidRDefault="00403A26" w:rsidP="00403A26">
      <w:pPr>
        <w:spacing w:line="360" w:lineRule="auto"/>
        <w:rPr>
          <w:rFonts w:cs="Times New Roman"/>
          <w:szCs w:val="21"/>
        </w:rPr>
      </w:pPr>
      <w:r w:rsidRPr="00462E35">
        <w:rPr>
          <w:rFonts w:cs="Times New Roman"/>
          <w:szCs w:val="21"/>
        </w:rPr>
        <w:t xml:space="preserve">For natural capital, the current edition of IWR </w:t>
      </w:r>
      <w:r w:rsidRPr="00462E35">
        <w:rPr>
          <w:rFonts w:eastAsia="Yu Mincho" w:cs="Times New Roman"/>
          <w:szCs w:val="21"/>
        </w:rPr>
        <w:t>accounts</w:t>
      </w:r>
      <w:r w:rsidRPr="00462E35">
        <w:rPr>
          <w:rFonts w:cs="Times New Roman"/>
          <w:szCs w:val="21"/>
        </w:rPr>
        <w:t xml:space="preserve"> for non-renewable resources (fossil fuel and minerals) and renewable resources (agricultural land, forest, and fishery). We illustrate how we account for the five classes in turn.</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1"/>
          <w:numId w:val="10"/>
        </w:numPr>
        <w:spacing w:line="360" w:lineRule="auto"/>
        <w:ind w:leftChars="0"/>
        <w:rPr>
          <w:rFonts w:cs="Times New Roman"/>
          <w:szCs w:val="21"/>
        </w:rPr>
      </w:pPr>
      <w:r w:rsidRPr="00462E35">
        <w:rPr>
          <w:rFonts w:cs="Times New Roman"/>
          <w:szCs w:val="21"/>
        </w:rPr>
        <w:t>Fossil fuels</w:t>
      </w:r>
    </w:p>
    <w:p w:rsidR="00403A26" w:rsidRPr="00462E35" w:rsidRDefault="00403A26" w:rsidP="00403A26">
      <w:pPr>
        <w:spacing w:line="360" w:lineRule="auto"/>
        <w:rPr>
          <w:rFonts w:cs="Times New Roman"/>
          <w:szCs w:val="21"/>
        </w:rPr>
      </w:pPr>
      <w:r w:rsidRPr="00462E35">
        <w:rPr>
          <w:rFonts w:cs="Times New Roman"/>
          <w:szCs w:val="21"/>
        </w:rPr>
        <w:t xml:space="preserve">Our account scope for fossil fuels includes coal, natural gas, and oil. For a given resource, we start from the current stock and then trace back past stocks by using each year of production. In this way, we can construct a consistent time-series dataset that reflects more recent accurate flow (extraction) variables. In other words, the corresponding stock under study in year </w:t>
      </w:r>
      <m:oMath>
        <m:r>
          <w:rPr>
            <w:rFonts w:ascii="Cambria Math" w:hAnsi="Cambria Math" w:cs="Times New Roman"/>
            <w:szCs w:val="21"/>
          </w:rPr>
          <m:t>t-1</m:t>
        </m:r>
      </m:oMath>
      <w:r w:rsidRPr="00462E35">
        <w:rPr>
          <w:rFonts w:cs="Times New Roman"/>
          <w:szCs w:val="21"/>
        </w:rPr>
        <w:t xml:space="preserve">, </w:t>
      </w:r>
      <m:oMath>
        <m:r>
          <w:rPr>
            <w:rFonts w:ascii="Cambria Math" w:hAnsi="Cambria Math" w:cs="Times New Roman"/>
            <w:szCs w:val="21"/>
          </w:rPr>
          <m:t>S</m:t>
        </m:r>
        <m:d>
          <m:dPr>
            <m:ctrlPr>
              <w:rPr>
                <w:rFonts w:ascii="Cambria Math" w:hAnsi="Cambria Math" w:cs="Times New Roman"/>
                <w:i/>
                <w:szCs w:val="21"/>
              </w:rPr>
            </m:ctrlPr>
          </m:dPr>
          <m:e>
            <m:r>
              <w:rPr>
                <w:rFonts w:ascii="Cambria Math" w:hAnsi="Cambria Math" w:cs="Times New Roman"/>
                <w:szCs w:val="21"/>
              </w:rPr>
              <m:t>t-1</m:t>
            </m:r>
          </m:e>
        </m:d>
        <m:r>
          <w:rPr>
            <w:rFonts w:ascii="Cambria Math" w:hAnsi="Cambria Math" w:cs="Times New Roman"/>
            <w:szCs w:val="21"/>
          </w:rPr>
          <m:t>,</m:t>
        </m:r>
      </m:oMath>
      <w:r w:rsidRPr="00462E35">
        <w:rPr>
          <w:rFonts w:cs="Times New Roman"/>
          <w:szCs w:val="21"/>
        </w:rPr>
        <w:t xml:space="preserve"> is derived from the production, </w:t>
      </w:r>
      <m:oMath>
        <m:r>
          <w:rPr>
            <w:rFonts w:ascii="Cambria Math" w:hAnsi="Cambria Math" w:cs="Times New Roman"/>
            <w:szCs w:val="21"/>
          </w:rPr>
          <m:t>P</m:t>
        </m:r>
        <m:d>
          <m:dPr>
            <m:ctrlPr>
              <w:rPr>
                <w:rFonts w:ascii="Cambria Math" w:hAnsi="Cambria Math" w:cs="Times New Roman"/>
                <w:i/>
                <w:szCs w:val="21"/>
              </w:rPr>
            </m:ctrlPr>
          </m:dPr>
          <m:e>
            <m:r>
              <w:rPr>
                <w:rFonts w:ascii="Cambria Math" w:hAnsi="Cambria Math" w:cs="Times New Roman"/>
                <w:szCs w:val="21"/>
              </w:rPr>
              <m:t>t</m:t>
            </m:r>
          </m:e>
        </m:d>
        <m:r>
          <w:rPr>
            <w:rFonts w:ascii="Cambria Math" w:hAnsi="Cambria Math" w:cs="Times New Roman"/>
            <w:szCs w:val="21"/>
          </w:rPr>
          <m:t xml:space="preserve">, </m:t>
        </m:r>
      </m:oMath>
      <w:r w:rsidRPr="00462E35">
        <w:rPr>
          <w:rFonts w:cs="Times New Roman"/>
          <w:szCs w:val="21"/>
        </w:rPr>
        <w:t xml:space="preserve">and the stock in year </w:t>
      </w:r>
      <m:oMath>
        <m:r>
          <w:rPr>
            <w:rFonts w:ascii="Cambria Math" w:hAnsi="Cambria Math" w:cs="Times New Roman"/>
            <w:szCs w:val="21"/>
          </w:rPr>
          <m:t>t</m:t>
        </m:r>
      </m:oMath>
      <w:r w:rsidRPr="00462E35">
        <w:rPr>
          <w:rFonts w:cs="Times New Roman"/>
          <w:szCs w:val="21"/>
        </w:rPr>
        <w:t xml:space="preserve">, </w:t>
      </w:r>
      <m:oMath>
        <m:r>
          <w:rPr>
            <w:rFonts w:ascii="Cambria Math" w:hAnsi="Cambria Math" w:cs="Times New Roman"/>
            <w:szCs w:val="21"/>
          </w:rPr>
          <m:t>S</m:t>
        </m:r>
        <m:d>
          <m:dPr>
            <m:ctrlPr>
              <w:rPr>
                <w:rFonts w:ascii="Cambria Math" w:hAnsi="Cambria Math" w:cs="Times New Roman"/>
                <w:i/>
                <w:szCs w:val="21"/>
              </w:rPr>
            </m:ctrlPr>
          </m:dPr>
          <m:e>
            <m:r>
              <w:rPr>
                <w:rFonts w:ascii="Cambria Math" w:hAnsi="Cambria Math" w:cs="Times New Roman"/>
                <w:szCs w:val="21"/>
              </w:rPr>
              <m:t>t</m:t>
            </m:r>
          </m:e>
        </m:d>
        <m:r>
          <w:rPr>
            <w:rFonts w:ascii="Cambria Math" w:hAnsi="Cambria Math" w:cs="Times New Roman"/>
            <w:szCs w:val="21"/>
          </w:rPr>
          <m:t>,</m:t>
        </m:r>
      </m:oMath>
      <w:r w:rsidRPr="00462E35">
        <w:rPr>
          <w:rFonts w:cs="Times New Roman"/>
          <w:szCs w:val="21"/>
        </w:rPr>
        <w:t xml:space="preserve"> by</w:t>
      </w:r>
    </w:p>
    <w:p w:rsidR="00403A26" w:rsidRPr="00462E35" w:rsidRDefault="00403A26" w:rsidP="00403A26">
      <w:pPr>
        <w:spacing w:line="360" w:lineRule="auto"/>
        <w:rPr>
          <w:rFonts w:cs="Times New Roman"/>
          <w:szCs w:val="21"/>
        </w:rPr>
      </w:pPr>
      <m:oMathPara>
        <m:oMath>
          <m:r>
            <w:rPr>
              <w:rFonts w:ascii="Cambria Math" w:hAnsi="Cambria Math" w:cs="Times New Roman"/>
              <w:szCs w:val="21"/>
            </w:rPr>
            <m:t>S</m:t>
          </m:r>
          <m:d>
            <m:dPr>
              <m:ctrlPr>
                <w:rPr>
                  <w:rFonts w:ascii="Cambria Math" w:hAnsi="Cambria Math" w:cs="Times New Roman"/>
                  <w:i/>
                  <w:szCs w:val="21"/>
                </w:rPr>
              </m:ctrlPr>
            </m:dPr>
            <m:e>
              <m:r>
                <w:rPr>
                  <w:rFonts w:ascii="Cambria Math" w:hAnsi="Cambria Math" w:cs="Times New Roman"/>
                  <w:szCs w:val="21"/>
                </w:rPr>
                <m:t>t-1</m:t>
              </m:r>
            </m:e>
          </m:d>
          <m:r>
            <w:rPr>
              <w:rFonts w:ascii="Cambria Math" w:hAnsi="Cambria Math" w:cs="Times New Roman"/>
              <w:szCs w:val="21"/>
            </w:rPr>
            <m:t>=S</m:t>
          </m:r>
          <m:d>
            <m:dPr>
              <m:ctrlPr>
                <w:rPr>
                  <w:rFonts w:ascii="Cambria Math" w:hAnsi="Cambria Math" w:cs="Times New Roman"/>
                  <w:i/>
                  <w:szCs w:val="21"/>
                </w:rPr>
              </m:ctrlPr>
            </m:dPr>
            <m:e>
              <m:r>
                <w:rPr>
                  <w:rFonts w:ascii="Cambria Math" w:hAnsi="Cambria Math" w:cs="Times New Roman"/>
                  <w:szCs w:val="21"/>
                </w:rPr>
                <m:t>t</m:t>
              </m:r>
            </m:e>
          </m:d>
          <m:r>
            <w:rPr>
              <w:rFonts w:ascii="Cambria Math" w:hAnsi="Cambria Math" w:cs="Times New Roman"/>
              <w:szCs w:val="21"/>
            </w:rPr>
            <m:t>+P</m:t>
          </m:r>
          <m:d>
            <m:dPr>
              <m:ctrlPr>
                <w:rPr>
                  <w:rFonts w:ascii="Cambria Math" w:hAnsi="Cambria Math" w:cs="Times New Roman"/>
                  <w:i/>
                  <w:szCs w:val="21"/>
                </w:rPr>
              </m:ctrlPr>
            </m:dPr>
            <m:e>
              <m:r>
                <w:rPr>
                  <w:rFonts w:ascii="Cambria Math" w:hAnsi="Cambria Math" w:cs="Times New Roman"/>
                  <w:szCs w:val="21"/>
                </w:rPr>
                <m:t>t</m:t>
              </m:r>
            </m:e>
          </m:d>
          <m:r>
            <w:rPr>
              <w:rFonts w:ascii="Cambria Math" w:hAnsi="Cambria Math" w:cs="Times New Roman"/>
              <w:szCs w:val="21"/>
            </w:rPr>
            <m:t>.</m:t>
          </m:r>
        </m:oMath>
      </m:oMathPara>
    </w:p>
    <w:p w:rsidR="00403A26" w:rsidRPr="00462E35" w:rsidRDefault="00403A26" w:rsidP="00403A26">
      <w:pPr>
        <w:spacing w:line="360" w:lineRule="auto"/>
        <w:rPr>
          <w:rFonts w:cs="Times New Roman"/>
          <w:szCs w:val="21"/>
        </w:rPr>
      </w:pPr>
      <w:r w:rsidRPr="00462E35">
        <w:rPr>
          <w:rFonts w:cs="Times New Roman"/>
          <w:szCs w:val="21"/>
        </w:rPr>
        <w:t xml:space="preserve">   The unit shadow price of a non-renewable resource, </w:t>
      </w:r>
      <m:oMath>
        <m:sSub>
          <m:sSubPr>
            <m:ctrlPr>
              <w:rPr>
                <w:rFonts w:ascii="Cambria Math" w:hAnsi="Cambria Math" w:cs="Times New Roman"/>
                <w:i/>
                <w:szCs w:val="21"/>
              </w:rPr>
            </m:ctrlPr>
          </m:sSubPr>
          <m:e>
            <m:r>
              <w:rPr>
                <w:rFonts w:ascii="Cambria Math" w:hAnsi="Cambria Math" w:cs="Times New Roman"/>
                <w:szCs w:val="21"/>
              </w:rPr>
              <m:t>p</m:t>
            </m:r>
          </m:e>
          <m:sub>
            <m:r>
              <w:rPr>
                <w:rFonts w:ascii="Cambria Math" w:hAnsi="Cambria Math" w:cs="Times New Roman"/>
                <w:szCs w:val="21"/>
              </w:rPr>
              <m:t>S</m:t>
            </m:r>
          </m:sub>
        </m:sSub>
        <m:r>
          <w:rPr>
            <w:rFonts w:ascii="Cambria Math" w:hAnsi="Cambria Math" w:cs="Times New Roman"/>
            <w:szCs w:val="21"/>
          </w:rPr>
          <m:t>,</m:t>
        </m:r>
      </m:oMath>
      <w:r w:rsidRPr="00462E35">
        <w:rPr>
          <w:rFonts w:cs="Times New Roman"/>
          <w:szCs w:val="21"/>
        </w:rPr>
        <w:t xml:space="preserve"> is the price net of extraction cost, which is sometimes called rental price. Ideally, the marginal cost of extraction should be used for corresponding remaining stock, but it is known to be hard to obtain. We instead assume that the rental rate of the total price is constant, which is obtained from Narayanan et</w:t>
      </w:r>
      <w:r w:rsidRPr="00462E35">
        <w:rPr>
          <w:rFonts w:eastAsia="Yu Mincho" w:cs="Times New Roman"/>
          <w:szCs w:val="21"/>
        </w:rPr>
        <w:t xml:space="preserve"> </w:t>
      </w:r>
      <w:r w:rsidRPr="00462E35">
        <w:rPr>
          <w:rFonts w:cs="Times New Roman"/>
          <w:szCs w:val="21"/>
        </w:rPr>
        <w:t>al. (2012).</w:t>
      </w:r>
    </w:p>
    <w:p w:rsidR="00403A26" w:rsidRPr="00462E35" w:rsidRDefault="00403A26" w:rsidP="00403A26">
      <w:pPr>
        <w:spacing w:line="360" w:lineRule="auto"/>
        <w:rPr>
          <w:rFonts w:cs="Times New Roman"/>
          <w:szCs w:val="21"/>
        </w:rPr>
      </w:pPr>
    </w:p>
    <w:tbl>
      <w:tblPr>
        <w:tblW w:w="8607" w:type="dxa"/>
        <w:tblLook w:val="04A0" w:firstRow="1" w:lastRow="0" w:firstColumn="1" w:lastColumn="0" w:noHBand="0" w:noVBand="1"/>
      </w:tblPr>
      <w:tblGrid>
        <w:gridCol w:w="1574"/>
        <w:gridCol w:w="7033"/>
      </w:tblGrid>
      <w:tr w:rsidR="00462E35" w:rsidRPr="00462E35" w:rsidTr="00C07065">
        <w:trPr>
          <w:trHeight w:val="528"/>
        </w:trPr>
        <w:tc>
          <w:tcPr>
            <w:tcW w:w="1574" w:type="dxa"/>
            <w:hideMark/>
          </w:tcPr>
          <w:p w:rsidR="00403A26" w:rsidRPr="00462E35" w:rsidRDefault="00403A26" w:rsidP="00C07065">
            <w:pPr>
              <w:spacing w:line="360" w:lineRule="auto"/>
              <w:rPr>
                <w:rFonts w:cs="Times New Roman"/>
                <w:szCs w:val="21"/>
              </w:rPr>
            </w:pPr>
            <w:r w:rsidRPr="00462E35">
              <w:rPr>
                <w:rFonts w:cs="Times New Roman"/>
                <w:szCs w:val="21"/>
              </w:rPr>
              <w:t>Variables</w:t>
            </w:r>
          </w:p>
        </w:tc>
        <w:tc>
          <w:tcPr>
            <w:tcW w:w="7033" w:type="dxa"/>
            <w:hideMark/>
          </w:tcPr>
          <w:p w:rsidR="00403A26" w:rsidRPr="00462E35" w:rsidRDefault="00403A26" w:rsidP="00C07065">
            <w:pPr>
              <w:spacing w:line="360" w:lineRule="auto"/>
              <w:rPr>
                <w:rFonts w:cs="Times New Roman"/>
                <w:szCs w:val="21"/>
              </w:rPr>
            </w:pPr>
            <w:r w:rsidRPr="00462E35">
              <w:rPr>
                <w:rFonts w:cs="Times New Roman"/>
                <w:szCs w:val="21"/>
              </w:rPr>
              <w:t>Data sources / assumptions</w:t>
            </w:r>
          </w:p>
        </w:tc>
      </w:tr>
      <w:tr w:rsidR="00462E35" w:rsidRPr="00462E35" w:rsidTr="00C07065">
        <w:trPr>
          <w:trHeight w:val="528"/>
        </w:trPr>
        <w:tc>
          <w:tcPr>
            <w:tcW w:w="1574" w:type="dxa"/>
          </w:tcPr>
          <w:p w:rsidR="00403A26" w:rsidRPr="00462E35" w:rsidRDefault="00403A26" w:rsidP="00C07065">
            <w:pPr>
              <w:spacing w:line="360" w:lineRule="auto"/>
              <w:rPr>
                <w:rFonts w:cs="Times New Roman"/>
                <w:szCs w:val="21"/>
              </w:rPr>
            </w:pPr>
            <m:oMath>
              <m:r>
                <w:rPr>
                  <w:rFonts w:ascii="Cambria Math" w:hAnsi="Cambria Math" w:cs="Times New Roman"/>
                  <w:szCs w:val="21"/>
                </w:rPr>
                <m:t>S</m:t>
              </m:r>
            </m:oMath>
            <w:r w:rsidRPr="00462E35">
              <w:rPr>
                <w:rFonts w:cs="Times New Roman"/>
                <w:szCs w:val="21"/>
              </w:rPr>
              <w:t>: Reserve</w:t>
            </w:r>
          </w:p>
        </w:tc>
        <w:tc>
          <w:tcPr>
            <w:tcW w:w="7033" w:type="dxa"/>
          </w:tcPr>
          <w:p w:rsidR="00403A26" w:rsidRPr="00462E35" w:rsidRDefault="00403A26" w:rsidP="00C07065">
            <w:pPr>
              <w:spacing w:line="360" w:lineRule="auto"/>
              <w:rPr>
                <w:rFonts w:cs="Times New Roman"/>
                <w:szCs w:val="21"/>
              </w:rPr>
            </w:pPr>
            <w:r w:rsidRPr="00462E35">
              <w:rPr>
                <w:rFonts w:cs="Times New Roman"/>
                <w:szCs w:val="21"/>
              </w:rPr>
              <w:t>Proved reserve in BP (2015)</w:t>
            </w:r>
          </w:p>
        </w:tc>
      </w:tr>
      <w:tr w:rsidR="00462E35" w:rsidRPr="00462E35" w:rsidTr="00C07065">
        <w:trPr>
          <w:trHeight w:val="528"/>
        </w:trPr>
        <w:tc>
          <w:tcPr>
            <w:tcW w:w="1574" w:type="dxa"/>
          </w:tcPr>
          <w:p w:rsidR="00403A26" w:rsidRPr="00462E35" w:rsidRDefault="00403A26" w:rsidP="00C07065">
            <w:pPr>
              <w:spacing w:line="360" w:lineRule="auto"/>
              <w:rPr>
                <w:rFonts w:cs="Times New Roman"/>
                <w:szCs w:val="21"/>
              </w:rPr>
            </w:pPr>
            <m:oMath>
              <m:r>
                <w:rPr>
                  <w:rFonts w:ascii="Cambria Math" w:hAnsi="Cambria Math" w:cs="Times New Roman"/>
                  <w:szCs w:val="21"/>
                </w:rPr>
                <m:t>P</m:t>
              </m:r>
            </m:oMath>
            <w:r w:rsidRPr="00462E35">
              <w:rPr>
                <w:rFonts w:cs="Times New Roman"/>
                <w:szCs w:val="21"/>
              </w:rPr>
              <w:t>: Production</w:t>
            </w:r>
          </w:p>
        </w:tc>
        <w:tc>
          <w:tcPr>
            <w:tcW w:w="7033" w:type="dxa"/>
          </w:tcPr>
          <w:p w:rsidR="00403A26" w:rsidRPr="00462E35" w:rsidRDefault="00403A26" w:rsidP="00C07065">
            <w:pPr>
              <w:spacing w:line="360" w:lineRule="auto"/>
              <w:rPr>
                <w:rFonts w:cs="Times New Roman"/>
                <w:szCs w:val="21"/>
              </w:rPr>
            </w:pPr>
            <w:r w:rsidRPr="00462E35">
              <w:rPr>
                <w:rFonts w:cs="Times New Roman"/>
                <w:szCs w:val="21"/>
              </w:rPr>
              <w:t>Production data in BP (2015)</w:t>
            </w:r>
          </w:p>
        </w:tc>
      </w:tr>
      <w:tr w:rsidR="00462E35" w:rsidRPr="00462E35" w:rsidTr="00C07065">
        <w:trPr>
          <w:trHeight w:val="528"/>
        </w:trPr>
        <w:tc>
          <w:tcPr>
            <w:tcW w:w="1574" w:type="dxa"/>
          </w:tcPr>
          <w:p w:rsidR="00403A26" w:rsidRPr="00462E35" w:rsidRDefault="00403A26" w:rsidP="00C07065">
            <w:pPr>
              <w:spacing w:line="360" w:lineRule="auto"/>
              <w:rPr>
                <w:rFonts w:cs="Times New Roman"/>
                <w:szCs w:val="21"/>
              </w:rPr>
            </w:pPr>
            <w:r w:rsidRPr="00462E35">
              <w:rPr>
                <w:rFonts w:cs="Times New Roman"/>
                <w:szCs w:val="21"/>
              </w:rPr>
              <w:t>Prices</w:t>
            </w:r>
          </w:p>
        </w:tc>
        <w:tc>
          <w:tcPr>
            <w:tcW w:w="7033" w:type="dxa"/>
          </w:tcPr>
          <w:p w:rsidR="00403A26" w:rsidRPr="00462E35" w:rsidRDefault="00403A26" w:rsidP="00C07065">
            <w:pPr>
              <w:spacing w:line="360" w:lineRule="auto"/>
              <w:rPr>
                <w:rFonts w:cs="Times New Roman"/>
                <w:szCs w:val="21"/>
              </w:rPr>
            </w:pPr>
            <w:r w:rsidRPr="00462E35">
              <w:rPr>
                <w:rFonts w:cs="Times New Roman"/>
                <w:szCs w:val="21"/>
              </w:rPr>
              <w:t>BP (2015)</w:t>
            </w:r>
          </w:p>
          <w:p w:rsidR="00403A26" w:rsidRPr="00462E35" w:rsidRDefault="00403A26" w:rsidP="00C07065">
            <w:pPr>
              <w:widowControl w:val="0"/>
              <w:numPr>
                <w:ilvl w:val="0"/>
                <w:numId w:val="6"/>
              </w:numPr>
              <w:spacing w:after="0" w:line="360" w:lineRule="auto"/>
              <w:jc w:val="both"/>
              <w:rPr>
                <w:rFonts w:cs="Times New Roman"/>
                <w:szCs w:val="21"/>
              </w:rPr>
            </w:pPr>
            <w:r w:rsidRPr="00462E35">
              <w:rPr>
                <w:rFonts w:cs="Times New Roman"/>
                <w:szCs w:val="21"/>
              </w:rPr>
              <w:t xml:space="preserve">Coal: averaged prices from U.S., </w:t>
            </w:r>
            <w:proofErr w:type="spellStart"/>
            <w:r w:rsidRPr="00462E35">
              <w:rPr>
                <w:rFonts w:cs="Times New Roman"/>
                <w:szCs w:val="21"/>
              </w:rPr>
              <w:t>northwestern</w:t>
            </w:r>
            <w:proofErr w:type="spellEnd"/>
            <w:r w:rsidRPr="00462E35">
              <w:rPr>
                <w:rFonts w:cs="Times New Roman"/>
                <w:szCs w:val="21"/>
              </w:rPr>
              <w:t xml:space="preserve"> Europe, Japan coking, and Japan steam</w:t>
            </w:r>
          </w:p>
          <w:p w:rsidR="00403A26" w:rsidRPr="00462E35" w:rsidRDefault="00403A26" w:rsidP="00C07065">
            <w:pPr>
              <w:widowControl w:val="0"/>
              <w:numPr>
                <w:ilvl w:val="0"/>
                <w:numId w:val="6"/>
              </w:numPr>
              <w:spacing w:after="0" w:line="360" w:lineRule="auto"/>
              <w:jc w:val="both"/>
              <w:rPr>
                <w:rFonts w:cs="Times New Roman"/>
                <w:szCs w:val="21"/>
              </w:rPr>
            </w:pPr>
            <w:r w:rsidRPr="00462E35">
              <w:rPr>
                <w:rFonts w:cs="Times New Roman"/>
                <w:szCs w:val="21"/>
              </w:rPr>
              <w:t>Natural gas: averaged prices from EU, UK, US, Japan, and Canada</w:t>
            </w:r>
          </w:p>
          <w:p w:rsidR="00403A26" w:rsidRPr="00462E35" w:rsidRDefault="00403A26" w:rsidP="00C07065">
            <w:pPr>
              <w:widowControl w:val="0"/>
              <w:numPr>
                <w:ilvl w:val="0"/>
                <w:numId w:val="6"/>
              </w:numPr>
              <w:spacing w:after="0" w:line="360" w:lineRule="auto"/>
              <w:jc w:val="both"/>
              <w:rPr>
                <w:rFonts w:cs="Times New Roman"/>
                <w:szCs w:val="21"/>
              </w:rPr>
            </w:pPr>
            <w:r w:rsidRPr="00462E35">
              <w:rPr>
                <w:rFonts w:cs="Times New Roman"/>
                <w:szCs w:val="21"/>
              </w:rPr>
              <w:t xml:space="preserve">Oil: averaged prices of Dubai, Brent, Nigerian </w:t>
            </w:r>
            <w:proofErr w:type="spellStart"/>
            <w:r w:rsidRPr="00462E35">
              <w:rPr>
                <w:rFonts w:cs="Times New Roman"/>
                <w:szCs w:val="21"/>
              </w:rPr>
              <w:t>Forcados</w:t>
            </w:r>
            <w:proofErr w:type="spellEnd"/>
            <w:r w:rsidRPr="00462E35">
              <w:rPr>
                <w:rFonts w:cs="Times New Roman"/>
                <w:szCs w:val="21"/>
              </w:rPr>
              <w:t>, and West Texas Intermediate</w:t>
            </w:r>
          </w:p>
          <w:p w:rsidR="00403A26" w:rsidRPr="00462E35" w:rsidRDefault="00403A26" w:rsidP="00C07065">
            <w:pPr>
              <w:widowControl w:val="0"/>
              <w:numPr>
                <w:ilvl w:val="0"/>
                <w:numId w:val="6"/>
              </w:numPr>
              <w:spacing w:after="0" w:line="360" w:lineRule="auto"/>
              <w:jc w:val="both"/>
              <w:rPr>
                <w:rFonts w:cs="Times New Roman"/>
                <w:szCs w:val="21"/>
              </w:rPr>
            </w:pPr>
            <w:r w:rsidRPr="00462E35">
              <w:rPr>
                <w:rFonts w:cs="Times New Roman"/>
                <w:szCs w:val="21"/>
              </w:rPr>
              <w:t>adjusted for inflation before averaging over time using the U.S. GDP deflator</w:t>
            </w:r>
          </w:p>
        </w:tc>
      </w:tr>
      <w:tr w:rsidR="00462E35" w:rsidRPr="00462E35" w:rsidTr="00C07065">
        <w:trPr>
          <w:trHeight w:val="528"/>
        </w:trPr>
        <w:tc>
          <w:tcPr>
            <w:tcW w:w="1574" w:type="dxa"/>
          </w:tcPr>
          <w:p w:rsidR="00403A26" w:rsidRPr="00462E35" w:rsidRDefault="00403A26" w:rsidP="00C07065">
            <w:pPr>
              <w:spacing w:line="360" w:lineRule="auto"/>
              <w:rPr>
                <w:rFonts w:cs="Times New Roman"/>
                <w:szCs w:val="21"/>
              </w:rPr>
            </w:pPr>
            <w:r w:rsidRPr="00462E35">
              <w:rPr>
                <w:rFonts w:cs="Times New Roman"/>
                <w:szCs w:val="21"/>
              </w:rPr>
              <w:t>rental rates</w:t>
            </w:r>
          </w:p>
        </w:tc>
        <w:tc>
          <w:tcPr>
            <w:tcW w:w="7033" w:type="dxa"/>
          </w:tcPr>
          <w:p w:rsidR="00403A26" w:rsidRPr="00462E35" w:rsidRDefault="00403A26" w:rsidP="00C07065">
            <w:pPr>
              <w:spacing w:line="360" w:lineRule="auto"/>
              <w:rPr>
                <w:rFonts w:cs="Times New Roman"/>
                <w:szCs w:val="21"/>
              </w:rPr>
            </w:pPr>
            <w:r w:rsidRPr="00462E35">
              <w:rPr>
                <w:rFonts w:cs="Times New Roman"/>
                <w:szCs w:val="21"/>
              </w:rPr>
              <w:t>Narayanan et al. (2012)</w:t>
            </w:r>
          </w:p>
        </w:tc>
      </w:tr>
    </w:tbl>
    <w:p w:rsidR="00403A26" w:rsidRPr="00462E35" w:rsidRDefault="00403A26" w:rsidP="00403A26">
      <w:pPr>
        <w:spacing w:line="360" w:lineRule="auto"/>
        <w:rPr>
          <w:rFonts w:cs="Times New Roman"/>
          <w:szCs w:val="21"/>
        </w:rPr>
      </w:pPr>
      <w:r w:rsidRPr="00462E35">
        <w:rPr>
          <w:rFonts w:cs="Times New Roman"/>
          <w:szCs w:val="21"/>
        </w:rPr>
        <w:t>Table A3: Data sources and assumptions for the calculation of fossil fuels</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1"/>
          <w:numId w:val="10"/>
        </w:numPr>
        <w:spacing w:line="360" w:lineRule="auto"/>
        <w:ind w:leftChars="0"/>
        <w:rPr>
          <w:rFonts w:cs="Times New Roman"/>
          <w:szCs w:val="21"/>
        </w:rPr>
      </w:pPr>
      <w:r w:rsidRPr="00462E35">
        <w:rPr>
          <w:rFonts w:cs="Times New Roman"/>
          <w:szCs w:val="21"/>
        </w:rPr>
        <w:lastRenderedPageBreak/>
        <w:t>Metals and minerals</w:t>
      </w:r>
    </w:p>
    <w:p w:rsidR="00403A26" w:rsidRPr="00462E35" w:rsidRDefault="00403A26" w:rsidP="00403A26">
      <w:pPr>
        <w:spacing w:line="360" w:lineRule="auto"/>
        <w:rPr>
          <w:rFonts w:cs="Times New Roman"/>
          <w:szCs w:val="21"/>
        </w:rPr>
      </w:pPr>
    </w:p>
    <w:p w:rsidR="00403A26" w:rsidRPr="00462E35" w:rsidRDefault="00403A26" w:rsidP="00403A26">
      <w:pPr>
        <w:spacing w:line="360" w:lineRule="auto"/>
        <w:rPr>
          <w:rFonts w:cs="Times New Roman"/>
          <w:szCs w:val="21"/>
        </w:rPr>
      </w:pPr>
      <w:r w:rsidRPr="00462E35">
        <w:rPr>
          <w:rFonts w:cs="Times New Roman"/>
          <w:szCs w:val="21"/>
        </w:rPr>
        <w:t xml:space="preserve">The methodology for accounting for minerals is much the same as that for fossil fuels, the other form of non-renewable resources. </w:t>
      </w:r>
      <w:bookmarkStart w:id="1" w:name="_Hlk2257477"/>
      <w:r w:rsidRPr="00462E35">
        <w:rPr>
          <w:rFonts w:cs="Times New Roman"/>
          <w:szCs w:val="21"/>
        </w:rPr>
        <w:t xml:space="preserve">We focus on ten mineral types: bauxite, copper, gold, iron, lead, nickel, phosphate, silver, tin, and zinc. For stock, we use </w:t>
      </w:r>
      <w:r w:rsidRPr="00462E35">
        <w:rPr>
          <w:rFonts w:eastAsia="Yu Mincho" w:cs="Times New Roman"/>
          <w:szCs w:val="21"/>
        </w:rPr>
        <w:t xml:space="preserve">the </w:t>
      </w:r>
      <w:r w:rsidRPr="00462E35">
        <w:rPr>
          <w:rFonts w:cs="Times New Roman"/>
          <w:szCs w:val="21"/>
        </w:rPr>
        <w:t>reserve reported in the Mineral Commodity Summaries (USGS 2015)</w:t>
      </w:r>
      <w:bookmarkStart w:id="2" w:name="_Hlk3046899"/>
      <w:r w:rsidRPr="00462E35">
        <w:rPr>
          <w:rFonts w:cs="Times New Roman"/>
          <w:szCs w:val="21"/>
        </w:rPr>
        <w:t xml:space="preserve">, as opposed to the reserve base which may encompass current economic, marginally economic, and </w:t>
      </w:r>
      <w:proofErr w:type="spellStart"/>
      <w:r w:rsidRPr="00462E35">
        <w:rPr>
          <w:rFonts w:cs="Times New Roman"/>
          <w:szCs w:val="21"/>
        </w:rPr>
        <w:t>subeconomic</w:t>
      </w:r>
      <w:proofErr w:type="spellEnd"/>
      <w:r w:rsidRPr="00462E35">
        <w:rPr>
          <w:rFonts w:cs="Times New Roman"/>
          <w:szCs w:val="21"/>
        </w:rPr>
        <w:t xml:space="preserve"> resources. Given our choice of rental rate as uniform shadow prices, we avoid an overestimation of mineral wealth, perhaps erring on the conventional side.</w:t>
      </w:r>
      <w:bookmarkEnd w:id="1"/>
      <w:bookmarkEnd w:id="2"/>
      <w:r w:rsidRPr="00462E35">
        <w:rPr>
          <w:rFonts w:cs="Times New Roman"/>
          <w:szCs w:val="21"/>
        </w:rPr>
        <w:t xml:space="preserve">  For rental rates, we retrieve sectoral rental rates of different mineral industries from Narayanan (2012). Other data on reserves, extraction, and prices are obtained from the U.S. Geological Survey (2015), which is the most authorized dataset on the subject.</w:t>
      </w:r>
    </w:p>
    <w:p w:rsidR="00403A26" w:rsidRPr="00462E35" w:rsidRDefault="00403A26" w:rsidP="00403A26">
      <w:pPr>
        <w:spacing w:line="360" w:lineRule="auto"/>
        <w:rPr>
          <w:rFonts w:cs="Times New Roman"/>
          <w:szCs w:val="21"/>
        </w:rPr>
      </w:pPr>
    </w:p>
    <w:tbl>
      <w:tblPr>
        <w:tblW w:w="8607" w:type="dxa"/>
        <w:tblLook w:val="04A0" w:firstRow="1" w:lastRow="0" w:firstColumn="1" w:lastColumn="0" w:noHBand="0" w:noVBand="1"/>
      </w:tblPr>
      <w:tblGrid>
        <w:gridCol w:w="1574"/>
        <w:gridCol w:w="7033"/>
      </w:tblGrid>
      <w:tr w:rsidR="00462E35" w:rsidRPr="00462E35" w:rsidTr="00C07065">
        <w:trPr>
          <w:trHeight w:val="528"/>
        </w:trPr>
        <w:tc>
          <w:tcPr>
            <w:tcW w:w="1574" w:type="dxa"/>
            <w:hideMark/>
          </w:tcPr>
          <w:p w:rsidR="00403A26" w:rsidRPr="00462E35" w:rsidRDefault="00403A26" w:rsidP="00C07065">
            <w:pPr>
              <w:spacing w:line="360" w:lineRule="auto"/>
              <w:rPr>
                <w:rFonts w:cs="Times New Roman"/>
                <w:szCs w:val="21"/>
              </w:rPr>
            </w:pPr>
            <w:r w:rsidRPr="00462E35">
              <w:rPr>
                <w:rFonts w:cs="Times New Roman"/>
                <w:szCs w:val="21"/>
              </w:rPr>
              <w:t>Variables</w:t>
            </w:r>
          </w:p>
        </w:tc>
        <w:tc>
          <w:tcPr>
            <w:tcW w:w="7033" w:type="dxa"/>
            <w:hideMark/>
          </w:tcPr>
          <w:p w:rsidR="00403A26" w:rsidRPr="00462E35" w:rsidRDefault="00403A26" w:rsidP="00C07065">
            <w:pPr>
              <w:spacing w:line="360" w:lineRule="auto"/>
              <w:rPr>
                <w:rFonts w:cs="Times New Roman"/>
                <w:szCs w:val="21"/>
              </w:rPr>
            </w:pPr>
            <w:r w:rsidRPr="00462E35">
              <w:rPr>
                <w:rFonts w:cs="Times New Roman"/>
                <w:szCs w:val="21"/>
              </w:rPr>
              <w:t>Data sources / assumptions</w:t>
            </w:r>
          </w:p>
        </w:tc>
      </w:tr>
      <w:tr w:rsidR="00462E35" w:rsidRPr="00462E35" w:rsidTr="00C07065">
        <w:trPr>
          <w:trHeight w:val="528"/>
        </w:trPr>
        <w:tc>
          <w:tcPr>
            <w:tcW w:w="1574" w:type="dxa"/>
          </w:tcPr>
          <w:p w:rsidR="00403A26" w:rsidRPr="00462E35" w:rsidRDefault="00403A26" w:rsidP="00C07065">
            <w:pPr>
              <w:spacing w:line="360" w:lineRule="auto"/>
              <w:rPr>
                <w:rFonts w:cs="Times New Roman"/>
                <w:szCs w:val="21"/>
              </w:rPr>
            </w:pPr>
            <m:oMath>
              <m:r>
                <w:rPr>
                  <w:rFonts w:ascii="Cambria Math" w:hAnsi="Cambria Math" w:cs="Times New Roman"/>
                  <w:szCs w:val="21"/>
                </w:rPr>
                <m:t>S</m:t>
              </m:r>
            </m:oMath>
            <w:r w:rsidRPr="00462E35">
              <w:rPr>
                <w:rFonts w:cs="Times New Roman"/>
                <w:szCs w:val="21"/>
              </w:rPr>
              <w:t>: Reserve</w:t>
            </w:r>
          </w:p>
        </w:tc>
        <w:tc>
          <w:tcPr>
            <w:tcW w:w="7033" w:type="dxa"/>
          </w:tcPr>
          <w:p w:rsidR="00403A26" w:rsidRPr="00462E35" w:rsidRDefault="00403A26" w:rsidP="00C07065">
            <w:pPr>
              <w:spacing w:line="360" w:lineRule="auto"/>
              <w:rPr>
                <w:rFonts w:cs="Times New Roman"/>
                <w:szCs w:val="21"/>
              </w:rPr>
            </w:pPr>
            <w:r w:rsidRPr="00462E35">
              <w:rPr>
                <w:rFonts w:cs="Times New Roman"/>
                <w:szCs w:val="21"/>
              </w:rPr>
              <w:t>Reserve in U.S. Geological Survey (2015)</w:t>
            </w:r>
          </w:p>
        </w:tc>
      </w:tr>
      <w:tr w:rsidR="00462E35" w:rsidRPr="00462E35" w:rsidTr="00C07065">
        <w:trPr>
          <w:trHeight w:val="528"/>
        </w:trPr>
        <w:tc>
          <w:tcPr>
            <w:tcW w:w="1574" w:type="dxa"/>
          </w:tcPr>
          <w:p w:rsidR="00403A26" w:rsidRPr="00462E35" w:rsidRDefault="00403A26" w:rsidP="00C07065">
            <w:pPr>
              <w:spacing w:line="360" w:lineRule="auto"/>
              <w:rPr>
                <w:rFonts w:cs="Times New Roman"/>
                <w:szCs w:val="21"/>
              </w:rPr>
            </w:pPr>
            <m:oMath>
              <m:r>
                <w:rPr>
                  <w:rFonts w:ascii="Cambria Math" w:hAnsi="Cambria Math" w:cs="Times New Roman"/>
                  <w:szCs w:val="21"/>
                </w:rPr>
                <m:t>P</m:t>
              </m:r>
            </m:oMath>
            <w:r w:rsidRPr="00462E35">
              <w:rPr>
                <w:rFonts w:cs="Times New Roman"/>
                <w:szCs w:val="21"/>
              </w:rPr>
              <w:t>: Extraction</w:t>
            </w:r>
          </w:p>
        </w:tc>
        <w:tc>
          <w:tcPr>
            <w:tcW w:w="7033" w:type="dxa"/>
          </w:tcPr>
          <w:p w:rsidR="00403A26" w:rsidRPr="00462E35" w:rsidRDefault="00403A26" w:rsidP="00C07065">
            <w:pPr>
              <w:spacing w:line="360" w:lineRule="auto"/>
              <w:rPr>
                <w:rFonts w:cs="Times New Roman"/>
                <w:szCs w:val="21"/>
              </w:rPr>
            </w:pPr>
            <w:r w:rsidRPr="00462E35">
              <w:rPr>
                <w:rFonts w:cs="Times New Roman"/>
                <w:szCs w:val="21"/>
              </w:rPr>
              <w:t>Production in U.S. Geological Survey (2015)</w:t>
            </w:r>
          </w:p>
        </w:tc>
      </w:tr>
      <w:tr w:rsidR="00462E35" w:rsidRPr="00462E35" w:rsidTr="00C07065">
        <w:trPr>
          <w:trHeight w:val="528"/>
        </w:trPr>
        <w:tc>
          <w:tcPr>
            <w:tcW w:w="1574" w:type="dxa"/>
          </w:tcPr>
          <w:p w:rsidR="00403A26" w:rsidRPr="00462E35" w:rsidRDefault="00403A26" w:rsidP="00C07065">
            <w:pPr>
              <w:spacing w:line="360" w:lineRule="auto"/>
              <w:rPr>
                <w:rFonts w:cs="Times New Roman"/>
                <w:szCs w:val="21"/>
              </w:rPr>
            </w:pPr>
            <w:r w:rsidRPr="00462E35">
              <w:rPr>
                <w:rFonts w:cs="Times New Roman"/>
                <w:szCs w:val="21"/>
              </w:rPr>
              <w:t>Prices</w:t>
            </w:r>
          </w:p>
        </w:tc>
        <w:tc>
          <w:tcPr>
            <w:tcW w:w="7033" w:type="dxa"/>
          </w:tcPr>
          <w:p w:rsidR="00403A26" w:rsidRPr="00462E35" w:rsidRDefault="00403A26" w:rsidP="00C07065">
            <w:pPr>
              <w:spacing w:line="360" w:lineRule="auto"/>
              <w:rPr>
                <w:rFonts w:cs="Times New Roman"/>
                <w:szCs w:val="21"/>
              </w:rPr>
            </w:pPr>
            <w:r w:rsidRPr="00462E35">
              <w:rPr>
                <w:rFonts w:cs="Times New Roman"/>
                <w:szCs w:val="21"/>
              </w:rPr>
              <w:t>U.S. Geological Survey (2015)</w:t>
            </w:r>
          </w:p>
        </w:tc>
      </w:tr>
      <w:tr w:rsidR="00462E35" w:rsidRPr="00462E35" w:rsidTr="00C07065">
        <w:trPr>
          <w:trHeight w:val="528"/>
        </w:trPr>
        <w:tc>
          <w:tcPr>
            <w:tcW w:w="1574" w:type="dxa"/>
          </w:tcPr>
          <w:p w:rsidR="00403A26" w:rsidRPr="00462E35" w:rsidRDefault="00403A26" w:rsidP="00C07065">
            <w:pPr>
              <w:spacing w:line="360" w:lineRule="auto"/>
              <w:rPr>
                <w:rFonts w:cs="Times New Roman"/>
                <w:szCs w:val="21"/>
              </w:rPr>
            </w:pPr>
            <w:r w:rsidRPr="00462E35">
              <w:rPr>
                <w:rFonts w:cs="Times New Roman"/>
                <w:szCs w:val="21"/>
              </w:rPr>
              <w:t>Rental rates</w:t>
            </w:r>
          </w:p>
        </w:tc>
        <w:tc>
          <w:tcPr>
            <w:tcW w:w="7033" w:type="dxa"/>
          </w:tcPr>
          <w:p w:rsidR="00403A26" w:rsidRPr="00462E35" w:rsidRDefault="00403A26" w:rsidP="00C07065">
            <w:pPr>
              <w:spacing w:line="360" w:lineRule="auto"/>
              <w:rPr>
                <w:rFonts w:cs="Times New Roman"/>
                <w:szCs w:val="21"/>
              </w:rPr>
            </w:pPr>
            <w:r w:rsidRPr="00462E35">
              <w:rPr>
                <w:rFonts w:cs="Times New Roman"/>
                <w:szCs w:val="21"/>
              </w:rPr>
              <w:t>Narayanan et al. (2012)</w:t>
            </w:r>
          </w:p>
        </w:tc>
      </w:tr>
    </w:tbl>
    <w:p w:rsidR="00403A26" w:rsidRPr="00462E35" w:rsidRDefault="00403A26" w:rsidP="00403A26">
      <w:pPr>
        <w:spacing w:line="360" w:lineRule="auto"/>
        <w:rPr>
          <w:rFonts w:cs="Times New Roman"/>
          <w:szCs w:val="21"/>
        </w:rPr>
      </w:pPr>
      <w:r w:rsidRPr="00462E35">
        <w:rPr>
          <w:rFonts w:cs="Times New Roman"/>
          <w:szCs w:val="21"/>
        </w:rPr>
        <w:t>Table A4: Data sources and assumptions for the calculation of metal and mineral resources</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1"/>
          <w:numId w:val="10"/>
        </w:numPr>
        <w:spacing w:line="360" w:lineRule="auto"/>
        <w:ind w:leftChars="0"/>
        <w:rPr>
          <w:rFonts w:cs="Times New Roman"/>
          <w:szCs w:val="21"/>
        </w:rPr>
      </w:pPr>
      <w:r w:rsidRPr="00462E35">
        <w:rPr>
          <w:rFonts w:cs="Times New Roman"/>
          <w:szCs w:val="21"/>
        </w:rPr>
        <w:t>Agricultural land</w:t>
      </w:r>
    </w:p>
    <w:p w:rsidR="00403A26" w:rsidRPr="00462E35" w:rsidRDefault="00403A26" w:rsidP="00403A26">
      <w:pPr>
        <w:spacing w:line="360" w:lineRule="auto"/>
        <w:rPr>
          <w:rFonts w:cs="Times New Roman"/>
          <w:szCs w:val="21"/>
        </w:rPr>
      </w:pPr>
      <w:r w:rsidRPr="00462E35">
        <w:rPr>
          <w:rFonts w:cs="Times New Roman"/>
          <w:szCs w:val="21"/>
        </w:rPr>
        <w:t xml:space="preserve">Agricultural land is composed of cropland and pastureland. The methodologies for accounting for these two classes are similar. For the quantity of this natural capital, permanent cropland/pastureland area data from </w:t>
      </w:r>
      <w:r w:rsidRPr="00462E35">
        <w:rPr>
          <w:rFonts w:eastAsia="Yu Mincho" w:cs="Times New Roman"/>
          <w:szCs w:val="21"/>
        </w:rPr>
        <w:t xml:space="preserve">the </w:t>
      </w:r>
      <w:r w:rsidRPr="00462E35">
        <w:rPr>
          <w:rFonts w:cs="Times New Roman"/>
          <w:szCs w:val="21"/>
        </w:rPr>
        <w:t xml:space="preserve">Food and Agricultural Organization (FAO 2015) </w:t>
      </w:r>
      <w:r w:rsidRPr="00462E35">
        <w:rPr>
          <w:rFonts w:eastAsia="Yu Mincho" w:cs="Times New Roman"/>
          <w:szCs w:val="21"/>
        </w:rPr>
        <w:t>are</w:t>
      </w:r>
      <w:r w:rsidRPr="00462E35">
        <w:rPr>
          <w:rFonts w:cs="Times New Roman"/>
          <w:szCs w:val="21"/>
        </w:rPr>
        <w:t xml:space="preserve"> simply employed. </w:t>
      </w:r>
    </w:p>
    <w:p w:rsidR="00403A26" w:rsidRPr="00462E35" w:rsidRDefault="00403A26" w:rsidP="00403A26">
      <w:pPr>
        <w:spacing w:line="360" w:lineRule="auto"/>
        <w:ind w:firstLineChars="150" w:firstLine="330"/>
        <w:rPr>
          <w:rFonts w:cs="Times New Roman"/>
          <w:szCs w:val="21"/>
        </w:rPr>
      </w:pPr>
      <w:r w:rsidRPr="00462E35">
        <w:rPr>
          <w:rFonts w:cs="Times New Roman"/>
          <w:szCs w:val="21"/>
        </w:rPr>
        <w:t xml:space="preserve">To quantify the marginal shadow price of a unit of agricultural land, we cannot use the market price as in the case of non-renewable resources, since there does not usually exist a market for agricultural land. Instead, we compute the shadow price as the net present value of the annual flow of services per </w:t>
      </w:r>
      <w:r w:rsidRPr="00462E35">
        <w:rPr>
          <w:rFonts w:cs="Times New Roman"/>
          <w:szCs w:val="21"/>
        </w:rPr>
        <w:lastRenderedPageBreak/>
        <w:t xml:space="preserve">hectare that the parcel yields, in line with the World Bank (2011) and past editions of IWR. More specifically, rental price per hectare of cropland for country </w:t>
      </w:r>
      <m:oMath>
        <m:r>
          <w:rPr>
            <w:rFonts w:ascii="Cambria Math" w:hAnsi="Cambria Math" w:cs="Times New Roman"/>
            <w:szCs w:val="21"/>
          </w:rPr>
          <m:t>i</m:t>
        </m:r>
      </m:oMath>
      <w:r w:rsidRPr="00462E35">
        <w:rPr>
          <w:rFonts w:cs="Times New Roman"/>
          <w:szCs w:val="21"/>
        </w:rPr>
        <w:t xml:space="preserve"> in year </w:t>
      </w:r>
      <m:oMath>
        <m:r>
          <w:rPr>
            <w:rFonts w:ascii="Cambria Math" w:hAnsi="Cambria Math" w:cs="Times New Roman"/>
            <w:szCs w:val="21"/>
          </w:rPr>
          <m:t>t</m:t>
        </m:r>
      </m:oMath>
      <w:r w:rsidRPr="00462E35">
        <w:rPr>
          <w:rFonts w:cs="Times New Roman"/>
          <w:iCs/>
          <w:szCs w:val="21"/>
        </w:rPr>
        <w:t xml:space="preserve"> can be expressed as</w:t>
      </w:r>
    </w:p>
    <w:p w:rsidR="00403A26" w:rsidRPr="00462E35" w:rsidRDefault="00403A26" w:rsidP="00403A26">
      <w:pPr>
        <w:spacing w:line="360" w:lineRule="auto"/>
        <w:ind w:firstLineChars="150" w:firstLine="330"/>
        <w:rPr>
          <w:rFonts w:cs="Times New Roman"/>
          <w:szCs w:val="21"/>
        </w:rPr>
      </w:pPr>
      <m:oMathPara>
        <m:oMath>
          <m:r>
            <w:rPr>
              <w:rFonts w:ascii="Cambria Math" w:hAnsi="Cambria Math" w:cs="Times New Roman"/>
              <w:szCs w:val="21"/>
            </w:rPr>
            <m:t>RP</m:t>
          </m:r>
          <m:sSub>
            <m:sSubPr>
              <m:ctrlPr>
                <w:rPr>
                  <w:rFonts w:ascii="Cambria Math" w:hAnsi="Cambria Math" w:cs="Times New Roman"/>
                  <w:i/>
                  <w:iCs/>
                  <w:szCs w:val="21"/>
                </w:rPr>
              </m:ctrlPr>
            </m:sSubPr>
            <m:e>
              <m:r>
                <w:rPr>
                  <w:rFonts w:ascii="Cambria Math" w:hAnsi="Cambria Math" w:cs="Times New Roman"/>
                  <w:szCs w:val="21"/>
                </w:rPr>
                <m:t>A</m:t>
              </m:r>
            </m:e>
            <m:sub>
              <m:r>
                <w:rPr>
                  <w:rFonts w:ascii="Cambria Math" w:hAnsi="Cambria Math" w:cs="Times New Roman"/>
                  <w:szCs w:val="21"/>
                </w:rPr>
                <m:t>it</m:t>
              </m:r>
            </m:sub>
          </m:sSub>
          <m:r>
            <m:rPr>
              <m:sty m:val="p"/>
            </m:rPr>
            <w:rPr>
              <w:rFonts w:ascii="Cambria Math" w:hAnsi="Cambria Math" w:cs="Times New Roman"/>
              <w:szCs w:val="21"/>
            </w:rPr>
            <m:t>=</m:t>
          </m:r>
          <m:d>
            <m:dPr>
              <m:ctrlPr>
                <w:rPr>
                  <w:rFonts w:ascii="Cambria Math" w:hAnsi="Cambria Math" w:cs="Times New Roman"/>
                  <w:i/>
                  <w:iCs/>
                  <w:szCs w:val="21"/>
                </w:rPr>
              </m:ctrlPr>
            </m:dPr>
            <m:e>
              <m:f>
                <m:fPr>
                  <m:ctrlPr>
                    <w:rPr>
                      <w:rFonts w:ascii="Cambria Math" w:hAnsi="Cambria Math" w:cs="Times New Roman"/>
                      <w:i/>
                      <w:iCs/>
                      <w:szCs w:val="21"/>
                    </w:rPr>
                  </m:ctrlPr>
                </m:fPr>
                <m:num>
                  <m:r>
                    <w:rPr>
                      <w:rFonts w:ascii="Cambria Math" w:hAnsi="Cambria Math" w:cs="Times New Roman"/>
                      <w:szCs w:val="21"/>
                    </w:rPr>
                    <m:t>1</m:t>
                  </m:r>
                </m:num>
                <m:den>
                  <m:r>
                    <w:rPr>
                      <w:rFonts w:ascii="Cambria Math" w:hAnsi="Cambria Math" w:cs="Times New Roman"/>
                      <w:szCs w:val="21"/>
                    </w:rPr>
                    <m:t>A</m:t>
                  </m:r>
                </m:den>
              </m:f>
            </m:e>
          </m:d>
          <m:nary>
            <m:naryPr>
              <m:chr m:val="∑"/>
              <m:ctrlPr>
                <w:rPr>
                  <w:rFonts w:ascii="Cambria Math" w:hAnsi="Cambria Math" w:cs="Times New Roman"/>
                  <w:i/>
                  <w:iCs/>
                  <w:szCs w:val="21"/>
                </w:rPr>
              </m:ctrlPr>
            </m:naryPr>
            <m:sub>
              <m:r>
                <w:rPr>
                  <w:rFonts w:ascii="Cambria Math" w:hAnsi="Cambria Math" w:cs="Times New Roman"/>
                  <w:szCs w:val="21"/>
                </w:rPr>
                <m:t>k=1</m:t>
              </m:r>
            </m:sub>
            <m:sup>
              <m:r>
                <w:rPr>
                  <w:rFonts w:ascii="Cambria Math" w:hAnsi="Cambria Math" w:cs="Times New Roman"/>
                  <w:szCs w:val="21"/>
                </w:rPr>
                <m:t>N</m:t>
              </m:r>
            </m:sup>
            <m:e>
              <m:sSub>
                <m:sSubPr>
                  <m:ctrlPr>
                    <w:rPr>
                      <w:rFonts w:ascii="Cambria Math" w:hAnsi="Cambria Math" w:cs="Times New Roman"/>
                      <w:i/>
                      <w:iCs/>
                      <w:szCs w:val="21"/>
                    </w:rPr>
                  </m:ctrlPr>
                </m:sSubPr>
                <m:e>
                  <m:r>
                    <w:rPr>
                      <w:rFonts w:ascii="Cambria Math" w:hAnsi="Cambria Math" w:cs="Times New Roman"/>
                      <w:szCs w:val="21"/>
                    </w:rPr>
                    <m:t>R</m:t>
                  </m:r>
                </m:e>
                <m:sub>
                  <m:r>
                    <w:rPr>
                      <w:rFonts w:ascii="Cambria Math" w:hAnsi="Cambria Math" w:cs="Times New Roman"/>
                      <w:szCs w:val="21"/>
                    </w:rPr>
                    <m:t>ik</m:t>
                  </m:r>
                </m:sub>
              </m:sSub>
              <m:sSub>
                <m:sSubPr>
                  <m:ctrlPr>
                    <w:rPr>
                      <w:rFonts w:ascii="Cambria Math" w:hAnsi="Cambria Math" w:cs="Times New Roman"/>
                      <w:i/>
                      <w:iCs/>
                      <w:szCs w:val="21"/>
                    </w:rPr>
                  </m:ctrlPr>
                </m:sSubPr>
                <m:e>
                  <m:r>
                    <w:rPr>
                      <w:rFonts w:ascii="Cambria Math" w:hAnsi="Cambria Math" w:cs="Times New Roman"/>
                      <w:szCs w:val="21"/>
                    </w:rPr>
                    <m:t>P</m:t>
                  </m:r>
                </m:e>
                <m:sub>
                  <m:r>
                    <w:rPr>
                      <w:rFonts w:ascii="Cambria Math" w:hAnsi="Cambria Math" w:cs="Times New Roman"/>
                      <w:szCs w:val="21"/>
                    </w:rPr>
                    <m:t>itk</m:t>
                  </m:r>
                </m:sub>
              </m:sSub>
              <m:sSub>
                <m:sSubPr>
                  <m:ctrlPr>
                    <w:rPr>
                      <w:rFonts w:ascii="Cambria Math" w:hAnsi="Cambria Math" w:cs="Times New Roman"/>
                      <w:i/>
                      <w:iCs/>
                      <w:szCs w:val="21"/>
                    </w:rPr>
                  </m:ctrlPr>
                </m:sSubPr>
                <m:e>
                  <m:r>
                    <w:rPr>
                      <w:rFonts w:ascii="Cambria Math" w:hAnsi="Cambria Math" w:cs="Times New Roman"/>
                      <w:szCs w:val="21"/>
                    </w:rPr>
                    <m:t>Q</m:t>
                  </m:r>
                </m:e>
                <m:sub>
                  <m:r>
                    <w:rPr>
                      <w:rFonts w:ascii="Cambria Math" w:hAnsi="Cambria Math" w:cs="Times New Roman"/>
                      <w:szCs w:val="21"/>
                    </w:rPr>
                    <m:t>itk</m:t>
                  </m:r>
                </m:sub>
              </m:sSub>
            </m:e>
          </m:nary>
        </m:oMath>
      </m:oMathPara>
    </w:p>
    <w:p w:rsidR="00403A26" w:rsidRPr="00462E35" w:rsidRDefault="00403A26" w:rsidP="00403A26">
      <w:pPr>
        <w:spacing w:line="360" w:lineRule="auto"/>
        <w:rPr>
          <w:rFonts w:cs="Times New Roman"/>
          <w:iCs/>
          <w:szCs w:val="21"/>
        </w:rPr>
      </w:pPr>
      <w:r w:rsidRPr="00462E35">
        <w:rPr>
          <w:rFonts w:cs="Times New Roman"/>
          <w:szCs w:val="21"/>
        </w:rPr>
        <w:t xml:space="preserve">where </w:t>
      </w:r>
      <m:oMath>
        <m:r>
          <w:rPr>
            <w:rFonts w:ascii="Cambria Math" w:hAnsi="Cambria Math" w:cs="Times New Roman"/>
            <w:szCs w:val="21"/>
          </w:rPr>
          <m:t>A, R, P</m:t>
        </m:r>
      </m:oMath>
      <w:r w:rsidRPr="00462E35">
        <w:rPr>
          <w:rFonts w:cs="Times New Roman"/>
          <w:iCs/>
          <w:szCs w:val="21"/>
        </w:rPr>
        <w:t xml:space="preserve"> and </w:t>
      </w:r>
      <m:oMath>
        <m:r>
          <w:rPr>
            <w:rFonts w:ascii="Cambria Math" w:hAnsi="Cambria Math" w:cs="Times New Roman"/>
            <w:szCs w:val="21"/>
          </w:rPr>
          <m:t>Q</m:t>
        </m:r>
      </m:oMath>
      <w:r w:rsidRPr="00462E35">
        <w:rPr>
          <w:rFonts w:cs="Times New Roman"/>
          <w:iCs/>
          <w:szCs w:val="21"/>
        </w:rPr>
        <w:t xml:space="preserve"> are the harvested area in crops, rental rate, crop price, and crop quantity produced, respectively. </w:t>
      </w:r>
      <m:oMath>
        <m:r>
          <w:rPr>
            <w:rFonts w:ascii="Cambria Math" w:hAnsi="Cambria Math" w:cs="Times New Roman"/>
            <w:szCs w:val="21"/>
          </w:rPr>
          <m:t>N</m:t>
        </m:r>
      </m:oMath>
      <w:r w:rsidRPr="00462E35">
        <w:rPr>
          <w:rFonts w:cs="Times New Roman"/>
          <w:iCs/>
          <w:szCs w:val="21"/>
        </w:rPr>
        <w:t xml:space="preserve"> stands for the number of crops, which is as many as 159 (</w:t>
      </w:r>
      <m:oMath>
        <m:r>
          <w:rPr>
            <w:rFonts w:ascii="Cambria Math" w:hAnsi="Cambria Math" w:cs="Times New Roman"/>
            <w:szCs w:val="21"/>
          </w:rPr>
          <m:t>k=1,…, 159</m:t>
        </m:r>
      </m:oMath>
      <w:r w:rsidRPr="00462E35">
        <w:rPr>
          <w:rFonts w:cs="Times New Roman"/>
          <w:iCs/>
          <w:szCs w:val="21"/>
        </w:rPr>
        <w:t xml:space="preserve">) in the current study. </w:t>
      </w:r>
      <m:oMath>
        <m:r>
          <w:rPr>
            <w:rFonts w:ascii="Cambria Math" w:hAnsi="Cambria Math" w:cs="Times New Roman"/>
            <w:szCs w:val="21"/>
          </w:rPr>
          <m:t>t</m:t>
        </m:r>
      </m:oMath>
      <w:r w:rsidRPr="00462E35">
        <w:rPr>
          <w:rFonts w:cs="Times New Roman"/>
          <w:iCs/>
          <w:szCs w:val="21"/>
        </w:rPr>
        <w:t xml:space="preserve"> is the year of analysis, from 1990 to 2014. For the estimation of the rental rate by crop group, we map FAO crop classification (HS) with the sectoral rental rates provided by Narayanan et al. (2012). </w:t>
      </w:r>
    </w:p>
    <w:p w:rsidR="00403A26" w:rsidRPr="00462E35" w:rsidRDefault="00403A26" w:rsidP="00403A26">
      <w:pPr>
        <w:spacing w:line="360" w:lineRule="auto"/>
        <w:ind w:firstLineChars="150" w:firstLine="330"/>
        <w:rPr>
          <w:rFonts w:cs="Times New Roman"/>
          <w:szCs w:val="21"/>
        </w:rPr>
      </w:pPr>
      <w:r w:rsidRPr="00462E35">
        <w:rPr>
          <w:rFonts w:cs="Times New Roman"/>
          <w:iCs/>
          <w:szCs w:val="21"/>
        </w:rPr>
        <w:t xml:space="preserve">Note that the above rental price corresponds to an annual flow of services; we need to capitalize it to employ it as the shadow price. Formally, the NPV of this rental price </w:t>
      </w:r>
      <w:r w:rsidRPr="00462E35">
        <w:rPr>
          <w:rFonts w:cs="Times New Roman"/>
          <w:szCs w:val="21"/>
        </w:rPr>
        <w:t xml:space="preserve">for country </w:t>
      </w:r>
      <m:oMath>
        <m:r>
          <w:rPr>
            <w:rFonts w:ascii="Cambria Math" w:hAnsi="Cambria Math" w:cs="Times New Roman"/>
            <w:szCs w:val="21"/>
          </w:rPr>
          <m:t>i</m:t>
        </m:r>
      </m:oMath>
      <w:r w:rsidRPr="00462E35">
        <w:rPr>
          <w:rFonts w:cs="Times New Roman"/>
          <w:szCs w:val="21"/>
        </w:rPr>
        <w:t xml:space="preserve"> in year </w:t>
      </w:r>
      <m:oMath>
        <m:r>
          <w:rPr>
            <w:rFonts w:ascii="Cambria Math" w:hAnsi="Cambria Math" w:cs="Times New Roman"/>
            <w:szCs w:val="21"/>
          </w:rPr>
          <m:t>t</m:t>
        </m:r>
      </m:oMath>
      <w:r w:rsidRPr="00462E35">
        <w:rPr>
          <w:rFonts w:cs="Times New Roman"/>
          <w:iCs/>
          <w:szCs w:val="21"/>
        </w:rPr>
        <w:t xml:space="preserve"> is written as</w:t>
      </w:r>
    </w:p>
    <w:p w:rsidR="00403A26" w:rsidRPr="00462E35" w:rsidRDefault="00462E35" w:rsidP="00403A26">
      <w:pPr>
        <w:spacing w:line="360" w:lineRule="auto"/>
        <w:rPr>
          <w:rFonts w:cs="Times New Roman"/>
          <w:iCs/>
          <w:szCs w:val="21"/>
        </w:rPr>
      </w:pPr>
      <m:oMathPara>
        <m:oMath>
          <m:sSub>
            <m:sSubPr>
              <m:ctrlPr>
                <w:rPr>
                  <w:rFonts w:ascii="Cambria Math" w:hAnsi="Cambria Math" w:cs="Times New Roman"/>
                  <w:i/>
                  <w:iCs/>
                  <w:szCs w:val="21"/>
                </w:rPr>
              </m:ctrlPr>
            </m:sSubPr>
            <m:e>
              <m:r>
                <w:rPr>
                  <w:rFonts w:ascii="Cambria Math" w:hAnsi="Cambria Math" w:cs="Times New Roman"/>
                  <w:szCs w:val="21"/>
                </w:rPr>
                <m:t>p</m:t>
              </m:r>
            </m:e>
            <m:sub>
              <m:r>
                <w:rPr>
                  <w:rFonts w:ascii="Cambria Math" w:hAnsi="Cambria Math" w:cs="Times New Roman"/>
                  <w:szCs w:val="21"/>
                </w:rPr>
                <m:t>Ait</m:t>
              </m:r>
            </m:sub>
          </m:sSub>
          <m:r>
            <w:rPr>
              <w:rFonts w:ascii="Cambria Math" w:hAnsi="Cambria Math" w:cs="Times New Roman"/>
              <w:szCs w:val="21"/>
            </w:rPr>
            <m:t>=</m:t>
          </m:r>
          <m:nary>
            <m:naryPr>
              <m:chr m:val="∑"/>
              <m:ctrlPr>
                <w:rPr>
                  <w:rFonts w:ascii="Cambria Math" w:hAnsi="Cambria Math" w:cs="Times New Roman"/>
                  <w:i/>
                  <w:iCs/>
                  <w:szCs w:val="21"/>
                </w:rPr>
              </m:ctrlPr>
            </m:naryPr>
            <m:sub>
              <m:r>
                <w:rPr>
                  <w:rFonts w:ascii="Cambria Math" w:hAnsi="Cambria Math" w:cs="Times New Roman"/>
                  <w:szCs w:val="21"/>
                </w:rPr>
                <m:t>τ=0</m:t>
              </m:r>
            </m:sub>
            <m:sup>
              <m:r>
                <w:rPr>
                  <w:rFonts w:ascii="Cambria Math" w:hAnsi="Cambria Math" w:cs="Times New Roman"/>
                  <w:szCs w:val="21"/>
                </w:rPr>
                <m:t>∞</m:t>
              </m:r>
            </m:sup>
            <m:e>
              <m:f>
                <m:fPr>
                  <m:ctrlPr>
                    <w:rPr>
                      <w:rFonts w:ascii="Cambria Math" w:hAnsi="Cambria Math" w:cs="Times New Roman"/>
                      <w:i/>
                      <w:iCs/>
                      <w:szCs w:val="21"/>
                    </w:rPr>
                  </m:ctrlPr>
                </m:fPr>
                <m:num>
                  <m:r>
                    <w:rPr>
                      <w:rFonts w:ascii="Cambria Math" w:hAnsi="Cambria Math" w:cs="Times New Roman"/>
                      <w:szCs w:val="21"/>
                    </w:rPr>
                    <m:t>RP</m:t>
                  </m:r>
                  <m:sSub>
                    <m:sSubPr>
                      <m:ctrlPr>
                        <w:rPr>
                          <w:rFonts w:ascii="Cambria Math" w:hAnsi="Cambria Math" w:cs="Times New Roman"/>
                          <w:i/>
                          <w:iCs/>
                          <w:szCs w:val="21"/>
                        </w:rPr>
                      </m:ctrlPr>
                    </m:sSubPr>
                    <m:e>
                      <m:r>
                        <w:rPr>
                          <w:rFonts w:ascii="Cambria Math" w:hAnsi="Cambria Math" w:cs="Times New Roman"/>
                          <w:szCs w:val="21"/>
                        </w:rPr>
                        <m:t>A</m:t>
                      </m:r>
                    </m:e>
                    <m:sub>
                      <m:r>
                        <w:rPr>
                          <w:rFonts w:ascii="Cambria Math" w:hAnsi="Cambria Math" w:cs="Times New Roman"/>
                          <w:szCs w:val="21"/>
                        </w:rPr>
                        <m:t>it</m:t>
                      </m:r>
                    </m:sub>
                  </m:sSub>
                </m:num>
                <m:den>
                  <m:sSup>
                    <m:sSupPr>
                      <m:ctrlPr>
                        <w:rPr>
                          <w:rFonts w:ascii="Cambria Math" w:hAnsi="Cambria Math" w:cs="Times New Roman"/>
                          <w:i/>
                          <w:iCs/>
                          <w:szCs w:val="21"/>
                        </w:rPr>
                      </m:ctrlPr>
                    </m:sSupPr>
                    <m:e>
                      <m:d>
                        <m:dPr>
                          <m:ctrlPr>
                            <w:rPr>
                              <w:rFonts w:ascii="Cambria Math" w:hAnsi="Cambria Math" w:cs="Times New Roman"/>
                              <w:i/>
                              <w:iCs/>
                              <w:szCs w:val="21"/>
                            </w:rPr>
                          </m:ctrlPr>
                        </m:dPr>
                        <m:e>
                          <m:r>
                            <w:rPr>
                              <w:rFonts w:ascii="Cambria Math" w:hAnsi="Cambria Math" w:cs="Times New Roman"/>
                              <w:szCs w:val="21"/>
                            </w:rPr>
                            <m:t>1+r</m:t>
                          </m:r>
                        </m:e>
                      </m:d>
                    </m:e>
                    <m:sup>
                      <m:r>
                        <w:rPr>
                          <w:rFonts w:ascii="Cambria Math" w:hAnsi="Cambria Math" w:cs="Times New Roman"/>
                          <w:szCs w:val="21"/>
                        </w:rPr>
                        <m:t>τ</m:t>
                      </m:r>
                    </m:sup>
                  </m:sSup>
                </m:den>
              </m:f>
            </m:e>
          </m:nary>
          <m:r>
            <w:rPr>
              <w:rFonts w:ascii="Cambria Math" w:hAnsi="Cambria Math" w:cs="Times New Roman"/>
              <w:szCs w:val="21"/>
            </w:rPr>
            <m:t>=</m:t>
          </m:r>
          <m:f>
            <m:fPr>
              <m:ctrlPr>
                <w:rPr>
                  <w:rFonts w:ascii="Cambria Math" w:hAnsi="Cambria Math" w:cs="Times New Roman"/>
                  <w:i/>
                  <w:iCs/>
                  <w:szCs w:val="21"/>
                </w:rPr>
              </m:ctrlPr>
            </m:fPr>
            <m:num>
              <m:r>
                <w:rPr>
                  <w:rFonts w:ascii="Cambria Math" w:hAnsi="Cambria Math" w:cs="Times New Roman"/>
                  <w:szCs w:val="21"/>
                </w:rPr>
                <m:t>1+r</m:t>
              </m:r>
            </m:num>
            <m:den>
              <m:r>
                <w:rPr>
                  <w:rFonts w:ascii="Cambria Math" w:hAnsi="Cambria Math" w:cs="Times New Roman"/>
                  <w:szCs w:val="21"/>
                </w:rPr>
                <m:t>r</m:t>
              </m:r>
            </m:den>
          </m:f>
          <m:r>
            <w:rPr>
              <w:rFonts w:ascii="Cambria Math" w:hAnsi="Cambria Math" w:cs="Times New Roman"/>
              <w:szCs w:val="21"/>
            </w:rPr>
            <m:t>RP</m:t>
          </m:r>
          <m:sSub>
            <m:sSubPr>
              <m:ctrlPr>
                <w:rPr>
                  <w:rFonts w:ascii="Cambria Math" w:hAnsi="Cambria Math" w:cs="Times New Roman"/>
                  <w:i/>
                  <w:iCs/>
                  <w:szCs w:val="21"/>
                </w:rPr>
              </m:ctrlPr>
            </m:sSubPr>
            <m:e>
              <m:r>
                <w:rPr>
                  <w:rFonts w:ascii="Cambria Math" w:hAnsi="Cambria Math" w:cs="Times New Roman"/>
                  <w:szCs w:val="21"/>
                </w:rPr>
                <m:t>A</m:t>
              </m:r>
            </m:e>
            <m:sub>
              <m:r>
                <w:rPr>
                  <w:rFonts w:ascii="Cambria Math" w:hAnsi="Cambria Math" w:cs="Times New Roman"/>
                  <w:szCs w:val="21"/>
                </w:rPr>
                <m:t>it</m:t>
              </m:r>
            </m:sub>
          </m:sSub>
          <m:r>
            <m:rPr>
              <m:sty m:val="p"/>
            </m:rPr>
            <w:rPr>
              <w:rFonts w:ascii="Cambria Math" w:hAnsi="Cambria Math" w:cs="Times New Roman"/>
              <w:szCs w:val="21"/>
            </w:rPr>
            <m:t>,</m:t>
          </m:r>
        </m:oMath>
      </m:oMathPara>
    </w:p>
    <w:p w:rsidR="00403A26" w:rsidRPr="00462E35" w:rsidRDefault="00403A26" w:rsidP="00403A26">
      <w:pPr>
        <w:spacing w:line="360" w:lineRule="auto"/>
        <w:rPr>
          <w:rFonts w:cs="Times New Roman"/>
          <w:szCs w:val="21"/>
        </w:rPr>
      </w:pPr>
      <w:r w:rsidRPr="00462E35">
        <w:rPr>
          <w:rFonts w:cs="Times New Roman"/>
          <w:szCs w:val="21"/>
        </w:rPr>
        <w:t xml:space="preserve">where </w:t>
      </w:r>
      <m:oMath>
        <m:r>
          <w:rPr>
            <w:rFonts w:ascii="Cambria Math" w:hAnsi="Cambria Math" w:cs="Times New Roman"/>
            <w:szCs w:val="21"/>
          </w:rPr>
          <m:t>r</m:t>
        </m:r>
      </m:oMath>
      <w:r w:rsidRPr="00462E35">
        <w:rPr>
          <w:rFonts w:cs="Times New Roman"/>
          <w:szCs w:val="21"/>
        </w:rPr>
        <w:t xml:space="preserve"> is the discount rate, set at 5% per annum. Finally, to avoid unnecessary volatility in the social value of natural capital, we take the year average of this price for country</w:t>
      </w:r>
      <m:oMath>
        <m:r>
          <w:rPr>
            <w:rFonts w:ascii="Cambria Math" w:hAnsi="Cambria Math" w:cs="Times New Roman"/>
            <w:szCs w:val="21"/>
          </w:rPr>
          <m:t xml:space="preserve"> i</m:t>
        </m:r>
      </m:oMath>
      <w:r w:rsidRPr="00462E35">
        <w:rPr>
          <w:rFonts w:cs="Times New Roman"/>
          <w:szCs w:val="21"/>
        </w:rPr>
        <w:t>:</w:t>
      </w:r>
    </w:p>
    <w:p w:rsidR="00403A26" w:rsidRPr="00462E35" w:rsidRDefault="00462E35" w:rsidP="00403A26">
      <w:pPr>
        <w:spacing w:line="360" w:lineRule="auto"/>
        <w:rPr>
          <w:rFonts w:cs="Times New Roman"/>
          <w:szCs w:val="21"/>
        </w:rPr>
      </w:pPr>
      <m:oMathPara>
        <m:oMath>
          <m:acc>
            <m:accPr>
              <m:chr m:val="̅"/>
              <m:ctrlPr>
                <w:rPr>
                  <w:rFonts w:ascii="Cambria Math" w:hAnsi="Cambria Math" w:cs="Times New Roman"/>
                  <w:i/>
                  <w:iCs/>
                  <w:szCs w:val="21"/>
                </w:rPr>
              </m:ctrlPr>
            </m:accPr>
            <m:e>
              <m:sSub>
                <m:sSubPr>
                  <m:ctrlPr>
                    <w:rPr>
                      <w:rFonts w:ascii="Cambria Math" w:hAnsi="Cambria Math" w:cs="Times New Roman"/>
                      <w:i/>
                      <w:iCs/>
                      <w:szCs w:val="21"/>
                    </w:rPr>
                  </m:ctrlPr>
                </m:sSubPr>
                <m:e>
                  <m:r>
                    <w:rPr>
                      <w:rFonts w:ascii="Cambria Math" w:hAnsi="Cambria Math" w:cs="Times New Roman"/>
                      <w:szCs w:val="21"/>
                    </w:rPr>
                    <m:t>p</m:t>
                  </m:r>
                </m:e>
                <m:sub>
                  <m:r>
                    <w:rPr>
                      <w:rFonts w:ascii="Cambria Math" w:hAnsi="Cambria Math" w:cs="Times New Roman"/>
                      <w:szCs w:val="21"/>
                    </w:rPr>
                    <m:t>Ai</m:t>
                  </m:r>
                </m:sub>
              </m:sSub>
            </m:e>
          </m:acc>
          <m:r>
            <w:rPr>
              <w:rFonts w:ascii="Cambria Math" w:hAnsi="Cambria Math" w:cs="Times New Roman"/>
              <w:szCs w:val="21"/>
            </w:rPr>
            <m:t>=</m:t>
          </m:r>
          <m:f>
            <m:fPr>
              <m:ctrlPr>
                <w:rPr>
                  <w:rFonts w:ascii="Cambria Math" w:hAnsi="Cambria Math" w:cs="Times New Roman"/>
                  <w:i/>
                  <w:iCs/>
                  <w:szCs w:val="21"/>
                </w:rPr>
              </m:ctrlPr>
            </m:fPr>
            <m:num>
              <m:r>
                <w:rPr>
                  <w:rFonts w:ascii="Cambria Math" w:hAnsi="Cambria Math" w:cs="Times New Roman"/>
                  <w:szCs w:val="21"/>
                </w:rPr>
                <m:t>1</m:t>
              </m:r>
            </m:num>
            <m:den>
              <m:r>
                <w:rPr>
                  <w:rFonts w:ascii="Cambria Math" w:hAnsi="Cambria Math" w:cs="Times New Roman"/>
                  <w:szCs w:val="21"/>
                </w:rPr>
                <m:t>25</m:t>
              </m:r>
            </m:den>
          </m:f>
          <m:nary>
            <m:naryPr>
              <m:chr m:val="∑"/>
              <m:ctrlPr>
                <w:rPr>
                  <w:rFonts w:ascii="Cambria Math" w:hAnsi="Cambria Math" w:cs="Times New Roman"/>
                  <w:i/>
                  <w:iCs/>
                  <w:szCs w:val="21"/>
                </w:rPr>
              </m:ctrlPr>
            </m:naryPr>
            <m:sub>
              <m:r>
                <w:rPr>
                  <w:rFonts w:ascii="Cambria Math" w:hAnsi="Cambria Math" w:cs="Times New Roman"/>
                  <w:szCs w:val="21"/>
                </w:rPr>
                <m:t>t=1990</m:t>
              </m:r>
            </m:sub>
            <m:sup>
              <m:r>
                <w:rPr>
                  <w:rFonts w:ascii="Cambria Math" w:hAnsi="Cambria Math" w:cs="Times New Roman"/>
                  <w:szCs w:val="21"/>
                </w:rPr>
                <m:t>2014</m:t>
              </m:r>
            </m:sup>
            <m:e>
              <m:r>
                <w:rPr>
                  <w:rFonts w:ascii="Cambria Math" w:hAnsi="Cambria Math" w:cs="Times New Roman"/>
                  <w:szCs w:val="21"/>
                </w:rPr>
                <m:t xml:space="preserve"> </m:t>
              </m:r>
              <m:sSub>
                <m:sSubPr>
                  <m:ctrlPr>
                    <w:rPr>
                      <w:rFonts w:ascii="Cambria Math" w:hAnsi="Cambria Math" w:cs="Times New Roman"/>
                      <w:i/>
                      <w:iCs/>
                      <w:szCs w:val="21"/>
                    </w:rPr>
                  </m:ctrlPr>
                </m:sSubPr>
                <m:e>
                  <m:r>
                    <w:rPr>
                      <w:rFonts w:ascii="Cambria Math" w:hAnsi="Cambria Math" w:cs="Times New Roman"/>
                      <w:szCs w:val="21"/>
                    </w:rPr>
                    <m:t>p</m:t>
                  </m:r>
                </m:e>
                <m:sub>
                  <m:r>
                    <w:rPr>
                      <w:rFonts w:ascii="Cambria Math" w:hAnsi="Cambria Math" w:cs="Times New Roman"/>
                      <w:szCs w:val="21"/>
                    </w:rPr>
                    <m:t>Ait</m:t>
                  </m:r>
                </m:sub>
              </m:sSub>
            </m:e>
          </m:nary>
        </m:oMath>
      </m:oMathPara>
    </w:p>
    <w:p w:rsidR="00403A26" w:rsidRPr="00462E35" w:rsidRDefault="00403A26" w:rsidP="00403A26">
      <w:pPr>
        <w:spacing w:line="360" w:lineRule="auto"/>
        <w:rPr>
          <w:rFonts w:cs="Times New Roman"/>
          <w:szCs w:val="21"/>
        </w:rPr>
      </w:pPr>
      <w:r w:rsidRPr="00462E35">
        <w:rPr>
          <w:rFonts w:cs="Times New Roman"/>
          <w:szCs w:val="21"/>
        </w:rPr>
        <w:t>which is used as the shadow price of cropland.</w:t>
      </w:r>
    </w:p>
    <w:p w:rsidR="00403A26" w:rsidRPr="00462E35" w:rsidRDefault="00403A26" w:rsidP="00403A26">
      <w:pPr>
        <w:spacing w:line="360" w:lineRule="auto"/>
        <w:rPr>
          <w:rFonts w:cs="Times New Roman"/>
          <w:szCs w:val="21"/>
        </w:rPr>
      </w:pPr>
      <w:r w:rsidRPr="00462E35">
        <w:rPr>
          <w:rFonts w:cs="Times New Roman"/>
          <w:szCs w:val="21"/>
        </w:rPr>
        <w:t xml:space="preserve">   The calculation of pastureland wealth differs from the calculation of cropland in that it is difficult to link rents to a particular amount of land involved in the production process. Thus, we opt to assume that the shadow price of pastureland is equal to that of cropland, which is a limitation of the current accounting.</w:t>
      </w:r>
    </w:p>
    <w:p w:rsidR="00403A26" w:rsidRPr="00462E35" w:rsidRDefault="00403A26" w:rsidP="00403A26">
      <w:pPr>
        <w:spacing w:line="360" w:lineRule="auto"/>
        <w:rPr>
          <w:rFonts w:cs="Times New Roman"/>
          <w:szCs w:val="21"/>
        </w:rPr>
      </w:pPr>
    </w:p>
    <w:tbl>
      <w:tblPr>
        <w:tblW w:w="0" w:type="auto"/>
        <w:tblLook w:val="04A0" w:firstRow="1" w:lastRow="0" w:firstColumn="1" w:lastColumn="0" w:noHBand="0" w:noVBand="1"/>
      </w:tblPr>
      <w:tblGrid>
        <w:gridCol w:w="4247"/>
        <w:gridCol w:w="4247"/>
      </w:tblGrid>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Yu Gothic" w:hAnsi="Times New Roman" w:cs="Times New Roman"/>
                <w:kern w:val="24"/>
                <w:sz w:val="21"/>
                <w:szCs w:val="21"/>
              </w:rPr>
              <w:t>Variables</w:t>
            </w:r>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Yu Gothic" w:hAnsi="Times New Roman" w:cs="Times New Roman"/>
                <w:kern w:val="24"/>
                <w:sz w:val="21"/>
                <w:szCs w:val="21"/>
              </w:rPr>
              <w:t>Data sources / assumptions</w:t>
            </w:r>
          </w:p>
        </w:tc>
      </w:tr>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 xml:space="preserve">Quantity of crops produced, </w:t>
            </w:r>
            <m:oMath>
              <m:r>
                <w:rPr>
                  <w:rFonts w:ascii="Cambria Math" w:hAnsi="Cambria Math" w:cs="Times New Roman"/>
                  <w:kern w:val="24"/>
                  <w:sz w:val="21"/>
                  <w:szCs w:val="21"/>
                </w:rPr>
                <m:t>Q</m:t>
              </m:r>
            </m:oMath>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FAO (2015)</w:t>
            </w:r>
          </w:p>
        </w:tc>
      </w:tr>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 xml:space="preserve">Price of crops produced, </w:t>
            </w:r>
            <m:oMath>
              <m:r>
                <w:rPr>
                  <w:rFonts w:ascii="Cambria Math" w:hAnsi="Cambria Math" w:cs="Times New Roman"/>
                  <w:kern w:val="24"/>
                  <w:sz w:val="21"/>
                  <w:szCs w:val="21"/>
                </w:rPr>
                <m:t>P</m:t>
              </m:r>
            </m:oMath>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FAO (2015)</w:t>
            </w:r>
          </w:p>
        </w:tc>
      </w:tr>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 xml:space="preserve">Rental rate, </w:t>
            </w:r>
            <m:oMath>
              <m:r>
                <w:rPr>
                  <w:rFonts w:ascii="Cambria Math" w:hAnsi="Cambria Math" w:cs="Times New Roman"/>
                  <w:kern w:val="24"/>
                  <w:sz w:val="21"/>
                  <w:szCs w:val="21"/>
                </w:rPr>
                <m:t>R</m:t>
              </m:r>
            </m:oMath>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Narayanan et. al. (2012)</w:t>
            </w:r>
          </w:p>
        </w:tc>
      </w:tr>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lastRenderedPageBreak/>
              <w:t xml:space="preserve">Harvested area in crops, </w:t>
            </w:r>
            <m:oMath>
              <m:r>
                <w:rPr>
                  <w:rFonts w:ascii="Cambria Math" w:hAnsi="Cambria Math" w:cs="Times New Roman"/>
                  <w:kern w:val="24"/>
                  <w:sz w:val="21"/>
                  <w:szCs w:val="21"/>
                </w:rPr>
                <m:t>A</m:t>
              </m:r>
            </m:oMath>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FAO (2015)</w:t>
            </w:r>
          </w:p>
        </w:tc>
      </w:tr>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 xml:space="preserve">Discount rate, </w:t>
            </w:r>
            <m:oMath>
              <m:r>
                <w:rPr>
                  <w:rFonts w:ascii="Cambria Math" w:hAnsi="Cambria Math" w:cs="Times New Roman"/>
                  <w:kern w:val="24"/>
                  <w:sz w:val="21"/>
                  <w:szCs w:val="21"/>
                </w:rPr>
                <m:t>r</m:t>
              </m:r>
            </m:oMath>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5%</w:t>
            </w:r>
          </w:p>
        </w:tc>
      </w:tr>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Permanent cropland/pastureland area</w:t>
            </w:r>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FAO (2015)</w:t>
            </w:r>
          </w:p>
        </w:tc>
      </w:tr>
    </w:tbl>
    <w:p w:rsidR="00403A26" w:rsidRPr="00462E35" w:rsidRDefault="00403A26" w:rsidP="00403A26">
      <w:pPr>
        <w:spacing w:line="360" w:lineRule="auto"/>
        <w:rPr>
          <w:rFonts w:cs="Times New Roman"/>
          <w:szCs w:val="21"/>
        </w:rPr>
      </w:pPr>
      <w:r w:rsidRPr="00462E35">
        <w:rPr>
          <w:rFonts w:cs="Times New Roman"/>
          <w:szCs w:val="21"/>
        </w:rPr>
        <w:t>Table A5: Data sources and assumptions for the calculation of agricultural land</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1"/>
          <w:numId w:val="10"/>
        </w:numPr>
        <w:spacing w:line="360" w:lineRule="auto"/>
        <w:ind w:leftChars="0"/>
        <w:rPr>
          <w:rFonts w:cs="Times New Roman"/>
          <w:szCs w:val="21"/>
        </w:rPr>
      </w:pPr>
      <w:r w:rsidRPr="00462E35">
        <w:rPr>
          <w:rFonts w:cs="Times New Roman"/>
          <w:szCs w:val="21"/>
        </w:rPr>
        <w:t>Forest</w:t>
      </w:r>
    </w:p>
    <w:p w:rsidR="00403A26" w:rsidRPr="00462E35" w:rsidRDefault="00403A26" w:rsidP="00403A26">
      <w:pPr>
        <w:spacing w:line="360" w:lineRule="auto"/>
        <w:rPr>
          <w:rFonts w:cs="Times New Roman"/>
          <w:szCs w:val="21"/>
        </w:rPr>
      </w:pPr>
      <w:r w:rsidRPr="00462E35">
        <w:rPr>
          <w:rFonts w:cs="Times New Roman"/>
          <w:szCs w:val="21"/>
        </w:rPr>
        <w:t>In the current forest accounting, we follow</w:t>
      </w:r>
      <w:r w:rsidRPr="00462E35">
        <w:rPr>
          <w:rFonts w:eastAsia="Yu Mincho" w:cs="Times New Roman"/>
          <w:szCs w:val="21"/>
        </w:rPr>
        <w:t xml:space="preserve"> the</w:t>
      </w:r>
      <w:r w:rsidRPr="00462E35">
        <w:rPr>
          <w:rFonts w:cs="Times New Roman"/>
          <w:szCs w:val="21"/>
        </w:rPr>
        <w:t xml:space="preserve"> IWR 2014 methodology. Forest wealth is composed of timber value and non-timber forest benefits (NTFB).</w:t>
      </w:r>
    </w:p>
    <w:p w:rsidR="00403A26" w:rsidRPr="00462E35" w:rsidRDefault="00403A26" w:rsidP="00403A26">
      <w:pPr>
        <w:pStyle w:val="ListParagraph"/>
        <w:numPr>
          <w:ilvl w:val="2"/>
          <w:numId w:val="10"/>
        </w:numPr>
        <w:spacing w:line="360" w:lineRule="auto"/>
        <w:ind w:leftChars="0"/>
        <w:rPr>
          <w:rFonts w:cs="Times New Roman"/>
          <w:szCs w:val="21"/>
        </w:rPr>
      </w:pPr>
      <w:r w:rsidRPr="00462E35">
        <w:rPr>
          <w:rFonts w:cs="Times New Roman"/>
          <w:szCs w:val="21"/>
        </w:rPr>
        <w:t>Timber</w:t>
      </w:r>
    </w:p>
    <w:p w:rsidR="00403A26" w:rsidRPr="00462E35" w:rsidRDefault="00403A26" w:rsidP="00403A26">
      <w:pPr>
        <w:spacing w:line="360" w:lineRule="auto"/>
        <w:rPr>
          <w:rFonts w:cs="Times New Roman"/>
          <w:szCs w:val="21"/>
        </w:rPr>
      </w:pPr>
      <w:r w:rsidRPr="00462E35">
        <w:rPr>
          <w:rFonts w:cs="Times New Roman"/>
          <w:szCs w:val="21"/>
        </w:rPr>
        <w:t>We estimate the volume of</w:t>
      </w:r>
      <w:r w:rsidRPr="00462E35">
        <w:rPr>
          <w:rFonts w:eastAsia="Yu Mincho" w:cs="Times New Roman"/>
          <w:szCs w:val="21"/>
        </w:rPr>
        <w:t xml:space="preserve"> commercially available</w:t>
      </w:r>
      <w:r w:rsidRPr="00462E35">
        <w:rPr>
          <w:rFonts w:cs="Times New Roman"/>
          <w:szCs w:val="21"/>
        </w:rPr>
        <w:t xml:space="preserve"> timber resources. For the quantity of this specific capital, the total forest area, excluding cultivated forest, is multiplied by timber density per area and the percentage of the total volume that is commercially available. The exclusion of cultivated forest could be debatable, as it is regarded as contributing to timber and non-timber values. </w:t>
      </w:r>
      <w:r w:rsidRPr="00462E35">
        <w:rPr>
          <w:rFonts w:eastAsia="Yu Mincho" w:cs="Times New Roman"/>
          <w:szCs w:val="21"/>
        </w:rPr>
        <w:t>This is because</w:t>
      </w:r>
      <w:r w:rsidRPr="00462E35">
        <w:rPr>
          <w:rFonts w:cs="Times New Roman"/>
          <w:szCs w:val="21"/>
        </w:rPr>
        <w:t xml:space="preserve"> the activity of cultivating forest is categorized as a production activity in the System of National Accounts. In line with this reasoning, we register cultivated forest under produced capital in IWR 2014 and 2017.</w:t>
      </w:r>
    </w:p>
    <w:p w:rsidR="00403A26" w:rsidRPr="00462E35" w:rsidRDefault="00403A26" w:rsidP="00403A26">
      <w:pPr>
        <w:spacing w:line="360" w:lineRule="auto"/>
        <w:ind w:firstLineChars="150" w:firstLine="330"/>
        <w:rPr>
          <w:rFonts w:cs="Times New Roman"/>
          <w:szCs w:val="21"/>
        </w:rPr>
      </w:pPr>
      <w:r w:rsidRPr="00462E35">
        <w:rPr>
          <w:rFonts w:cs="Times New Roman"/>
          <w:szCs w:val="21"/>
        </w:rPr>
        <w:t>The computation of shadow prices involves several steps, following IWR 2014. First, we follow the World Bank’s (2006) method by adopting a weighted average price of two different commodities – industrial round wood and fuelwood – which are also country-specific parameters. The weight attached to the different prices is based on the quantity of the commodity manufactured, while industrial round wood and fuelwood prices are obtained from the value and quantity exported and produced, respectively. Second, we convert the annual estimated values from current to constant prices by using each country-specific gross domestic product (GDP) deflator. Third, we use information on the regional rental rates for timber estimated by Bolt et al. (2002). Such rates are assumed to be constant over time. Fourth, we estimate the average price over the entire study period (1990 to 2014), thereby obtaining our proxy value for the shadow price of timber.</w:t>
      </w:r>
    </w:p>
    <w:p w:rsidR="00403A26" w:rsidRPr="00462E35" w:rsidRDefault="00403A26" w:rsidP="00403A26">
      <w:pPr>
        <w:spacing w:line="360" w:lineRule="auto"/>
        <w:ind w:firstLineChars="150" w:firstLine="330"/>
        <w:rPr>
          <w:rFonts w:cs="Times New Roman"/>
          <w:szCs w:val="21"/>
        </w:rPr>
      </w:pPr>
      <w:r w:rsidRPr="00462E35">
        <w:rPr>
          <w:rFonts w:cs="Times New Roman"/>
          <w:szCs w:val="21"/>
        </w:rPr>
        <w:t>Finally, in the same manner as other resources, wealth corresponding to timber value is calculated as the product of quantity, price, and average rental rate over time.</w:t>
      </w:r>
    </w:p>
    <w:p w:rsidR="00403A26" w:rsidRPr="00462E35" w:rsidRDefault="00403A26" w:rsidP="00403A26">
      <w:pPr>
        <w:spacing w:line="360" w:lineRule="auto"/>
        <w:rPr>
          <w:rFonts w:cs="Times New Roman"/>
          <w:szCs w:val="21"/>
        </w:rPr>
      </w:pPr>
    </w:p>
    <w:tbl>
      <w:tblPr>
        <w:tblW w:w="0" w:type="auto"/>
        <w:tblLook w:val="04A0" w:firstRow="1" w:lastRow="0" w:firstColumn="1" w:lastColumn="0" w:noHBand="0" w:noVBand="1"/>
      </w:tblPr>
      <w:tblGrid>
        <w:gridCol w:w="4247"/>
        <w:gridCol w:w="4247"/>
      </w:tblGrid>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Yu Gothic" w:hAnsi="Times New Roman" w:cs="Times New Roman"/>
                <w:kern w:val="24"/>
                <w:sz w:val="21"/>
                <w:szCs w:val="21"/>
              </w:rPr>
              <w:t>Variables</w:t>
            </w:r>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Yu Gothic" w:hAnsi="Times New Roman" w:cs="Times New Roman"/>
                <w:kern w:val="24"/>
                <w:sz w:val="21"/>
                <w:szCs w:val="21"/>
              </w:rPr>
              <w:t>Data sources / assumptions</w:t>
            </w:r>
          </w:p>
        </w:tc>
      </w:tr>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lastRenderedPageBreak/>
              <w:t>Forest stocks</w:t>
            </w:r>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FAO (2015; 2010; 2006; 2001; 1995)</w:t>
            </w:r>
          </w:p>
        </w:tc>
      </w:tr>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Forest stock commercially available</w:t>
            </w:r>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FAO (2006)</w:t>
            </w:r>
          </w:p>
        </w:tc>
      </w:tr>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Wood production</w:t>
            </w:r>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FAO (2015)</w:t>
            </w:r>
          </w:p>
        </w:tc>
      </w:tr>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Value of wood production</w:t>
            </w:r>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FAO (2015)</w:t>
            </w:r>
          </w:p>
        </w:tc>
      </w:tr>
      <w:tr w:rsidR="00462E35" w:rsidRPr="00462E35" w:rsidTr="00C07065">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 xml:space="preserve">Rental rate, </w:t>
            </w:r>
            <m:oMath>
              <m:r>
                <w:rPr>
                  <w:rFonts w:ascii="Cambria Math" w:hAnsi="Cambria Math" w:cs="Times New Roman"/>
                  <w:kern w:val="24"/>
                  <w:sz w:val="21"/>
                  <w:szCs w:val="21"/>
                </w:rPr>
                <m:t>R</m:t>
              </m:r>
            </m:oMath>
          </w:p>
        </w:tc>
        <w:tc>
          <w:tcPr>
            <w:tcW w:w="4247" w:type="dxa"/>
          </w:tcPr>
          <w:p w:rsidR="00403A26" w:rsidRPr="00462E35" w:rsidRDefault="00403A26" w:rsidP="00C07065">
            <w:pPr>
              <w:pStyle w:val="NormalWeb"/>
              <w:spacing w:before="0" w:beforeAutospacing="0" w:after="0" w:afterAutospacing="0" w:line="360" w:lineRule="auto"/>
              <w:rPr>
                <w:rFonts w:ascii="Times New Roman" w:hAnsi="Times New Roman" w:cs="Times New Roman"/>
                <w:sz w:val="21"/>
                <w:szCs w:val="21"/>
              </w:rPr>
            </w:pPr>
            <w:r w:rsidRPr="00462E35">
              <w:rPr>
                <w:rFonts w:ascii="Times New Roman" w:eastAsiaTheme="minorEastAsia" w:hAnsi="Times New Roman" w:cs="Times New Roman"/>
                <w:kern w:val="24"/>
                <w:sz w:val="21"/>
                <w:szCs w:val="21"/>
              </w:rPr>
              <w:t>Bolt et al. (2002)</w:t>
            </w:r>
          </w:p>
        </w:tc>
      </w:tr>
    </w:tbl>
    <w:p w:rsidR="00403A26" w:rsidRPr="00462E35" w:rsidRDefault="00403A26" w:rsidP="00403A26">
      <w:pPr>
        <w:spacing w:line="360" w:lineRule="auto"/>
        <w:rPr>
          <w:rFonts w:cs="Times New Roman"/>
          <w:szCs w:val="21"/>
        </w:rPr>
      </w:pPr>
      <w:r w:rsidRPr="00462E35">
        <w:rPr>
          <w:rFonts w:cs="Times New Roman"/>
          <w:szCs w:val="21"/>
        </w:rPr>
        <w:t>Table A6: Data sources and assumptions for the calculation of forest</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2"/>
          <w:numId w:val="10"/>
        </w:numPr>
        <w:spacing w:line="360" w:lineRule="auto"/>
        <w:ind w:leftChars="0"/>
        <w:rPr>
          <w:rFonts w:cs="Times New Roman"/>
          <w:szCs w:val="21"/>
        </w:rPr>
      </w:pPr>
      <w:r w:rsidRPr="00462E35">
        <w:rPr>
          <w:rFonts w:cs="Times New Roman"/>
          <w:szCs w:val="21"/>
        </w:rPr>
        <w:t>Non-timber forest benefits</w:t>
      </w:r>
    </w:p>
    <w:p w:rsidR="00403A26" w:rsidRPr="00462E35" w:rsidRDefault="00403A26" w:rsidP="00403A26">
      <w:pPr>
        <w:spacing w:line="360" w:lineRule="auto"/>
        <w:rPr>
          <w:rFonts w:cs="Times New Roman"/>
          <w:szCs w:val="21"/>
        </w:rPr>
      </w:pPr>
      <w:r w:rsidRPr="00462E35">
        <w:rPr>
          <w:rFonts w:cs="Times New Roman"/>
          <w:szCs w:val="21"/>
        </w:rPr>
        <w:t xml:space="preserve">Aside from provisioning services in the form of timber production, forest capital yields many ecosystem services. Following IWR 2014, we account for this non-timber forest </w:t>
      </w:r>
      <w:r w:rsidRPr="00462E35">
        <w:rPr>
          <w:rFonts w:eastAsia="Yu Mincho" w:cs="Times New Roman"/>
          <w:szCs w:val="21"/>
        </w:rPr>
        <w:t>benefit</w:t>
      </w:r>
      <w:r w:rsidRPr="00462E35">
        <w:rPr>
          <w:rFonts w:cs="Times New Roman"/>
          <w:szCs w:val="21"/>
        </w:rPr>
        <w:t xml:space="preserve"> in the following manner.</w:t>
      </w:r>
    </w:p>
    <w:p w:rsidR="00403A26" w:rsidRPr="00462E35" w:rsidRDefault="00403A26" w:rsidP="00403A26">
      <w:pPr>
        <w:spacing w:line="360" w:lineRule="auto"/>
        <w:rPr>
          <w:rFonts w:cs="Times New Roman"/>
          <w:iCs/>
          <w:szCs w:val="21"/>
        </w:rPr>
      </w:pPr>
      <w:r w:rsidRPr="00462E35">
        <w:rPr>
          <w:rFonts w:cs="Times New Roman"/>
          <w:szCs w:val="21"/>
        </w:rPr>
        <w:t xml:space="preserve">   First, </w:t>
      </w:r>
      <w:r w:rsidRPr="00462E35">
        <w:rPr>
          <w:rFonts w:eastAsia="Yu Mincho" w:cs="Times New Roman"/>
          <w:szCs w:val="21"/>
        </w:rPr>
        <w:t xml:space="preserve">the </w:t>
      </w:r>
      <w:r w:rsidRPr="00462E35">
        <w:rPr>
          <w:rFonts w:cs="Times New Roman"/>
          <w:szCs w:val="21"/>
        </w:rPr>
        <w:t xml:space="preserve">total forest area in the country under analysis, excluding cultivated forest, is retrieved from FAO (2015), and we denote it as </w:t>
      </w:r>
      <m:oMath>
        <m:r>
          <w:rPr>
            <w:rFonts w:ascii="Cambria Math" w:hAnsi="Cambria Math" w:cs="Times New Roman"/>
            <w:szCs w:val="21"/>
          </w:rPr>
          <m:t>Q</m:t>
        </m:r>
      </m:oMath>
      <w:r w:rsidRPr="00462E35">
        <w:rPr>
          <w:rFonts w:cs="Times New Roman"/>
          <w:iCs/>
          <w:szCs w:val="21"/>
        </w:rPr>
        <w:t xml:space="preserve"> (ha). Second, </w:t>
      </w:r>
      <w:r w:rsidRPr="00462E35">
        <w:rPr>
          <w:rFonts w:eastAsia="Yu Mincho" w:cs="Times New Roman"/>
          <w:iCs/>
          <w:szCs w:val="21"/>
        </w:rPr>
        <w:t xml:space="preserve">the </w:t>
      </w:r>
      <w:r w:rsidRPr="00462E35">
        <w:rPr>
          <w:rFonts w:cs="Times New Roman"/>
          <w:iCs/>
          <w:szCs w:val="21"/>
        </w:rPr>
        <w:t xml:space="preserve">fraction of the total forest area </w:t>
      </w:r>
      <w:r w:rsidRPr="00462E35">
        <w:rPr>
          <w:rFonts w:eastAsia="Yu Mincho" w:cs="Times New Roman"/>
          <w:iCs/>
          <w:szCs w:val="21"/>
        </w:rPr>
        <w:t>that</w:t>
      </w:r>
      <w:r w:rsidRPr="00462E35">
        <w:rPr>
          <w:rFonts w:cs="Times New Roman"/>
          <w:iCs/>
          <w:szCs w:val="21"/>
        </w:rPr>
        <w:t xml:space="preserve"> is accessed by individuals to obtain benefits is assumed to be </w:t>
      </w:r>
      <m:oMath>
        <m:r>
          <w:rPr>
            <w:rFonts w:ascii="Cambria Math" w:hAnsi="Cambria Math" w:cs="Times New Roman"/>
            <w:szCs w:val="21"/>
          </w:rPr>
          <m:t>γ</m:t>
        </m:r>
      </m:oMath>
      <w:r w:rsidRPr="00462E35">
        <w:rPr>
          <w:rFonts w:cs="Times New Roman"/>
          <w:iCs/>
          <w:szCs w:val="21"/>
        </w:rPr>
        <w:t xml:space="preserve">. The ecological literature has stressed that only the portion of the forest that contributes to well-being should be accounted for. For want of better assumptions, we assume </w:t>
      </w:r>
      <m:oMath>
        <m:r>
          <w:rPr>
            <w:rFonts w:ascii="Cambria Math" w:hAnsi="Cambria Math" w:cs="Times New Roman"/>
            <w:szCs w:val="21"/>
          </w:rPr>
          <m:t>γ</m:t>
        </m:r>
      </m:oMath>
      <w:r w:rsidRPr="00462E35">
        <w:rPr>
          <w:rFonts w:cs="Times New Roman"/>
          <w:iCs/>
          <w:szCs w:val="21"/>
        </w:rPr>
        <w:t xml:space="preserve"> to be 10%, following the World Bank (2006).</w:t>
      </w:r>
    </w:p>
    <w:p w:rsidR="00403A26" w:rsidRPr="00462E35" w:rsidRDefault="00403A26" w:rsidP="00403A26">
      <w:pPr>
        <w:spacing w:line="360" w:lineRule="auto"/>
        <w:ind w:firstLineChars="150" w:firstLine="330"/>
        <w:rPr>
          <w:rFonts w:cs="Times New Roman"/>
          <w:szCs w:val="21"/>
        </w:rPr>
      </w:pPr>
      <w:r w:rsidRPr="00462E35">
        <w:rPr>
          <w:rFonts w:cs="Times New Roman"/>
          <w:iCs/>
          <w:szCs w:val="21"/>
        </w:rPr>
        <w:t>Third, the unit benefit of non-timber forest to intertemporal social well-being is taken from</w:t>
      </w:r>
      <w:r w:rsidRPr="00462E35">
        <w:rPr>
          <w:rFonts w:eastAsia="Yu Mincho" w:cs="Times New Roman"/>
          <w:iCs/>
          <w:szCs w:val="21"/>
        </w:rPr>
        <w:t xml:space="preserve"> the</w:t>
      </w:r>
      <w:r w:rsidRPr="00462E35">
        <w:rPr>
          <w:rFonts w:cs="Times New Roman"/>
          <w:iCs/>
          <w:szCs w:val="21"/>
        </w:rPr>
        <w:t xml:space="preserve"> Ecosystem Service Valuation Database (</w:t>
      </w:r>
      <w:r w:rsidRPr="00462E35">
        <w:rPr>
          <w:rFonts w:cs="Times New Roman"/>
          <w:szCs w:val="21"/>
        </w:rPr>
        <w:t xml:space="preserve">ESVD) database of van der </w:t>
      </w:r>
      <w:proofErr w:type="spellStart"/>
      <w:r w:rsidRPr="00462E35">
        <w:rPr>
          <w:rFonts w:cs="Times New Roman"/>
          <w:szCs w:val="21"/>
        </w:rPr>
        <w:t>Ploeg</w:t>
      </w:r>
      <w:proofErr w:type="spellEnd"/>
      <w:r w:rsidRPr="00462E35">
        <w:rPr>
          <w:rFonts w:cs="Times New Roman"/>
          <w:szCs w:val="21"/>
        </w:rPr>
        <w:t xml:space="preserve"> and de Groot (2010) and denoted by </w:t>
      </w:r>
      <m:oMath>
        <m:r>
          <w:rPr>
            <w:rFonts w:ascii="Cambria Math" w:hAnsi="Cambria Math" w:cs="Times New Roman"/>
            <w:szCs w:val="21"/>
          </w:rPr>
          <m:t>P</m:t>
        </m:r>
      </m:oMath>
      <w:r w:rsidRPr="00462E35">
        <w:rPr>
          <w:rFonts w:cs="Times New Roman"/>
          <w:iCs/>
          <w:szCs w:val="21"/>
        </w:rPr>
        <w:t xml:space="preserve"> (USD/ha/year).</w:t>
      </w:r>
      <w:r w:rsidRPr="00462E35">
        <w:rPr>
          <w:rFonts w:cs="Times New Roman"/>
          <w:szCs w:val="21"/>
        </w:rPr>
        <w:t xml:space="preserve"> The average value per hectare should be different for temperate and boreal and tropical </w:t>
      </w:r>
      <w:r w:rsidRPr="00462E35">
        <w:rPr>
          <w:rFonts w:eastAsia="Yu Mincho" w:cs="Times New Roman"/>
          <w:szCs w:val="21"/>
        </w:rPr>
        <w:t>forests</w:t>
      </w:r>
      <w:r w:rsidRPr="00462E35">
        <w:rPr>
          <w:rFonts w:cs="Times New Roman"/>
          <w:szCs w:val="21"/>
        </w:rPr>
        <w:t xml:space="preserve">, as shown in Table XX. Accordingly, we weight the corresponding values by the share of each forest type in the total forest of the country. Fourth, to make this benefit into capital asset value, we take its net present value using the discount rate of </w:t>
      </w:r>
      <m:oMath>
        <m:r>
          <w:rPr>
            <w:rFonts w:ascii="Cambria Math" w:hAnsi="Cambria Math" w:cs="Times New Roman"/>
            <w:szCs w:val="21"/>
          </w:rPr>
          <m:t>r</m:t>
        </m:r>
      </m:oMath>
      <w:r w:rsidRPr="00462E35">
        <w:rPr>
          <w:rFonts w:cs="Times New Roman"/>
          <w:iCs/>
          <w:szCs w:val="21"/>
        </w:rPr>
        <w:t>=5%</w:t>
      </w:r>
      <w:r w:rsidRPr="00462E35">
        <w:rPr>
          <w:rFonts w:cs="Times New Roman"/>
          <w:szCs w:val="21"/>
        </w:rPr>
        <w:t>.</w:t>
      </w:r>
    </w:p>
    <w:p w:rsidR="00403A26" w:rsidRPr="00462E35" w:rsidRDefault="00403A26" w:rsidP="00403A26">
      <w:pPr>
        <w:spacing w:line="360" w:lineRule="auto"/>
        <w:ind w:firstLineChars="150" w:firstLine="330"/>
        <w:rPr>
          <w:rFonts w:cs="Times New Roman"/>
          <w:szCs w:val="21"/>
        </w:rPr>
      </w:pPr>
      <w:r w:rsidRPr="00462E35">
        <w:rPr>
          <w:rFonts w:cs="Times New Roman"/>
          <w:szCs w:val="21"/>
        </w:rPr>
        <w:t>In short, the value of NTFB forest wealth is calculated as</w:t>
      </w:r>
    </w:p>
    <w:p w:rsidR="00403A26" w:rsidRPr="00462E35" w:rsidRDefault="00462E35" w:rsidP="00403A26">
      <w:pPr>
        <w:spacing w:line="360" w:lineRule="auto"/>
        <w:rPr>
          <w:rFonts w:cs="Times New Roman"/>
          <w:szCs w:val="21"/>
        </w:rPr>
      </w:pPr>
      <m:oMathPara>
        <m:oMath>
          <m:nary>
            <m:naryPr>
              <m:chr m:val="∑"/>
              <m:ctrlPr>
                <w:rPr>
                  <w:rFonts w:ascii="Cambria Math" w:hAnsi="Cambria Math" w:cs="Times New Roman"/>
                  <w:i/>
                  <w:iCs/>
                  <w:szCs w:val="21"/>
                </w:rPr>
              </m:ctrlPr>
            </m:naryPr>
            <m:sub>
              <m:r>
                <w:rPr>
                  <w:rFonts w:ascii="Cambria Math" w:hAnsi="Cambria Math" w:cs="Times New Roman"/>
                  <w:szCs w:val="21"/>
                </w:rPr>
                <m:t>τ=t</m:t>
              </m:r>
            </m:sub>
            <m:sup>
              <m:r>
                <w:rPr>
                  <w:rFonts w:ascii="Cambria Math" w:hAnsi="Cambria Math" w:cs="Times New Roman"/>
                  <w:szCs w:val="21"/>
                </w:rPr>
                <m:t>∞</m:t>
              </m:r>
            </m:sup>
            <m:e>
              <m:f>
                <m:fPr>
                  <m:ctrlPr>
                    <w:rPr>
                      <w:rFonts w:ascii="Cambria Math" w:hAnsi="Cambria Math" w:cs="Times New Roman"/>
                      <w:i/>
                      <w:iCs/>
                      <w:szCs w:val="21"/>
                    </w:rPr>
                  </m:ctrlPr>
                </m:fPr>
                <m:num>
                  <m:r>
                    <w:rPr>
                      <w:rFonts w:ascii="Cambria Math" w:hAnsi="Cambria Math" w:cs="Times New Roman"/>
                      <w:szCs w:val="21"/>
                    </w:rPr>
                    <m:t>P</m:t>
                  </m:r>
                  <m:sSub>
                    <m:sSubPr>
                      <m:ctrlPr>
                        <w:rPr>
                          <w:rFonts w:ascii="Cambria Math" w:hAnsi="Cambria Math" w:cs="Times New Roman"/>
                          <w:i/>
                          <w:iCs/>
                          <w:szCs w:val="21"/>
                        </w:rPr>
                      </m:ctrlPr>
                    </m:sSubPr>
                    <m:e>
                      <m:r>
                        <w:rPr>
                          <w:rFonts w:ascii="Cambria Math" w:hAnsi="Cambria Math" w:cs="Times New Roman"/>
                          <w:szCs w:val="21"/>
                        </w:rPr>
                        <m:t>Q</m:t>
                      </m:r>
                    </m:e>
                    <m:sub>
                      <m:r>
                        <w:rPr>
                          <w:rFonts w:ascii="Cambria Math" w:hAnsi="Cambria Math" w:cs="Times New Roman"/>
                          <w:szCs w:val="21"/>
                        </w:rPr>
                        <m:t>τ</m:t>
                      </m:r>
                    </m:sub>
                  </m:sSub>
                  <m:r>
                    <w:rPr>
                      <w:rFonts w:ascii="Cambria Math" w:hAnsi="Cambria Math" w:cs="Times New Roman"/>
                      <w:szCs w:val="21"/>
                    </w:rPr>
                    <m:t>γ</m:t>
                  </m:r>
                </m:num>
                <m:den>
                  <m:sSup>
                    <m:sSupPr>
                      <m:ctrlPr>
                        <w:rPr>
                          <w:rFonts w:ascii="Cambria Math" w:hAnsi="Cambria Math" w:cs="Times New Roman"/>
                          <w:i/>
                          <w:iCs/>
                          <w:szCs w:val="21"/>
                        </w:rPr>
                      </m:ctrlPr>
                    </m:sSupPr>
                    <m:e>
                      <m:d>
                        <m:dPr>
                          <m:ctrlPr>
                            <w:rPr>
                              <w:rFonts w:ascii="Cambria Math" w:hAnsi="Cambria Math" w:cs="Times New Roman"/>
                              <w:i/>
                              <w:iCs/>
                              <w:szCs w:val="21"/>
                            </w:rPr>
                          </m:ctrlPr>
                        </m:dPr>
                        <m:e>
                          <m:r>
                            <w:rPr>
                              <w:rFonts w:ascii="Cambria Math" w:hAnsi="Cambria Math" w:cs="Times New Roman"/>
                              <w:szCs w:val="21"/>
                            </w:rPr>
                            <m:t>1+r</m:t>
                          </m:r>
                        </m:e>
                      </m:d>
                    </m:e>
                    <m:sup>
                      <m:r>
                        <w:rPr>
                          <w:rFonts w:ascii="Cambria Math" w:hAnsi="Cambria Math" w:cs="Times New Roman"/>
                          <w:szCs w:val="21"/>
                        </w:rPr>
                        <m:t>τ-t</m:t>
                      </m:r>
                    </m:sup>
                  </m:sSup>
                </m:den>
              </m:f>
              <m:r>
                <w:rPr>
                  <w:rFonts w:ascii="Cambria Math" w:hAnsi="Cambria Math" w:cs="Times New Roman"/>
                  <w:szCs w:val="21"/>
                </w:rPr>
                <m:t>=</m:t>
              </m:r>
              <m:f>
                <m:fPr>
                  <m:ctrlPr>
                    <w:rPr>
                      <w:rFonts w:ascii="Cambria Math" w:hAnsi="Cambria Math" w:cs="Times New Roman"/>
                      <w:i/>
                      <w:iCs/>
                      <w:szCs w:val="21"/>
                    </w:rPr>
                  </m:ctrlPr>
                </m:fPr>
                <m:num>
                  <m:r>
                    <w:rPr>
                      <w:rFonts w:ascii="Cambria Math" w:hAnsi="Cambria Math" w:cs="Times New Roman"/>
                      <w:szCs w:val="21"/>
                    </w:rPr>
                    <m:t>1+r</m:t>
                  </m:r>
                </m:num>
                <m:den>
                  <m:r>
                    <w:rPr>
                      <w:rFonts w:ascii="Cambria Math" w:hAnsi="Cambria Math" w:cs="Times New Roman"/>
                      <w:szCs w:val="21"/>
                    </w:rPr>
                    <m:t>r</m:t>
                  </m:r>
                </m:den>
              </m:f>
            </m:e>
          </m:nary>
          <m:r>
            <w:rPr>
              <w:rFonts w:ascii="Cambria Math" w:hAnsi="Cambria Math" w:cs="Times New Roman"/>
              <w:szCs w:val="21"/>
            </w:rPr>
            <m:t>PQγ</m:t>
          </m:r>
          <m:r>
            <m:rPr>
              <m:sty m:val="p"/>
            </m:rPr>
            <w:rPr>
              <w:rFonts w:ascii="Cambria Math" w:hAnsi="Cambria Math" w:cs="Times New Roman"/>
              <w:szCs w:val="21"/>
            </w:rPr>
            <m:t>.</m:t>
          </m:r>
        </m:oMath>
      </m:oMathPara>
    </w:p>
    <w:p w:rsidR="00403A26" w:rsidRPr="00462E35" w:rsidRDefault="00403A26" w:rsidP="00403A26">
      <w:pPr>
        <w:spacing w:line="360" w:lineRule="auto"/>
        <w:rPr>
          <w:rFonts w:cs="Times New Roman"/>
          <w:szCs w:val="21"/>
        </w:rPr>
      </w:pPr>
    </w:p>
    <w:tbl>
      <w:tblPr>
        <w:tblW w:w="0" w:type="auto"/>
        <w:jc w:val="center"/>
        <w:tblLook w:val="04A0" w:firstRow="1" w:lastRow="0" w:firstColumn="1" w:lastColumn="0" w:noHBand="0" w:noVBand="1"/>
      </w:tblPr>
      <w:tblGrid>
        <w:gridCol w:w="2831"/>
        <w:gridCol w:w="2831"/>
        <w:gridCol w:w="2832"/>
      </w:tblGrid>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Select service</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Temperate and boreal</w:t>
            </w:r>
          </w:p>
          <w:p w:rsidR="00403A26" w:rsidRPr="00462E35" w:rsidRDefault="00403A26" w:rsidP="00C07065">
            <w:pPr>
              <w:spacing w:line="360" w:lineRule="auto"/>
              <w:rPr>
                <w:rFonts w:cs="Times New Roman"/>
                <w:szCs w:val="21"/>
              </w:rPr>
            </w:pPr>
            <w:r w:rsidRPr="00462E35">
              <w:rPr>
                <w:rFonts w:cs="Times New Roman"/>
                <w:szCs w:val="21"/>
              </w:rPr>
              <w:t>forests (USD/</w:t>
            </w:r>
            <w:proofErr w:type="spellStart"/>
            <w:r w:rsidRPr="00462E35">
              <w:rPr>
                <w:rFonts w:cs="Times New Roman"/>
                <w:szCs w:val="21"/>
              </w:rPr>
              <w:t>yr</w:t>
            </w:r>
            <w:proofErr w:type="spellEnd"/>
            <w:r w:rsidRPr="00462E35">
              <w:rPr>
                <w:rFonts w:cs="Times New Roman"/>
                <w:szCs w:val="21"/>
              </w:rPr>
              <w:t>/ha)</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Tropical forest (USD/</w:t>
            </w:r>
            <w:proofErr w:type="spellStart"/>
            <w:r w:rsidRPr="00462E35">
              <w:rPr>
                <w:rFonts w:cs="Times New Roman"/>
                <w:szCs w:val="21"/>
              </w:rPr>
              <w:t>yr</w:t>
            </w:r>
            <w:proofErr w:type="spellEnd"/>
            <w:r w:rsidRPr="00462E35">
              <w:rPr>
                <w:rFonts w:cs="Times New Roman"/>
                <w:szCs w:val="21"/>
              </w:rPr>
              <w:t>/ha)</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lastRenderedPageBreak/>
              <w:t>Provisioning services</w:t>
            </w:r>
          </w:p>
        </w:tc>
        <w:tc>
          <w:tcPr>
            <w:tcW w:w="2831" w:type="dxa"/>
          </w:tcPr>
          <w:p w:rsidR="00403A26" w:rsidRPr="00462E35" w:rsidRDefault="00403A26" w:rsidP="00C07065">
            <w:pPr>
              <w:spacing w:line="360" w:lineRule="auto"/>
              <w:rPr>
                <w:rFonts w:cs="Times New Roman"/>
                <w:szCs w:val="21"/>
              </w:rPr>
            </w:pPr>
          </w:p>
        </w:tc>
        <w:tc>
          <w:tcPr>
            <w:tcW w:w="2832" w:type="dxa"/>
          </w:tcPr>
          <w:p w:rsidR="00403A26" w:rsidRPr="00462E35" w:rsidRDefault="00403A26" w:rsidP="00C07065">
            <w:pPr>
              <w:spacing w:line="360" w:lineRule="auto"/>
              <w:rPr>
                <w:rFonts w:cs="Times New Roman"/>
                <w:szCs w:val="21"/>
              </w:rPr>
            </w:pP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1 food</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23</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107</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2 water</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146</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137</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3 genetic</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2</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451</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4 medical</w:t>
            </w:r>
          </w:p>
        </w:tc>
        <w:tc>
          <w:tcPr>
            <w:tcW w:w="2831" w:type="dxa"/>
          </w:tcPr>
          <w:p w:rsidR="00403A26" w:rsidRPr="00462E35" w:rsidRDefault="00403A26" w:rsidP="00C07065">
            <w:pPr>
              <w:spacing w:line="360" w:lineRule="auto"/>
              <w:rPr>
                <w:rFonts w:cs="Times New Roman"/>
                <w:szCs w:val="21"/>
              </w:rPr>
            </w:pP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475</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5 raw materials</w:t>
            </w:r>
          </w:p>
        </w:tc>
        <w:tc>
          <w:tcPr>
            <w:tcW w:w="2831" w:type="dxa"/>
          </w:tcPr>
          <w:p w:rsidR="00403A26" w:rsidRPr="00462E35" w:rsidRDefault="00403A26" w:rsidP="00C07065">
            <w:pPr>
              <w:spacing w:line="360" w:lineRule="auto"/>
              <w:rPr>
                <w:rFonts w:cs="Times New Roman"/>
                <w:szCs w:val="21"/>
              </w:rPr>
            </w:pPr>
          </w:p>
        </w:tc>
        <w:tc>
          <w:tcPr>
            <w:tcW w:w="2832" w:type="dxa"/>
          </w:tcPr>
          <w:p w:rsidR="00403A26" w:rsidRPr="00462E35" w:rsidRDefault="00403A26" w:rsidP="00C07065">
            <w:pPr>
              <w:spacing w:line="360" w:lineRule="auto"/>
              <w:rPr>
                <w:rFonts w:cs="Times New Roman"/>
                <w:szCs w:val="21"/>
              </w:rPr>
            </w:pP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6 ornamental</w:t>
            </w:r>
          </w:p>
        </w:tc>
        <w:tc>
          <w:tcPr>
            <w:tcW w:w="2831" w:type="dxa"/>
          </w:tcPr>
          <w:p w:rsidR="00403A26" w:rsidRPr="00462E35" w:rsidRDefault="00403A26" w:rsidP="00C07065">
            <w:pPr>
              <w:spacing w:line="360" w:lineRule="auto"/>
              <w:rPr>
                <w:rFonts w:cs="Times New Roman"/>
                <w:szCs w:val="21"/>
              </w:rPr>
            </w:pPr>
          </w:p>
        </w:tc>
        <w:tc>
          <w:tcPr>
            <w:tcW w:w="2832" w:type="dxa"/>
          </w:tcPr>
          <w:p w:rsidR="00403A26" w:rsidRPr="00462E35" w:rsidRDefault="00403A26" w:rsidP="00C07065">
            <w:pPr>
              <w:spacing w:line="360" w:lineRule="auto"/>
              <w:rPr>
                <w:rFonts w:cs="Times New Roman"/>
                <w:szCs w:val="21"/>
              </w:rPr>
            </w:pP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Regulating services</w:t>
            </w:r>
          </w:p>
        </w:tc>
        <w:tc>
          <w:tcPr>
            <w:tcW w:w="2831" w:type="dxa"/>
          </w:tcPr>
          <w:p w:rsidR="00403A26" w:rsidRPr="00462E35" w:rsidRDefault="00403A26" w:rsidP="00C07065">
            <w:pPr>
              <w:spacing w:line="360" w:lineRule="auto"/>
              <w:rPr>
                <w:rFonts w:cs="Times New Roman"/>
                <w:szCs w:val="21"/>
              </w:rPr>
            </w:pPr>
          </w:p>
        </w:tc>
        <w:tc>
          <w:tcPr>
            <w:tcW w:w="2832" w:type="dxa"/>
          </w:tcPr>
          <w:p w:rsidR="00403A26" w:rsidRPr="00462E35" w:rsidRDefault="00403A26" w:rsidP="00C07065">
            <w:pPr>
              <w:spacing w:line="360" w:lineRule="auto"/>
              <w:rPr>
                <w:rFonts w:cs="Times New Roman"/>
                <w:szCs w:val="21"/>
              </w:rPr>
            </w:pP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7 air quality</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868</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223</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8 climate</w:t>
            </w:r>
          </w:p>
        </w:tc>
        <w:tc>
          <w:tcPr>
            <w:tcW w:w="2831" w:type="dxa"/>
          </w:tcPr>
          <w:p w:rsidR="00403A26" w:rsidRPr="00462E35" w:rsidRDefault="00403A26" w:rsidP="00C07065">
            <w:pPr>
              <w:spacing w:line="360" w:lineRule="auto"/>
              <w:rPr>
                <w:rFonts w:cs="Times New Roman"/>
                <w:szCs w:val="21"/>
              </w:rPr>
            </w:pPr>
          </w:p>
        </w:tc>
        <w:tc>
          <w:tcPr>
            <w:tcW w:w="2832" w:type="dxa"/>
          </w:tcPr>
          <w:p w:rsidR="00403A26" w:rsidRPr="00462E35" w:rsidRDefault="00403A26" w:rsidP="00C07065">
            <w:pPr>
              <w:spacing w:line="360" w:lineRule="auto"/>
              <w:rPr>
                <w:rFonts w:cs="Times New Roman"/>
                <w:szCs w:val="21"/>
              </w:rPr>
            </w:pP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9 extreme events</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0</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33</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10 water flows</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2</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14</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11 waste</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40</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343</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12 erosion</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1</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342</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13 soil fertility</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37</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129</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14 pollination</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418</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54</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15 bio control</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20</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13</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Habitat services</w:t>
            </w:r>
          </w:p>
        </w:tc>
        <w:tc>
          <w:tcPr>
            <w:tcW w:w="2831" w:type="dxa"/>
          </w:tcPr>
          <w:p w:rsidR="00403A26" w:rsidRPr="00462E35" w:rsidRDefault="00403A26" w:rsidP="00C07065">
            <w:pPr>
              <w:spacing w:line="360" w:lineRule="auto"/>
              <w:rPr>
                <w:rFonts w:cs="Times New Roman"/>
                <w:szCs w:val="21"/>
              </w:rPr>
            </w:pPr>
          </w:p>
        </w:tc>
        <w:tc>
          <w:tcPr>
            <w:tcW w:w="2832" w:type="dxa"/>
          </w:tcPr>
          <w:p w:rsidR="00403A26" w:rsidRPr="00462E35" w:rsidRDefault="00403A26" w:rsidP="00C07065">
            <w:pPr>
              <w:spacing w:line="360" w:lineRule="auto"/>
              <w:rPr>
                <w:rFonts w:cs="Times New Roman"/>
                <w:szCs w:val="21"/>
              </w:rPr>
            </w:pP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16 nursery</w:t>
            </w:r>
          </w:p>
        </w:tc>
        <w:tc>
          <w:tcPr>
            <w:tcW w:w="2831" w:type="dxa"/>
          </w:tcPr>
          <w:p w:rsidR="00403A26" w:rsidRPr="00462E35" w:rsidRDefault="00403A26" w:rsidP="00C07065">
            <w:pPr>
              <w:spacing w:line="360" w:lineRule="auto"/>
              <w:rPr>
                <w:rFonts w:cs="Times New Roman"/>
                <w:szCs w:val="21"/>
              </w:rPr>
            </w:pP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17</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17 genepool</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506</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396</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Cultural services</w:t>
            </w:r>
          </w:p>
        </w:tc>
        <w:tc>
          <w:tcPr>
            <w:tcW w:w="2831" w:type="dxa"/>
          </w:tcPr>
          <w:p w:rsidR="00403A26" w:rsidRPr="00462E35" w:rsidRDefault="00403A26" w:rsidP="00C07065">
            <w:pPr>
              <w:spacing w:line="360" w:lineRule="auto"/>
              <w:rPr>
                <w:rFonts w:cs="Times New Roman"/>
                <w:szCs w:val="21"/>
              </w:rPr>
            </w:pPr>
          </w:p>
        </w:tc>
        <w:tc>
          <w:tcPr>
            <w:tcW w:w="2832" w:type="dxa"/>
          </w:tcPr>
          <w:p w:rsidR="00403A26" w:rsidRPr="00462E35" w:rsidRDefault="00403A26" w:rsidP="00C07065">
            <w:pPr>
              <w:spacing w:line="360" w:lineRule="auto"/>
              <w:rPr>
                <w:rFonts w:cs="Times New Roman"/>
                <w:szCs w:val="21"/>
              </w:rPr>
            </w:pP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lastRenderedPageBreak/>
              <w:t>18 aesthetic</w:t>
            </w:r>
          </w:p>
        </w:tc>
        <w:tc>
          <w:tcPr>
            <w:tcW w:w="2831" w:type="dxa"/>
          </w:tcPr>
          <w:p w:rsidR="00403A26" w:rsidRPr="00462E35" w:rsidRDefault="00403A26" w:rsidP="00C07065">
            <w:pPr>
              <w:spacing w:line="360" w:lineRule="auto"/>
              <w:rPr>
                <w:rFonts w:cs="Times New Roman"/>
                <w:szCs w:val="21"/>
              </w:rPr>
            </w:pPr>
          </w:p>
        </w:tc>
        <w:tc>
          <w:tcPr>
            <w:tcW w:w="2832" w:type="dxa"/>
          </w:tcPr>
          <w:p w:rsidR="00403A26" w:rsidRPr="00462E35" w:rsidRDefault="00403A26" w:rsidP="00C07065">
            <w:pPr>
              <w:spacing w:line="360" w:lineRule="auto"/>
              <w:rPr>
                <w:rFonts w:cs="Times New Roman"/>
                <w:szCs w:val="21"/>
              </w:rPr>
            </w:pP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19 recreation</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27</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257</w:t>
            </w: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20 inspiration</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0</w:t>
            </w:r>
          </w:p>
        </w:tc>
        <w:tc>
          <w:tcPr>
            <w:tcW w:w="2832" w:type="dxa"/>
          </w:tcPr>
          <w:p w:rsidR="00403A26" w:rsidRPr="00462E35" w:rsidRDefault="00403A26" w:rsidP="00C07065">
            <w:pPr>
              <w:spacing w:line="360" w:lineRule="auto"/>
              <w:rPr>
                <w:rFonts w:cs="Times New Roman"/>
                <w:szCs w:val="21"/>
              </w:rPr>
            </w:pP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21 spiritual</w:t>
            </w:r>
          </w:p>
        </w:tc>
        <w:tc>
          <w:tcPr>
            <w:tcW w:w="2831" w:type="dxa"/>
          </w:tcPr>
          <w:p w:rsidR="00403A26" w:rsidRPr="00462E35" w:rsidRDefault="00403A26" w:rsidP="00C07065">
            <w:pPr>
              <w:spacing w:line="360" w:lineRule="auto"/>
              <w:rPr>
                <w:rFonts w:cs="Times New Roman"/>
                <w:szCs w:val="21"/>
              </w:rPr>
            </w:pPr>
          </w:p>
        </w:tc>
        <w:tc>
          <w:tcPr>
            <w:tcW w:w="2832" w:type="dxa"/>
          </w:tcPr>
          <w:p w:rsidR="00403A26" w:rsidRPr="00462E35" w:rsidRDefault="00403A26" w:rsidP="00C07065">
            <w:pPr>
              <w:spacing w:line="360" w:lineRule="auto"/>
              <w:rPr>
                <w:rFonts w:cs="Times New Roman"/>
                <w:szCs w:val="21"/>
              </w:rPr>
            </w:pP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22 cognitive</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0</w:t>
            </w:r>
          </w:p>
        </w:tc>
        <w:tc>
          <w:tcPr>
            <w:tcW w:w="2832" w:type="dxa"/>
          </w:tcPr>
          <w:p w:rsidR="00403A26" w:rsidRPr="00462E35" w:rsidRDefault="00403A26" w:rsidP="00C07065">
            <w:pPr>
              <w:spacing w:line="360" w:lineRule="auto"/>
              <w:rPr>
                <w:rFonts w:cs="Times New Roman"/>
                <w:szCs w:val="21"/>
              </w:rPr>
            </w:pPr>
          </w:p>
        </w:tc>
      </w:tr>
      <w:tr w:rsidR="00462E35" w:rsidRPr="00462E35" w:rsidTr="00C07065">
        <w:trPr>
          <w:jc w:val="center"/>
        </w:trPr>
        <w:tc>
          <w:tcPr>
            <w:tcW w:w="2831" w:type="dxa"/>
          </w:tcPr>
          <w:p w:rsidR="00403A26" w:rsidRPr="00462E35" w:rsidRDefault="00403A26" w:rsidP="00C07065">
            <w:pPr>
              <w:spacing w:line="360" w:lineRule="auto"/>
              <w:rPr>
                <w:rFonts w:cs="Times New Roman"/>
                <w:szCs w:val="21"/>
              </w:rPr>
            </w:pPr>
            <w:r w:rsidRPr="00462E35">
              <w:rPr>
                <w:rFonts w:cs="Times New Roman"/>
                <w:szCs w:val="21"/>
              </w:rPr>
              <w:t>Total</w:t>
            </w:r>
          </w:p>
        </w:tc>
        <w:tc>
          <w:tcPr>
            <w:tcW w:w="2831" w:type="dxa"/>
          </w:tcPr>
          <w:p w:rsidR="00403A26" w:rsidRPr="00462E35" w:rsidRDefault="00403A26" w:rsidP="00C07065">
            <w:pPr>
              <w:spacing w:line="360" w:lineRule="auto"/>
              <w:rPr>
                <w:rFonts w:cs="Times New Roman"/>
                <w:szCs w:val="21"/>
              </w:rPr>
            </w:pPr>
            <w:r w:rsidRPr="00462E35">
              <w:rPr>
                <w:rFonts w:cs="Times New Roman"/>
                <w:szCs w:val="21"/>
              </w:rPr>
              <w:t>2,091</w:t>
            </w:r>
          </w:p>
        </w:tc>
        <w:tc>
          <w:tcPr>
            <w:tcW w:w="2832" w:type="dxa"/>
          </w:tcPr>
          <w:p w:rsidR="00403A26" w:rsidRPr="00462E35" w:rsidRDefault="00403A26" w:rsidP="00C07065">
            <w:pPr>
              <w:spacing w:line="360" w:lineRule="auto"/>
              <w:rPr>
                <w:rFonts w:cs="Times New Roman"/>
                <w:szCs w:val="21"/>
              </w:rPr>
            </w:pPr>
            <w:r w:rsidRPr="00462E35">
              <w:rPr>
                <w:rFonts w:cs="Times New Roman"/>
                <w:szCs w:val="21"/>
              </w:rPr>
              <w:t>2,990</w:t>
            </w:r>
          </w:p>
        </w:tc>
      </w:tr>
    </w:tbl>
    <w:p w:rsidR="00403A26" w:rsidRPr="00462E35" w:rsidRDefault="00403A26" w:rsidP="00403A26">
      <w:pPr>
        <w:spacing w:line="360" w:lineRule="auto"/>
        <w:rPr>
          <w:rFonts w:cs="Times New Roman"/>
          <w:szCs w:val="21"/>
        </w:rPr>
      </w:pPr>
      <w:r w:rsidRPr="00462E35">
        <w:rPr>
          <w:rFonts w:cs="Times New Roman"/>
          <w:szCs w:val="21"/>
        </w:rPr>
        <w:t>Table A7: Data for the calculation of non-timber forest benefits</w:t>
      </w:r>
    </w:p>
    <w:p w:rsidR="00403A26" w:rsidRPr="00462E35" w:rsidRDefault="00403A26" w:rsidP="00403A26">
      <w:pPr>
        <w:spacing w:line="360" w:lineRule="auto"/>
        <w:rPr>
          <w:rFonts w:cs="Times New Roman"/>
          <w:szCs w:val="21"/>
        </w:rPr>
      </w:pPr>
      <w:r w:rsidRPr="00462E35">
        <w:rPr>
          <w:rFonts w:cs="Times New Roman"/>
          <w:szCs w:val="21"/>
        </w:rPr>
        <w:t xml:space="preserve">Source: van der </w:t>
      </w:r>
      <w:proofErr w:type="spellStart"/>
      <w:r w:rsidRPr="00462E35">
        <w:rPr>
          <w:rFonts w:cs="Times New Roman"/>
          <w:szCs w:val="21"/>
        </w:rPr>
        <w:t>Ploeg</w:t>
      </w:r>
      <w:proofErr w:type="spellEnd"/>
      <w:r w:rsidRPr="00462E35">
        <w:rPr>
          <w:rFonts w:cs="Times New Roman"/>
          <w:szCs w:val="21"/>
        </w:rPr>
        <w:t xml:space="preserve"> and de Groot (2010), cited in UNU-IHDP and UNEP (2014)</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1"/>
          <w:numId w:val="10"/>
        </w:numPr>
        <w:spacing w:line="360" w:lineRule="auto"/>
        <w:ind w:leftChars="0"/>
        <w:rPr>
          <w:rFonts w:cs="Times New Roman"/>
          <w:szCs w:val="21"/>
        </w:rPr>
      </w:pPr>
      <w:r w:rsidRPr="00462E35">
        <w:rPr>
          <w:rFonts w:cs="Times New Roman"/>
          <w:szCs w:val="21"/>
        </w:rPr>
        <w:t>Fisheries</w:t>
      </w:r>
    </w:p>
    <w:p w:rsidR="00403A26" w:rsidRPr="00462E35" w:rsidRDefault="00403A26" w:rsidP="00403A26">
      <w:pPr>
        <w:spacing w:line="360" w:lineRule="auto"/>
        <w:rPr>
          <w:rFonts w:cs="Times New Roman"/>
          <w:szCs w:val="21"/>
        </w:rPr>
      </w:pPr>
      <w:r w:rsidRPr="00462E35">
        <w:rPr>
          <w:rFonts w:cs="Times New Roman"/>
          <w:szCs w:val="21"/>
        </w:rPr>
        <w:t>This edition of IWR is the first to estimate fish capital stock as part of renewable natural capital. Estimating fish stock is a herculean task, compared to estimating other classes of natural capital, for many reasons. The estimation cannot be based on the habitat area, whereas forest or agricultural land can be computed based on the area. Moreover, the sheer mobility of the resource not only makes the exercise harder but also poses a fundamental question: to which nation can a given fishery be attributed, given that a marine fishery habitat is usually not within national borders? In the current exercise, we simplify the matter by assuming that the fish stock belongs to a country where harvest arises and the resource is loaded. Of course, this is a crude treatment in many ways. In particular, just because a fishery biomass is loaded to country A does not necessarily mean that the fishery belongs to A. Having acknowledged this shortcoming, we have no alternative sound theory based on which to allocate harvest to countries.</w:t>
      </w:r>
    </w:p>
    <w:p w:rsidR="00403A26" w:rsidRPr="00462E35" w:rsidRDefault="00403A26" w:rsidP="00403A26">
      <w:pPr>
        <w:spacing w:line="360" w:lineRule="auto"/>
        <w:rPr>
          <w:rFonts w:cs="Times New Roman"/>
          <w:szCs w:val="21"/>
        </w:rPr>
      </w:pPr>
      <w:r w:rsidRPr="00462E35">
        <w:rPr>
          <w:rFonts w:cs="Times New Roman"/>
          <w:szCs w:val="21"/>
        </w:rPr>
        <w:t xml:space="preserve">   In renewable resource economics, or just </w:t>
      </w:r>
      <w:proofErr w:type="spellStart"/>
      <w:r w:rsidRPr="00462E35">
        <w:rPr>
          <w:rFonts w:cs="Times New Roman"/>
          <w:szCs w:val="21"/>
        </w:rPr>
        <w:t>bioeconomics</w:t>
      </w:r>
      <w:proofErr w:type="spellEnd"/>
      <w:r w:rsidRPr="00462E35">
        <w:rPr>
          <w:rFonts w:cs="Times New Roman"/>
          <w:szCs w:val="21"/>
        </w:rPr>
        <w:t xml:space="preserve"> in short, there is a long tradition of assuming resource dynamics. The stock is population growth net of harvest:</w:t>
      </w:r>
    </w:p>
    <w:p w:rsidR="00403A26" w:rsidRPr="00462E35" w:rsidRDefault="00462E35" w:rsidP="00403A26">
      <w:pPr>
        <w:spacing w:line="360" w:lineRule="auto"/>
        <w:rPr>
          <w:rFonts w:cs="Times New Roman"/>
          <w:szCs w:val="21"/>
        </w:rPr>
      </w:pPr>
      <m:oMathPara>
        <m:oMath>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dS</m:t>
                  </m:r>
                </m:e>
                <m:sub>
                  <m:r>
                    <w:rPr>
                      <w:rFonts w:ascii="Cambria Math" w:hAnsi="Cambria Math" w:cs="Times New Roman"/>
                      <w:szCs w:val="21"/>
                    </w:rPr>
                    <m:t>t</m:t>
                  </m:r>
                </m:sub>
              </m:sSub>
            </m:num>
            <m:den>
              <m:r>
                <w:rPr>
                  <w:rFonts w:ascii="Cambria Math" w:hAnsi="Cambria Math" w:cs="Times New Roman"/>
                  <w:szCs w:val="21"/>
                </w:rPr>
                <m:t>dt</m:t>
              </m:r>
            </m:den>
          </m:f>
          <m:r>
            <w:rPr>
              <w:rFonts w:ascii="Cambria Math" w:hAnsi="Cambria Math" w:cs="Times New Roman"/>
              <w:szCs w:val="21"/>
            </w:rPr>
            <m:t>=G</m:t>
          </m:r>
          <m:d>
            <m:dPr>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t</m:t>
                  </m:r>
                </m:sub>
              </m:sSub>
            </m:e>
          </m:d>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H</m:t>
              </m:r>
            </m:e>
            <m:sub>
              <m:r>
                <w:rPr>
                  <w:rFonts w:ascii="Cambria Math" w:hAnsi="Cambria Math" w:cs="Times New Roman"/>
                  <w:szCs w:val="21"/>
                </w:rPr>
                <m:t>t</m:t>
              </m:r>
            </m:sub>
          </m:sSub>
          <m:r>
            <m:rPr>
              <m:sty m:val="p"/>
            </m:rPr>
            <w:rPr>
              <w:rFonts w:ascii="Cambria Math" w:hAnsi="Cambria Math" w:cs="Times New Roman"/>
              <w:szCs w:val="21"/>
            </w:rPr>
            <m:t>,</m:t>
          </m:r>
        </m:oMath>
      </m:oMathPara>
    </w:p>
    <w:p w:rsidR="00403A26" w:rsidRPr="00462E35" w:rsidRDefault="00403A26" w:rsidP="00403A26">
      <w:pPr>
        <w:spacing w:line="360" w:lineRule="auto"/>
        <w:rPr>
          <w:rFonts w:cs="Times New Roman"/>
          <w:szCs w:val="21"/>
        </w:rPr>
      </w:pPr>
      <w:r w:rsidRPr="00462E35">
        <w:rPr>
          <w:rFonts w:cs="Times New Roman"/>
          <w:szCs w:val="21"/>
        </w:rPr>
        <w:lastRenderedPageBreak/>
        <w:t xml:space="preserve">where </w:t>
      </w:r>
      <m:oMath>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t</m:t>
            </m:r>
          </m:sub>
        </m:sSub>
      </m:oMath>
      <w:r w:rsidRPr="00462E35">
        <w:rPr>
          <w:rFonts w:cs="Times New Roman"/>
          <w:szCs w:val="21"/>
        </w:rPr>
        <w:t xml:space="preserve"> denotes the renewable resource biomass stock; </w:t>
      </w:r>
      <m:oMath>
        <m:r>
          <w:rPr>
            <w:rFonts w:ascii="Cambria Math" w:hAnsi="Cambria Math" w:cs="Times New Roman"/>
            <w:szCs w:val="21"/>
          </w:rPr>
          <m:t>G</m:t>
        </m:r>
        <m:d>
          <m:dPr>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t</m:t>
                </m:r>
              </m:sub>
            </m:sSub>
          </m:e>
        </m:d>
      </m:oMath>
      <w:r w:rsidRPr="00462E35">
        <w:rPr>
          <w:rFonts w:cs="Times New Roman"/>
          <w:szCs w:val="21"/>
        </w:rPr>
        <w:t xml:space="preserve"> is the growth function; and </w:t>
      </w:r>
      <m:oMath>
        <m:sSub>
          <m:sSubPr>
            <m:ctrlPr>
              <w:rPr>
                <w:rFonts w:ascii="Cambria Math" w:hAnsi="Cambria Math" w:cs="Times New Roman"/>
                <w:i/>
                <w:szCs w:val="21"/>
              </w:rPr>
            </m:ctrlPr>
          </m:sSubPr>
          <m:e>
            <m:r>
              <w:rPr>
                <w:rFonts w:ascii="Cambria Math" w:hAnsi="Cambria Math" w:cs="Times New Roman"/>
                <w:szCs w:val="21"/>
              </w:rPr>
              <m:t>H</m:t>
            </m:r>
          </m:e>
          <m:sub>
            <m:r>
              <w:rPr>
                <w:rFonts w:ascii="Cambria Math" w:hAnsi="Cambria Math" w:cs="Times New Roman"/>
                <w:szCs w:val="21"/>
              </w:rPr>
              <m:t>t</m:t>
            </m:r>
          </m:sub>
        </m:sSub>
      </m:oMath>
      <w:r w:rsidRPr="00462E35">
        <w:rPr>
          <w:rFonts w:cs="Times New Roman"/>
          <w:szCs w:val="21"/>
        </w:rPr>
        <w:t xml:space="preserve"> is the harvest. Population, whether it is </w:t>
      </w:r>
      <w:r w:rsidRPr="00462E35">
        <w:rPr>
          <w:rFonts w:eastAsia="Yu Mincho" w:cs="Times New Roman"/>
          <w:szCs w:val="21"/>
        </w:rPr>
        <w:t xml:space="preserve">a </w:t>
      </w:r>
      <w:r w:rsidRPr="00462E35">
        <w:rPr>
          <w:rFonts w:cs="Times New Roman"/>
          <w:szCs w:val="21"/>
        </w:rPr>
        <w:t>renewable resource or human being, is often assumed to follow a logistic growth function:</w:t>
      </w:r>
    </w:p>
    <w:p w:rsidR="00403A26" w:rsidRPr="00462E35" w:rsidRDefault="00403A26" w:rsidP="00403A26">
      <w:pPr>
        <w:spacing w:line="360" w:lineRule="auto"/>
        <w:rPr>
          <w:rFonts w:cs="Times New Roman"/>
          <w:szCs w:val="21"/>
        </w:rPr>
      </w:pPr>
      <m:oMathPara>
        <m:oMath>
          <m:r>
            <w:rPr>
              <w:rFonts w:ascii="Cambria Math" w:hAnsi="Cambria Math" w:cs="Times New Roman"/>
              <w:szCs w:val="21"/>
            </w:rPr>
            <m:t>G</m:t>
          </m:r>
          <m:d>
            <m:dPr>
              <m:ctrlPr>
                <w:rPr>
                  <w:rFonts w:ascii="Cambria Math" w:hAnsi="Cambria Math" w:cs="Times New Roman"/>
                  <w:i/>
                  <w:szCs w:val="21"/>
                </w:rPr>
              </m:ctrlPr>
            </m:dPr>
            <m:e>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t</m:t>
                  </m:r>
                </m:sub>
              </m:sSub>
            </m:e>
          </m:d>
          <m:r>
            <w:rPr>
              <w:rFonts w:ascii="Cambria Math" w:hAnsi="Cambria Math" w:cs="Times New Roman"/>
              <w:szCs w:val="21"/>
            </w:rPr>
            <m:t>=r</m:t>
          </m:r>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t</m:t>
              </m:r>
            </m:sub>
          </m:sSub>
          <m:d>
            <m:dPr>
              <m:ctrlPr>
                <w:rPr>
                  <w:rFonts w:ascii="Cambria Math" w:hAnsi="Cambria Math" w:cs="Times New Roman"/>
                  <w:i/>
                  <w:szCs w:val="21"/>
                </w:rPr>
              </m:ctrlPr>
            </m:dPr>
            <m:e>
              <m:r>
                <w:rPr>
                  <w:rFonts w:ascii="Cambria Math" w:hAnsi="Cambria Math" w:cs="Times New Roman"/>
                  <w:szCs w:val="21"/>
                </w:rPr>
                <m:t>1-</m:t>
              </m:r>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t</m:t>
                      </m:r>
                    </m:sub>
                  </m:sSub>
                </m:num>
                <m:den>
                  <m:r>
                    <w:rPr>
                      <w:rFonts w:ascii="Cambria Math" w:hAnsi="Cambria Math" w:cs="Times New Roman"/>
                      <w:szCs w:val="21"/>
                    </w:rPr>
                    <m:t>k</m:t>
                  </m:r>
                </m:den>
              </m:f>
            </m:e>
          </m:d>
          <m:r>
            <m:rPr>
              <m:sty m:val="p"/>
            </m:rPr>
            <w:rPr>
              <w:rFonts w:ascii="Cambria Math" w:hAnsi="Cambria Math" w:cs="Times New Roman"/>
              <w:szCs w:val="21"/>
            </w:rPr>
            <m:t>,</m:t>
          </m:r>
        </m:oMath>
      </m:oMathPara>
    </w:p>
    <w:p w:rsidR="00403A26" w:rsidRPr="00462E35" w:rsidRDefault="00403A26" w:rsidP="00403A26">
      <w:pPr>
        <w:spacing w:line="360" w:lineRule="auto"/>
        <w:rPr>
          <w:rFonts w:cs="Times New Roman"/>
          <w:szCs w:val="21"/>
        </w:rPr>
      </w:pPr>
      <w:r w:rsidRPr="00462E35">
        <w:rPr>
          <w:rFonts w:cs="Times New Roman"/>
          <w:szCs w:val="21"/>
        </w:rPr>
        <w:t xml:space="preserve">where </w:t>
      </w:r>
      <m:oMath>
        <m:r>
          <w:rPr>
            <w:rFonts w:ascii="Cambria Math" w:hAnsi="Cambria Math" w:cs="Times New Roman"/>
            <w:szCs w:val="21"/>
          </w:rPr>
          <m:t>r</m:t>
        </m:r>
      </m:oMath>
      <w:r w:rsidRPr="00462E35">
        <w:rPr>
          <w:rFonts w:cs="Times New Roman"/>
          <w:szCs w:val="21"/>
        </w:rPr>
        <w:t xml:space="preserve"> and </w:t>
      </w:r>
      <m:oMath>
        <m:r>
          <w:rPr>
            <w:rFonts w:ascii="Cambria Math" w:hAnsi="Cambria Math" w:cs="Times New Roman"/>
            <w:szCs w:val="21"/>
          </w:rPr>
          <m:t>k</m:t>
        </m:r>
      </m:oMath>
      <w:r w:rsidRPr="00462E35">
        <w:rPr>
          <w:rFonts w:cs="Times New Roman"/>
          <w:szCs w:val="21"/>
        </w:rPr>
        <w:t xml:space="preserve"> are the parameters </w:t>
      </w:r>
      <w:r w:rsidRPr="00462E35">
        <w:rPr>
          <w:rFonts w:eastAsia="Yu Mincho" w:cs="Times New Roman"/>
          <w:szCs w:val="21"/>
        </w:rPr>
        <w:t>that</w:t>
      </w:r>
      <w:r w:rsidRPr="00462E35">
        <w:rPr>
          <w:rFonts w:cs="Times New Roman"/>
          <w:szCs w:val="21"/>
        </w:rPr>
        <w:t xml:space="preserve"> represent </w:t>
      </w:r>
      <w:r w:rsidRPr="00462E35">
        <w:rPr>
          <w:rFonts w:eastAsia="Yu Mincho" w:cs="Times New Roman"/>
          <w:szCs w:val="21"/>
        </w:rPr>
        <w:t xml:space="preserve">the </w:t>
      </w:r>
      <w:r w:rsidRPr="00462E35">
        <w:rPr>
          <w:rFonts w:cs="Times New Roman"/>
          <w:szCs w:val="21"/>
        </w:rPr>
        <w:t xml:space="preserve">intrinsic (relative) growth rate and carrying capacity of the resource stock, respectively. Harvest, in turn, depends on the resource abundance. A simple but empirically supported harvest production function is to assume </w:t>
      </w:r>
      <w:r w:rsidRPr="00462E35">
        <w:rPr>
          <w:rFonts w:eastAsia="Yu Mincho" w:cs="Times New Roman"/>
          <w:szCs w:val="21"/>
        </w:rPr>
        <w:t xml:space="preserve">that </w:t>
      </w:r>
      <w:r w:rsidRPr="00462E35">
        <w:rPr>
          <w:rFonts w:cs="Times New Roman"/>
          <w:szCs w:val="21"/>
        </w:rPr>
        <w:t>it is proportional to the product of effort and stock, i.e.,</w:t>
      </w:r>
    </w:p>
    <w:p w:rsidR="00403A26" w:rsidRPr="00462E35" w:rsidRDefault="00462E35" w:rsidP="00403A26">
      <w:pPr>
        <w:spacing w:line="360" w:lineRule="auto"/>
        <w:rPr>
          <w:rFonts w:cs="Times New Roman"/>
          <w:szCs w:val="21"/>
        </w:rPr>
      </w:pPr>
      <m:oMathPara>
        <m:oMath>
          <m:sSub>
            <m:sSubPr>
              <m:ctrlPr>
                <w:rPr>
                  <w:rFonts w:ascii="Cambria Math" w:hAnsi="Cambria Math" w:cs="Times New Roman"/>
                  <w:i/>
                  <w:iCs/>
                  <w:szCs w:val="21"/>
                </w:rPr>
              </m:ctrlPr>
            </m:sSubPr>
            <m:e>
              <m:r>
                <w:rPr>
                  <w:rFonts w:ascii="Cambria Math" w:hAnsi="Cambria Math" w:cs="Times New Roman"/>
                  <w:szCs w:val="21"/>
                </w:rPr>
                <m:t>H</m:t>
              </m:r>
            </m:e>
            <m:sub>
              <m:r>
                <w:rPr>
                  <w:rFonts w:ascii="Cambria Math" w:hAnsi="Cambria Math" w:cs="Times New Roman"/>
                  <w:szCs w:val="21"/>
                </w:rPr>
                <m:t>t</m:t>
              </m:r>
            </m:sub>
          </m:sSub>
          <m:r>
            <w:rPr>
              <w:rFonts w:ascii="Cambria Math" w:hAnsi="Cambria Math" w:cs="Times New Roman"/>
              <w:szCs w:val="21"/>
            </w:rPr>
            <m:t>=q</m:t>
          </m:r>
          <m:sSub>
            <m:sSubPr>
              <m:ctrlPr>
                <w:rPr>
                  <w:rFonts w:ascii="Cambria Math" w:hAnsi="Cambria Math" w:cs="Times New Roman"/>
                  <w:i/>
                  <w:iCs/>
                  <w:szCs w:val="21"/>
                </w:rPr>
              </m:ctrlPr>
            </m:sSubPr>
            <m:e>
              <m:r>
                <w:rPr>
                  <w:rFonts w:ascii="Cambria Math" w:hAnsi="Cambria Math" w:cs="Times New Roman"/>
                  <w:szCs w:val="21"/>
                </w:rPr>
                <m:t>E</m:t>
              </m:r>
            </m:e>
            <m:sub>
              <m:r>
                <w:rPr>
                  <w:rFonts w:ascii="Cambria Math" w:hAnsi="Cambria Math" w:cs="Times New Roman"/>
                  <w:szCs w:val="21"/>
                </w:rPr>
                <m:t>t</m:t>
              </m:r>
            </m:sub>
          </m:sSub>
          <m:sSub>
            <m:sSubPr>
              <m:ctrlPr>
                <w:rPr>
                  <w:rFonts w:ascii="Cambria Math" w:hAnsi="Cambria Math" w:cs="Times New Roman"/>
                  <w:i/>
                  <w:iCs/>
                  <w:szCs w:val="21"/>
                </w:rPr>
              </m:ctrlPr>
            </m:sSubPr>
            <m:e>
              <m:r>
                <w:rPr>
                  <w:rFonts w:ascii="Cambria Math" w:hAnsi="Cambria Math" w:cs="Times New Roman"/>
                  <w:szCs w:val="21"/>
                </w:rPr>
                <m:t>S</m:t>
              </m:r>
            </m:e>
            <m:sub>
              <m:r>
                <w:rPr>
                  <w:rFonts w:ascii="Cambria Math" w:hAnsi="Cambria Math" w:cs="Times New Roman"/>
                  <w:szCs w:val="21"/>
                </w:rPr>
                <m:t>t</m:t>
              </m:r>
            </m:sub>
          </m:sSub>
          <m:r>
            <m:rPr>
              <m:sty m:val="p"/>
            </m:rPr>
            <w:rPr>
              <w:rFonts w:ascii="Cambria Math" w:hAnsi="Cambria Math" w:cs="Times New Roman"/>
              <w:szCs w:val="21"/>
            </w:rPr>
            <m:t>,</m:t>
          </m:r>
        </m:oMath>
      </m:oMathPara>
    </w:p>
    <w:p w:rsidR="00403A26" w:rsidRPr="00462E35" w:rsidRDefault="00403A26" w:rsidP="00403A26">
      <w:pPr>
        <w:spacing w:line="360" w:lineRule="auto"/>
        <w:rPr>
          <w:rFonts w:cs="Times New Roman"/>
          <w:szCs w:val="21"/>
        </w:rPr>
      </w:pPr>
      <w:r w:rsidRPr="00462E35">
        <w:rPr>
          <w:rFonts w:cs="Times New Roman"/>
          <w:szCs w:val="21"/>
        </w:rPr>
        <w:t xml:space="preserve">where </w:t>
      </w:r>
      <m:oMath>
        <m:r>
          <w:rPr>
            <w:rFonts w:ascii="Cambria Math" w:hAnsi="Cambria Math" w:cs="Times New Roman"/>
            <w:szCs w:val="21"/>
          </w:rPr>
          <m:t>q</m:t>
        </m:r>
      </m:oMath>
      <w:r w:rsidRPr="00462E35">
        <w:rPr>
          <w:rFonts w:cs="Times New Roman"/>
          <w:iCs/>
          <w:szCs w:val="21"/>
        </w:rPr>
        <w:t xml:space="preserve"> is called </w:t>
      </w:r>
      <w:r w:rsidRPr="00462E35">
        <w:rPr>
          <w:rFonts w:eastAsia="Yu Mincho" w:cs="Times New Roman"/>
          <w:iCs/>
          <w:szCs w:val="21"/>
        </w:rPr>
        <w:t xml:space="preserve">the </w:t>
      </w:r>
      <w:r w:rsidRPr="00462E35">
        <w:rPr>
          <w:rFonts w:cs="Times New Roman"/>
          <w:iCs/>
          <w:szCs w:val="21"/>
        </w:rPr>
        <w:t xml:space="preserve">catchability coefficient. </w:t>
      </w:r>
      <m:oMath>
        <m:sSub>
          <m:sSubPr>
            <m:ctrlPr>
              <w:rPr>
                <w:rFonts w:ascii="Cambria Math" w:hAnsi="Cambria Math" w:cs="Times New Roman"/>
                <w:i/>
                <w:iCs/>
                <w:szCs w:val="21"/>
              </w:rPr>
            </m:ctrlPr>
          </m:sSubPr>
          <m:e>
            <m:r>
              <w:rPr>
                <w:rFonts w:ascii="Cambria Math" w:hAnsi="Cambria Math" w:cs="Times New Roman"/>
                <w:szCs w:val="21"/>
              </w:rPr>
              <m:t>E</m:t>
            </m:r>
          </m:e>
          <m:sub>
            <m:r>
              <w:rPr>
                <w:rFonts w:ascii="Cambria Math" w:hAnsi="Cambria Math" w:cs="Times New Roman"/>
                <w:szCs w:val="21"/>
              </w:rPr>
              <m:t>t</m:t>
            </m:r>
          </m:sub>
        </m:sSub>
      </m:oMath>
      <w:r w:rsidRPr="00462E35">
        <w:rPr>
          <w:rFonts w:cs="Times New Roman"/>
          <w:iCs/>
          <w:szCs w:val="21"/>
        </w:rPr>
        <w:t xml:space="preserve"> stands for effort put in the production process, which is often </w:t>
      </w:r>
      <w:proofErr w:type="spellStart"/>
      <w:r w:rsidRPr="00462E35">
        <w:rPr>
          <w:rFonts w:cs="Times New Roman"/>
          <w:iCs/>
          <w:szCs w:val="21"/>
        </w:rPr>
        <w:t>proxied</w:t>
      </w:r>
      <w:proofErr w:type="spellEnd"/>
      <w:r w:rsidRPr="00462E35">
        <w:rPr>
          <w:rFonts w:cs="Times New Roman"/>
          <w:iCs/>
          <w:szCs w:val="21"/>
        </w:rPr>
        <w:t xml:space="preserve"> by the number of vessels or fishermen working hours. </w:t>
      </w:r>
      <w:r w:rsidRPr="00462E35">
        <w:rPr>
          <w:rFonts w:cs="Times New Roman"/>
          <w:szCs w:val="21"/>
        </w:rPr>
        <w:t>Combining these two equations, we arrive at a well-known Gordon-Schaeffer model:</w:t>
      </w:r>
    </w:p>
    <w:p w:rsidR="00403A26" w:rsidRPr="00462E35" w:rsidRDefault="00462E35" w:rsidP="00403A26">
      <w:pPr>
        <w:spacing w:line="360" w:lineRule="auto"/>
        <w:rPr>
          <w:rFonts w:cs="Times New Roman"/>
          <w:szCs w:val="21"/>
        </w:rPr>
      </w:pPr>
      <m:oMathPara>
        <m:oMath>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dS</m:t>
                  </m:r>
                </m:e>
                <m:sub>
                  <m:r>
                    <w:rPr>
                      <w:rFonts w:ascii="Cambria Math" w:hAnsi="Cambria Math" w:cs="Times New Roman"/>
                      <w:szCs w:val="21"/>
                    </w:rPr>
                    <m:t>t</m:t>
                  </m:r>
                </m:sub>
              </m:sSub>
            </m:num>
            <m:den>
              <m:r>
                <w:rPr>
                  <w:rFonts w:ascii="Cambria Math" w:hAnsi="Cambria Math" w:cs="Times New Roman"/>
                  <w:szCs w:val="21"/>
                </w:rPr>
                <m:t>dt</m:t>
              </m:r>
            </m:den>
          </m:f>
          <m:r>
            <w:rPr>
              <w:rFonts w:ascii="Cambria Math" w:hAnsi="Cambria Math" w:cs="Times New Roman"/>
              <w:szCs w:val="21"/>
            </w:rPr>
            <m:t>=r</m:t>
          </m:r>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t</m:t>
              </m:r>
            </m:sub>
          </m:sSub>
          <m:d>
            <m:dPr>
              <m:ctrlPr>
                <w:rPr>
                  <w:rFonts w:ascii="Cambria Math" w:hAnsi="Cambria Math" w:cs="Times New Roman"/>
                  <w:i/>
                  <w:szCs w:val="21"/>
                </w:rPr>
              </m:ctrlPr>
            </m:dPr>
            <m:e>
              <m:r>
                <w:rPr>
                  <w:rFonts w:ascii="Cambria Math" w:hAnsi="Cambria Math" w:cs="Times New Roman"/>
                  <w:szCs w:val="21"/>
                </w:rPr>
                <m:t>1-</m:t>
              </m:r>
              <m:f>
                <m:fPr>
                  <m:ctrlPr>
                    <w:rPr>
                      <w:rFonts w:ascii="Cambria Math" w:hAnsi="Cambria Math" w:cs="Times New Roman"/>
                      <w:i/>
                      <w:szCs w:val="21"/>
                    </w:rPr>
                  </m:ctrlPr>
                </m:fPr>
                <m:num>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t</m:t>
                      </m:r>
                    </m:sub>
                  </m:sSub>
                </m:num>
                <m:den>
                  <m:r>
                    <w:rPr>
                      <w:rFonts w:ascii="Cambria Math" w:hAnsi="Cambria Math" w:cs="Times New Roman"/>
                      <w:szCs w:val="21"/>
                    </w:rPr>
                    <m:t>k</m:t>
                  </m:r>
                </m:den>
              </m:f>
            </m:e>
          </m:d>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q</m:t>
              </m:r>
              <m:sSub>
                <m:sSubPr>
                  <m:ctrlPr>
                    <w:rPr>
                      <w:rFonts w:ascii="Cambria Math" w:hAnsi="Cambria Math" w:cs="Times New Roman"/>
                      <w:i/>
                      <w:szCs w:val="21"/>
                    </w:rPr>
                  </m:ctrlPr>
                </m:sSubPr>
                <m:e>
                  <m:r>
                    <w:rPr>
                      <w:rFonts w:ascii="Cambria Math" w:hAnsi="Cambria Math" w:cs="Times New Roman"/>
                      <w:szCs w:val="21"/>
                    </w:rPr>
                    <m:t>E</m:t>
                  </m:r>
                </m:e>
                <m:sub>
                  <m:r>
                    <w:rPr>
                      <w:rFonts w:ascii="Cambria Math" w:hAnsi="Cambria Math" w:cs="Times New Roman"/>
                      <w:szCs w:val="21"/>
                    </w:rPr>
                    <m:t>t</m:t>
                  </m:r>
                </m:sub>
              </m:sSub>
              <m:r>
                <w:rPr>
                  <w:rFonts w:ascii="Cambria Math" w:hAnsi="Cambria Math" w:cs="Times New Roman"/>
                  <w:szCs w:val="21"/>
                </w:rPr>
                <m:t>S</m:t>
              </m:r>
            </m:e>
            <m:sub>
              <m:r>
                <w:rPr>
                  <w:rFonts w:ascii="Cambria Math" w:hAnsi="Cambria Math" w:cs="Times New Roman"/>
                  <w:szCs w:val="21"/>
                </w:rPr>
                <m:t>t</m:t>
              </m:r>
            </m:sub>
          </m:sSub>
          <m:r>
            <m:rPr>
              <m:sty m:val="p"/>
            </m:rPr>
            <w:rPr>
              <w:rFonts w:ascii="Cambria Math" w:hAnsi="Cambria Math" w:cs="Times New Roman"/>
              <w:szCs w:val="21"/>
            </w:rPr>
            <m:t>.</m:t>
          </m:r>
        </m:oMath>
      </m:oMathPara>
    </w:p>
    <w:p w:rsidR="00403A26" w:rsidRPr="00462E35" w:rsidRDefault="00403A26" w:rsidP="00403A26">
      <w:pPr>
        <w:spacing w:line="360" w:lineRule="auto"/>
        <w:ind w:firstLineChars="150" w:firstLine="330"/>
        <w:rPr>
          <w:rFonts w:cs="Times New Roman"/>
          <w:szCs w:val="21"/>
        </w:rPr>
      </w:pPr>
      <w:r w:rsidRPr="00462E35">
        <w:rPr>
          <w:rFonts w:cs="Times New Roman"/>
          <w:szCs w:val="21"/>
        </w:rPr>
        <w:t xml:space="preserve">All this means that to estimate the fishery stock, </w:t>
      </w:r>
      <m:oMath>
        <m:sSub>
          <m:sSubPr>
            <m:ctrlPr>
              <w:rPr>
                <w:rFonts w:ascii="Cambria Math" w:hAnsi="Cambria Math" w:cs="Times New Roman"/>
                <w:i/>
                <w:szCs w:val="21"/>
              </w:rPr>
            </m:ctrlPr>
          </m:sSubPr>
          <m:e>
            <m:r>
              <w:rPr>
                <w:rFonts w:ascii="Cambria Math" w:hAnsi="Cambria Math" w:cs="Times New Roman"/>
                <w:szCs w:val="21"/>
              </w:rPr>
              <m:t>S</m:t>
            </m:r>
          </m:e>
          <m:sub>
            <m:r>
              <w:rPr>
                <w:rFonts w:ascii="Cambria Math" w:hAnsi="Cambria Math" w:cs="Times New Roman"/>
                <w:szCs w:val="21"/>
              </w:rPr>
              <m:t>t</m:t>
            </m:r>
          </m:sub>
        </m:sSub>
      </m:oMath>
      <w:r w:rsidRPr="00462E35">
        <w:rPr>
          <w:rFonts w:cs="Times New Roman"/>
          <w:szCs w:val="21"/>
        </w:rPr>
        <w:t xml:space="preserve">, we can resort either to the harvest function, (1), or total resource dynamics, (2). </w:t>
      </w:r>
      <w:r w:rsidRPr="00462E35">
        <w:rPr>
          <w:rFonts w:eastAsia="Yu Mincho" w:cs="Times New Roman"/>
          <w:szCs w:val="21"/>
        </w:rPr>
        <w:t>World</w:t>
      </w:r>
      <w:r w:rsidRPr="00462E35">
        <w:rPr>
          <w:rFonts w:cs="Times New Roman"/>
          <w:szCs w:val="21"/>
        </w:rPr>
        <w:t xml:space="preserve"> fish stocks are commonly assessed by examining the trends in catch or harvest data. Although this catch-based assessment method has attracted </w:t>
      </w:r>
      <w:r w:rsidRPr="00462E35">
        <w:rPr>
          <w:rFonts w:eastAsia="Yu Mincho" w:cs="Times New Roman"/>
          <w:szCs w:val="21"/>
        </w:rPr>
        <w:t xml:space="preserve">much </w:t>
      </w:r>
      <w:r w:rsidRPr="00462E35">
        <w:rPr>
          <w:rFonts w:cs="Times New Roman"/>
          <w:szCs w:val="21"/>
        </w:rPr>
        <w:t>criticism (see</w:t>
      </w:r>
      <w:r w:rsidRPr="00462E35">
        <w:rPr>
          <w:rFonts w:eastAsia="Yu Mincho" w:cs="Times New Roman"/>
          <w:szCs w:val="21"/>
        </w:rPr>
        <w:t>,</w:t>
      </w:r>
      <w:r w:rsidRPr="00462E35">
        <w:rPr>
          <w:rFonts w:cs="Times New Roman"/>
          <w:szCs w:val="21"/>
        </w:rPr>
        <w:t xml:space="preserve"> for instance</w:t>
      </w:r>
      <w:r w:rsidRPr="00462E35">
        <w:rPr>
          <w:rFonts w:eastAsia="Yu Mincho" w:cs="Times New Roman"/>
          <w:szCs w:val="21"/>
        </w:rPr>
        <w:t>,</w:t>
      </w:r>
      <w:r w:rsidRPr="00462E35">
        <w:rPr>
          <w:rFonts w:cs="Times New Roman"/>
          <w:szCs w:val="21"/>
        </w:rPr>
        <w:t xml:space="preserve"> </w:t>
      </w:r>
      <w:proofErr w:type="spellStart"/>
      <w:r w:rsidRPr="00462E35">
        <w:rPr>
          <w:rFonts w:cs="Times New Roman"/>
          <w:szCs w:val="21"/>
        </w:rPr>
        <w:t>Daan</w:t>
      </w:r>
      <w:proofErr w:type="spellEnd"/>
      <w:r w:rsidRPr="00462E35">
        <w:rPr>
          <w:rFonts w:cs="Times New Roman"/>
          <w:szCs w:val="21"/>
        </w:rPr>
        <w:t xml:space="preserve"> et al. (2011) due to its technical and conceptual flaws, it is still considered the most reliable method for assessing fish stock (Froese et al., 2012; </w:t>
      </w:r>
      <w:proofErr w:type="spellStart"/>
      <w:r w:rsidRPr="00462E35">
        <w:rPr>
          <w:rFonts w:cs="Times New Roman"/>
          <w:szCs w:val="21"/>
        </w:rPr>
        <w:t>Kleisner</w:t>
      </w:r>
      <w:proofErr w:type="spellEnd"/>
      <w:r w:rsidRPr="00462E35">
        <w:rPr>
          <w:rFonts w:cs="Times New Roman"/>
          <w:szCs w:val="21"/>
        </w:rPr>
        <w:t xml:space="preserve"> et al., 2013). The main reason is simply because the only data available for most fisheries are the weight of fish caught each year (</w:t>
      </w:r>
      <w:proofErr w:type="spellStart"/>
      <w:r w:rsidRPr="00462E35">
        <w:rPr>
          <w:rFonts w:cs="Times New Roman"/>
          <w:szCs w:val="21"/>
        </w:rPr>
        <w:t>Pauly</w:t>
      </w:r>
      <w:proofErr w:type="spellEnd"/>
      <w:r w:rsidRPr="00462E35">
        <w:rPr>
          <w:rFonts w:cs="Times New Roman"/>
          <w:szCs w:val="21"/>
        </w:rPr>
        <w:t xml:space="preserve"> et al., 2013). If effort and harvest, as well as catchability coefficient </w:t>
      </w:r>
      <m:oMath>
        <m:r>
          <w:rPr>
            <w:rFonts w:ascii="Cambria Math" w:hAnsi="Cambria Math" w:cs="Times New Roman"/>
            <w:szCs w:val="21"/>
          </w:rPr>
          <m:t>q</m:t>
        </m:r>
      </m:oMath>
      <w:r w:rsidRPr="00462E35">
        <w:rPr>
          <w:rFonts w:cs="Times New Roman"/>
          <w:szCs w:val="21"/>
        </w:rPr>
        <w:t xml:space="preserve">, are known data, then </w:t>
      </w:r>
      <m:oMath>
        <m:sSub>
          <m:sSubPr>
            <m:ctrlPr>
              <w:rPr>
                <w:rFonts w:ascii="Cambria Math" w:hAnsi="Cambria Math" w:cs="Times New Roman"/>
                <w:i/>
                <w:iCs/>
                <w:szCs w:val="21"/>
              </w:rPr>
            </m:ctrlPr>
          </m:sSubPr>
          <m:e>
            <m:r>
              <w:rPr>
                <w:rFonts w:ascii="Cambria Math" w:hAnsi="Cambria Math" w:cs="Times New Roman"/>
                <w:szCs w:val="21"/>
              </w:rPr>
              <m:t>S</m:t>
            </m:r>
          </m:e>
          <m:sub>
            <m:r>
              <w:rPr>
                <w:rFonts w:ascii="Cambria Math" w:hAnsi="Cambria Math" w:cs="Times New Roman"/>
                <w:szCs w:val="21"/>
              </w:rPr>
              <m:t>t</m:t>
            </m:r>
          </m:sub>
        </m:sSub>
      </m:oMath>
      <w:r w:rsidRPr="00462E35">
        <w:rPr>
          <w:rFonts w:cs="Times New Roman"/>
          <w:szCs w:val="21"/>
        </w:rPr>
        <w:t xml:space="preserve"> can be estimated solely from the Schaefer production function (Yamaguchi et al. 2016).</w:t>
      </w:r>
    </w:p>
    <w:p w:rsidR="00403A26" w:rsidRPr="00462E35" w:rsidRDefault="00403A26" w:rsidP="00403A26">
      <w:pPr>
        <w:spacing w:line="360" w:lineRule="auto"/>
        <w:ind w:firstLineChars="150" w:firstLine="330"/>
        <w:rPr>
          <w:rFonts w:cs="Times New Roman"/>
          <w:szCs w:val="21"/>
        </w:rPr>
      </w:pPr>
      <w:r w:rsidRPr="00462E35">
        <w:rPr>
          <w:rFonts w:eastAsia="Yu Mincho" w:cs="Times New Roman"/>
          <w:szCs w:val="21"/>
        </w:rPr>
        <w:t>However,</w:t>
      </w:r>
      <w:r w:rsidRPr="00462E35">
        <w:rPr>
          <w:rFonts w:cs="Times New Roman"/>
          <w:szCs w:val="21"/>
        </w:rPr>
        <w:t xml:space="preserve"> effort data are sparse worldwide, so we cannot employ this method for inclusive wealth accounting across the globe. Alternatively, we use resource dynamics; however, there are no reliable data on </w:t>
      </w:r>
      <m:oMath>
        <m:r>
          <w:rPr>
            <w:rFonts w:ascii="Cambria Math" w:hAnsi="Cambria Math" w:cs="Times New Roman"/>
            <w:szCs w:val="21"/>
          </w:rPr>
          <m:t>r</m:t>
        </m:r>
      </m:oMath>
      <w:r w:rsidRPr="00462E35">
        <w:rPr>
          <w:rFonts w:cs="Times New Roman"/>
          <w:szCs w:val="21"/>
        </w:rPr>
        <w:t xml:space="preserve"> and </w:t>
      </w:r>
      <m:oMath>
        <m:r>
          <w:rPr>
            <w:rFonts w:ascii="Cambria Math" w:hAnsi="Cambria Math" w:cs="Times New Roman"/>
            <w:szCs w:val="21"/>
          </w:rPr>
          <m:t>k</m:t>
        </m:r>
      </m:oMath>
      <w:r w:rsidRPr="00462E35">
        <w:rPr>
          <w:rFonts w:cs="Times New Roman"/>
          <w:szCs w:val="21"/>
        </w:rPr>
        <w:t xml:space="preserve"> for most fish stocks. Given this constraint, we follow M</w:t>
      </w:r>
      <w:proofErr w:type="spellStart"/>
      <w:r w:rsidRPr="00462E35">
        <w:rPr>
          <w:rFonts w:cs="Times New Roman"/>
          <w:szCs w:val="21"/>
        </w:rPr>
        <w:t>artell</w:t>
      </w:r>
      <w:proofErr w:type="spellEnd"/>
      <w:r w:rsidRPr="00462E35">
        <w:rPr>
          <w:rFonts w:cs="Times New Roman"/>
          <w:szCs w:val="21"/>
        </w:rPr>
        <w:t xml:space="preserve"> and Froese (2013)</w:t>
      </w:r>
      <w:r w:rsidRPr="00462E35">
        <w:rPr>
          <w:rFonts w:eastAsia="Yu Mincho" w:cs="Times New Roman"/>
          <w:szCs w:val="21"/>
        </w:rPr>
        <w:t>,</w:t>
      </w:r>
      <w:r w:rsidRPr="00462E35">
        <w:rPr>
          <w:rFonts w:cs="Times New Roman"/>
          <w:szCs w:val="21"/>
        </w:rPr>
        <w:t xml:space="preserve"> who developed an algorithm to randomly generate feasible </w:t>
      </w:r>
      <m:oMath>
        <m:d>
          <m:dPr>
            <m:ctrlPr>
              <w:rPr>
                <w:rFonts w:ascii="Cambria Math" w:hAnsi="Cambria Math" w:cs="Times New Roman"/>
                <w:i/>
                <w:iCs/>
                <w:szCs w:val="21"/>
              </w:rPr>
            </m:ctrlPr>
          </m:dPr>
          <m:e>
            <m:r>
              <w:rPr>
                <w:rFonts w:ascii="Cambria Math" w:hAnsi="Cambria Math" w:cs="Times New Roman"/>
                <w:szCs w:val="21"/>
              </w:rPr>
              <m:t>r,k</m:t>
            </m:r>
          </m:e>
        </m:d>
      </m:oMath>
      <w:r w:rsidRPr="00462E35">
        <w:rPr>
          <w:rFonts w:cs="Times New Roman"/>
          <w:szCs w:val="21"/>
        </w:rPr>
        <w:t xml:space="preserve"> pairs from a uniform distribution function. The likelihood of the generated </w:t>
      </w:r>
      <m:oMath>
        <m:d>
          <m:dPr>
            <m:ctrlPr>
              <w:rPr>
                <w:rFonts w:ascii="Cambria Math" w:hAnsi="Cambria Math" w:cs="Times New Roman"/>
                <w:i/>
                <w:iCs/>
                <w:szCs w:val="21"/>
              </w:rPr>
            </m:ctrlPr>
          </m:dPr>
          <m:e>
            <m:r>
              <w:rPr>
                <w:rFonts w:ascii="Cambria Math" w:hAnsi="Cambria Math" w:cs="Times New Roman"/>
                <w:szCs w:val="21"/>
              </w:rPr>
              <m:t>r,k</m:t>
            </m:r>
          </m:e>
        </m:d>
        <m:r>
          <w:rPr>
            <w:rFonts w:ascii="Cambria Math" w:hAnsi="Cambria Math" w:cs="Times New Roman"/>
            <w:szCs w:val="21"/>
          </w:rPr>
          <m:t> </m:t>
        </m:r>
      </m:oMath>
      <w:r w:rsidRPr="00462E35">
        <w:rPr>
          <w:rFonts w:cs="Times New Roman"/>
          <w:szCs w:val="21"/>
        </w:rPr>
        <w:t xml:space="preserve">pairs </w:t>
      </w:r>
      <w:r w:rsidRPr="00462E35">
        <w:rPr>
          <w:rFonts w:eastAsia="Yu Mincho" w:cs="Times New Roman"/>
          <w:szCs w:val="21"/>
        </w:rPr>
        <w:t>is</w:t>
      </w:r>
      <w:r w:rsidRPr="00462E35">
        <w:rPr>
          <w:rFonts w:cs="Times New Roman"/>
          <w:szCs w:val="21"/>
        </w:rPr>
        <w:t xml:space="preserve"> further evaluated by using the Bernoulli distribution to </w:t>
      </w:r>
      <w:r w:rsidRPr="00462E35">
        <w:rPr>
          <w:rFonts w:cs="Times New Roman"/>
          <w:szCs w:val="21"/>
        </w:rPr>
        <w:lastRenderedPageBreak/>
        <w:t>ensure that the estimated stock meets the following assumptions: it has never collapsed or exceeded the carrying capacity, and the final stock lies within the assumed range of depletion.</w:t>
      </w:r>
    </w:p>
    <w:p w:rsidR="00403A26" w:rsidRPr="00462E35" w:rsidRDefault="00403A26" w:rsidP="00403A26">
      <w:pPr>
        <w:spacing w:line="360" w:lineRule="auto"/>
        <w:ind w:firstLineChars="150" w:firstLine="330"/>
        <w:rPr>
          <w:rFonts w:cs="Times New Roman"/>
          <w:szCs w:val="21"/>
        </w:rPr>
      </w:pPr>
      <w:r w:rsidRPr="00462E35">
        <w:rPr>
          <w:rFonts w:cs="Times New Roman"/>
          <w:szCs w:val="21"/>
        </w:rPr>
        <w:t xml:space="preserve">In a case where the values of </w:t>
      </w:r>
      <m:oMath>
        <m:d>
          <m:dPr>
            <m:ctrlPr>
              <w:rPr>
                <w:rFonts w:ascii="Cambria Math" w:hAnsi="Cambria Math" w:cs="Times New Roman"/>
                <w:i/>
                <w:iCs/>
                <w:szCs w:val="21"/>
              </w:rPr>
            </m:ctrlPr>
          </m:dPr>
          <m:e>
            <m:r>
              <w:rPr>
                <w:rFonts w:ascii="Cambria Math" w:hAnsi="Cambria Math" w:cs="Times New Roman"/>
                <w:szCs w:val="21"/>
              </w:rPr>
              <m:t>r,k</m:t>
            </m:r>
          </m:e>
        </m:d>
      </m:oMath>
      <w:r w:rsidRPr="00462E35">
        <w:rPr>
          <w:rFonts w:cs="Times New Roman"/>
          <w:szCs w:val="21"/>
        </w:rPr>
        <w:t xml:space="preserve"> are not obtainable, the stocks are simply estimated according to the following rules:</w:t>
      </w:r>
    </w:p>
    <w:p w:rsidR="00403A26" w:rsidRPr="00462E35" w:rsidRDefault="00403A26" w:rsidP="00403A26">
      <w:pPr>
        <w:widowControl w:val="0"/>
        <w:numPr>
          <w:ilvl w:val="0"/>
          <w:numId w:val="7"/>
        </w:numPr>
        <w:spacing w:after="0" w:line="360" w:lineRule="auto"/>
        <w:jc w:val="both"/>
        <w:rPr>
          <w:rFonts w:cs="Times New Roman"/>
          <w:szCs w:val="21"/>
        </w:rPr>
      </w:pPr>
      <w:r w:rsidRPr="00462E35">
        <w:rPr>
          <w:rFonts w:cs="Times New Roman"/>
          <w:szCs w:val="21"/>
        </w:rPr>
        <w:t>if the year under study is after the year of maximum catch, then the biomass stock is estimated as twice the catch;</w:t>
      </w:r>
    </w:p>
    <w:p w:rsidR="00403A26" w:rsidRPr="00462E35" w:rsidRDefault="00403A26" w:rsidP="00403A26">
      <w:pPr>
        <w:widowControl w:val="0"/>
        <w:numPr>
          <w:ilvl w:val="0"/>
          <w:numId w:val="7"/>
        </w:numPr>
        <w:spacing w:after="0" w:line="360" w:lineRule="auto"/>
        <w:jc w:val="both"/>
        <w:rPr>
          <w:rFonts w:cs="Times New Roman"/>
          <w:szCs w:val="21"/>
        </w:rPr>
      </w:pPr>
      <w:r w:rsidRPr="00462E35">
        <w:rPr>
          <w:rFonts w:cs="Times New Roman"/>
          <w:szCs w:val="21"/>
        </w:rPr>
        <w:t>otherwise, the biomass stock is estimated as twice maximum catch, net of catch (2 x Maximum Catch – Catch).</w:t>
      </w:r>
    </w:p>
    <w:p w:rsidR="00403A26" w:rsidRPr="00462E35" w:rsidRDefault="00403A26" w:rsidP="00403A26">
      <w:pPr>
        <w:spacing w:line="360" w:lineRule="auto"/>
        <w:rPr>
          <w:rFonts w:cs="Times New Roman"/>
          <w:b/>
          <w:bCs/>
          <w:szCs w:val="21"/>
        </w:rPr>
      </w:pPr>
    </w:p>
    <w:p w:rsidR="00403A26" w:rsidRPr="00462E35" w:rsidRDefault="00403A26" w:rsidP="00403A26">
      <w:pPr>
        <w:spacing w:line="360" w:lineRule="auto"/>
        <w:rPr>
          <w:rFonts w:cs="Times New Roman"/>
          <w:szCs w:val="21"/>
        </w:rPr>
      </w:pPr>
      <w:r w:rsidRPr="00462E35">
        <w:rPr>
          <w:rFonts w:cs="Times New Roman"/>
          <w:szCs w:val="21"/>
        </w:rPr>
        <w:t xml:space="preserve">   Time-series data of catch (tonnage and value) of each country’s economic exclusive zone (EEZ) for the period of 1950–2010 are obtained from Sea Around Us Project (SAUP 2016). We evaluate only stock that has a catch record for at least 20 years and has a total catch in a given area of at least 1000 tons over the time span.</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0"/>
          <w:numId w:val="10"/>
        </w:numPr>
        <w:spacing w:line="360" w:lineRule="auto"/>
        <w:ind w:leftChars="0"/>
        <w:rPr>
          <w:rFonts w:cs="Times New Roman"/>
          <w:szCs w:val="21"/>
        </w:rPr>
      </w:pPr>
      <w:r w:rsidRPr="00462E35">
        <w:rPr>
          <w:rFonts w:cs="Times New Roman"/>
          <w:szCs w:val="21"/>
        </w:rPr>
        <w:t>Adjustments</w:t>
      </w:r>
    </w:p>
    <w:p w:rsidR="00403A26" w:rsidRPr="00462E35" w:rsidRDefault="00403A26" w:rsidP="00403A26">
      <w:pPr>
        <w:spacing w:line="360" w:lineRule="auto"/>
        <w:rPr>
          <w:rFonts w:cs="Times New Roman"/>
          <w:szCs w:val="21"/>
        </w:rPr>
      </w:pPr>
      <w:r w:rsidRPr="00462E35">
        <w:rPr>
          <w:rFonts w:cs="Times New Roman"/>
          <w:szCs w:val="21"/>
        </w:rPr>
        <w:t xml:space="preserve">As we outlined in Chapter 1, we treat three adjustments that are not covered by familiar capital assets but contribute to social well-being change: carbon damage, oil capital gain, and total factor productivity. We basically follow </w:t>
      </w:r>
      <w:r w:rsidRPr="00462E35">
        <w:rPr>
          <w:rFonts w:eastAsia="Yu Mincho" w:cs="Times New Roman"/>
          <w:szCs w:val="21"/>
        </w:rPr>
        <w:t xml:space="preserve">the </w:t>
      </w:r>
      <w:r w:rsidRPr="00462E35">
        <w:rPr>
          <w:rFonts w:cs="Times New Roman"/>
          <w:szCs w:val="21"/>
        </w:rPr>
        <w:t>IWR 2014 methodology for these adjustments.</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1"/>
          <w:numId w:val="10"/>
        </w:numPr>
        <w:spacing w:line="360" w:lineRule="auto"/>
        <w:ind w:leftChars="0"/>
        <w:rPr>
          <w:rFonts w:cs="Times New Roman"/>
          <w:szCs w:val="21"/>
        </w:rPr>
      </w:pPr>
      <w:r w:rsidRPr="00462E35">
        <w:rPr>
          <w:rFonts w:cs="Times New Roman"/>
          <w:szCs w:val="21"/>
        </w:rPr>
        <w:t>Carbon damage</w:t>
      </w:r>
    </w:p>
    <w:p w:rsidR="00403A26" w:rsidRPr="00462E35" w:rsidRDefault="00403A26" w:rsidP="00403A26">
      <w:pPr>
        <w:spacing w:line="360" w:lineRule="auto"/>
        <w:rPr>
          <w:rFonts w:cs="Times New Roman"/>
          <w:szCs w:val="21"/>
        </w:rPr>
      </w:pPr>
      <w:r w:rsidRPr="00462E35">
        <w:rPr>
          <w:rFonts w:cs="Times New Roman"/>
          <w:szCs w:val="21"/>
        </w:rPr>
        <w:t>Following Arrow et al. (2012), we can think of carbon damage as a mostly exogenous change in social well-being, as it does not correspond to each country’s emissions. As in IWR 2014, the key methodological steps can be described as follows:</w:t>
      </w:r>
    </w:p>
    <w:p w:rsidR="00403A26" w:rsidRPr="00462E35" w:rsidRDefault="00403A26" w:rsidP="00403A26">
      <w:pPr>
        <w:spacing w:line="360" w:lineRule="auto"/>
        <w:rPr>
          <w:rFonts w:cs="Times New Roman"/>
          <w:szCs w:val="21"/>
        </w:rPr>
      </w:pPr>
      <w:r w:rsidRPr="00462E35">
        <w:rPr>
          <w:rFonts w:cs="Times New Roman"/>
          <w:szCs w:val="21"/>
        </w:rPr>
        <w:t>(1) obtain the total global carbon emissions for the period under analysis, 1990 to 2014;</w:t>
      </w:r>
    </w:p>
    <w:p w:rsidR="00403A26" w:rsidRPr="00462E35" w:rsidRDefault="00403A26" w:rsidP="00403A26">
      <w:pPr>
        <w:spacing w:line="360" w:lineRule="auto"/>
        <w:rPr>
          <w:rFonts w:cs="Times New Roman"/>
          <w:szCs w:val="21"/>
        </w:rPr>
      </w:pPr>
      <w:r w:rsidRPr="00462E35">
        <w:rPr>
          <w:rFonts w:cs="Times New Roman"/>
          <w:szCs w:val="21"/>
        </w:rPr>
        <w:t xml:space="preserve">(2) derive the total global </w:t>
      </w:r>
      <w:r w:rsidRPr="00462E35">
        <w:rPr>
          <w:rFonts w:eastAsia="Yu Mincho" w:cs="Times New Roman"/>
          <w:szCs w:val="21"/>
        </w:rPr>
        <w:t>damage</w:t>
      </w:r>
      <w:r w:rsidRPr="00462E35">
        <w:rPr>
          <w:rFonts w:cs="Times New Roman"/>
          <w:szCs w:val="21"/>
        </w:rPr>
        <w:t xml:space="preserve"> as a function of emissions; and</w:t>
      </w:r>
    </w:p>
    <w:p w:rsidR="00403A26" w:rsidRPr="00462E35" w:rsidRDefault="00403A26" w:rsidP="00403A26">
      <w:pPr>
        <w:spacing w:line="360" w:lineRule="auto"/>
        <w:rPr>
          <w:rFonts w:cs="Times New Roman"/>
          <w:szCs w:val="21"/>
        </w:rPr>
      </w:pPr>
      <w:r w:rsidRPr="00462E35">
        <w:rPr>
          <w:rFonts w:cs="Times New Roman"/>
          <w:szCs w:val="21"/>
        </w:rPr>
        <w:t xml:space="preserve">(3) allocate global </w:t>
      </w:r>
      <w:r w:rsidRPr="00462E35">
        <w:rPr>
          <w:rFonts w:eastAsia="Yu Mincho" w:cs="Times New Roman"/>
          <w:szCs w:val="21"/>
        </w:rPr>
        <w:t>damage</w:t>
      </w:r>
      <w:r w:rsidRPr="00462E35">
        <w:rPr>
          <w:rFonts w:cs="Times New Roman"/>
          <w:szCs w:val="21"/>
        </w:rPr>
        <w:t xml:space="preserve"> to countries according to the potential effect of global warming on their economies.</w:t>
      </w:r>
    </w:p>
    <w:p w:rsidR="00403A26" w:rsidRPr="00462E35" w:rsidRDefault="00403A26" w:rsidP="00403A26">
      <w:pPr>
        <w:spacing w:line="360" w:lineRule="auto"/>
        <w:ind w:firstLineChars="150" w:firstLine="330"/>
        <w:rPr>
          <w:rFonts w:cs="Times New Roman"/>
          <w:szCs w:val="21"/>
        </w:rPr>
      </w:pPr>
      <w:r w:rsidRPr="00462E35">
        <w:rPr>
          <w:rFonts w:cs="Times New Roman"/>
          <w:szCs w:val="21"/>
        </w:rPr>
        <w:lastRenderedPageBreak/>
        <w:t>Global carbon emissions: Two sources of carbon emissions are taken into account: (i) carbon emissions stemming from fuel consumption and cement, which are obtained from the Carbon Dioxide Information Analysis Center (Boden et al. 2011); and (ii) emissions resulting from global deforestation. In this case, we use FAO (2013) data on the changes in annual global forest land. It is further estimated that the average carbon release per hectare is equal to 100 tons of carbon (</w:t>
      </w:r>
      <w:proofErr w:type="spellStart"/>
      <w:r w:rsidRPr="00462E35">
        <w:rPr>
          <w:rFonts w:cs="Times New Roman"/>
          <w:szCs w:val="21"/>
        </w:rPr>
        <w:t>Lampietti</w:t>
      </w:r>
      <w:proofErr w:type="spellEnd"/>
      <w:r w:rsidRPr="00462E35">
        <w:rPr>
          <w:rFonts w:cs="Times New Roman"/>
          <w:szCs w:val="21"/>
        </w:rPr>
        <w:t xml:space="preserve"> and Dixon 1995).</w:t>
      </w:r>
    </w:p>
    <w:p w:rsidR="00403A26" w:rsidRPr="00462E35" w:rsidRDefault="00403A26" w:rsidP="00403A26">
      <w:pPr>
        <w:spacing w:line="360" w:lineRule="auto"/>
        <w:ind w:firstLineChars="150" w:firstLine="330"/>
        <w:rPr>
          <w:rFonts w:cs="Times New Roman"/>
          <w:szCs w:val="21"/>
        </w:rPr>
      </w:pPr>
      <w:r w:rsidRPr="00462E35">
        <w:rPr>
          <w:rFonts w:cs="Times New Roman"/>
          <w:szCs w:val="21"/>
        </w:rPr>
        <w:t xml:space="preserve">Global carbon damages: The damages per ton of carbon released to the atmosphere are estimated at US$50 (see </w:t>
      </w:r>
      <w:proofErr w:type="spellStart"/>
      <w:r w:rsidRPr="00462E35">
        <w:rPr>
          <w:rFonts w:cs="Times New Roman"/>
          <w:szCs w:val="21"/>
        </w:rPr>
        <w:t>Tol</w:t>
      </w:r>
      <w:proofErr w:type="spellEnd"/>
      <w:r w:rsidRPr="00462E35">
        <w:rPr>
          <w:rFonts w:cs="Times New Roman"/>
          <w:szCs w:val="21"/>
        </w:rPr>
        <w:t xml:space="preserve"> 2009). By multiplying the total number of global tons of carbon released to the atmosphere by the price per ton, we obtain the total global carbon </w:t>
      </w:r>
      <w:r w:rsidRPr="00462E35">
        <w:rPr>
          <w:rFonts w:eastAsia="Yu Mincho" w:cs="Times New Roman"/>
          <w:szCs w:val="21"/>
        </w:rPr>
        <w:t>damage</w:t>
      </w:r>
      <w:r w:rsidRPr="00462E35">
        <w:rPr>
          <w:rFonts w:cs="Times New Roman"/>
          <w:szCs w:val="21"/>
        </w:rPr>
        <w:t>. Note that this parameter is constant over time.</w:t>
      </w:r>
    </w:p>
    <w:p w:rsidR="00403A26" w:rsidRPr="00462E35" w:rsidRDefault="00403A26" w:rsidP="00403A26">
      <w:pPr>
        <w:spacing w:line="360" w:lineRule="auto"/>
        <w:ind w:firstLineChars="150" w:firstLine="330"/>
        <w:rPr>
          <w:rFonts w:cs="Times New Roman"/>
          <w:szCs w:val="21"/>
        </w:rPr>
      </w:pPr>
      <w:r w:rsidRPr="00462E35">
        <w:rPr>
          <w:rFonts w:cs="Times New Roman"/>
          <w:szCs w:val="21"/>
        </w:rPr>
        <w:t xml:space="preserve">Assigning carbon damages to countries: To calculate the distribution of the damages that each region suffers, we refer to the study of Nordhaus and Boyer (2000). This study presents the distribution of damages </w:t>
      </w:r>
      <w:r w:rsidRPr="00462E35">
        <w:rPr>
          <w:rFonts w:eastAsia="Yu Mincho" w:cs="Times New Roman"/>
          <w:szCs w:val="21"/>
        </w:rPr>
        <w:t>that</w:t>
      </w:r>
      <w:r w:rsidRPr="00462E35">
        <w:rPr>
          <w:rFonts w:cs="Times New Roman"/>
          <w:szCs w:val="21"/>
        </w:rPr>
        <w:t xml:space="preserve"> different regions and the global economy as a whole will suffer as a percentage of the corresponding regional and global GDP. By using country and global GDP information, we are able to re-estimate regional percentage damages in terms of the total global GDP – not country GDP – as initially presented in Nordhaus and Boyer (2000). Finally, we apportion the global </w:t>
      </w:r>
      <w:r w:rsidRPr="00462E35">
        <w:rPr>
          <w:rFonts w:eastAsia="Yu Mincho" w:cs="Times New Roman"/>
          <w:szCs w:val="21"/>
        </w:rPr>
        <w:t>damage</w:t>
      </w:r>
      <w:r w:rsidRPr="00462E35">
        <w:rPr>
          <w:rFonts w:cs="Times New Roman"/>
          <w:szCs w:val="21"/>
        </w:rPr>
        <w:t xml:space="preserve"> estimated in previous step two according to this latter percentage.</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1"/>
          <w:numId w:val="10"/>
        </w:numPr>
        <w:spacing w:line="360" w:lineRule="auto"/>
        <w:ind w:leftChars="0"/>
        <w:rPr>
          <w:rFonts w:cs="Times New Roman"/>
          <w:szCs w:val="21"/>
        </w:rPr>
      </w:pPr>
      <w:r w:rsidRPr="00462E35">
        <w:rPr>
          <w:rFonts w:cs="Times New Roman"/>
          <w:szCs w:val="21"/>
        </w:rPr>
        <w:t>Oil capital gain and loss</w:t>
      </w:r>
    </w:p>
    <w:p w:rsidR="00403A26" w:rsidRPr="00462E35" w:rsidRDefault="00403A26" w:rsidP="00403A26">
      <w:pPr>
        <w:spacing w:line="360" w:lineRule="auto"/>
        <w:rPr>
          <w:rFonts w:cs="Times New Roman"/>
          <w:szCs w:val="21"/>
        </w:rPr>
      </w:pPr>
      <w:r w:rsidRPr="00462E35">
        <w:rPr>
          <w:rFonts w:cs="Times New Roman"/>
          <w:szCs w:val="21"/>
        </w:rPr>
        <w:t xml:space="preserve">If oil </w:t>
      </w:r>
      <w:r w:rsidRPr="00462E35">
        <w:rPr>
          <w:rFonts w:eastAsia="Yu Mincho" w:cs="Times New Roman"/>
          <w:szCs w:val="21"/>
        </w:rPr>
        <w:t>prices increase</w:t>
      </w:r>
      <w:r w:rsidRPr="00462E35">
        <w:rPr>
          <w:rFonts w:cs="Times New Roman"/>
          <w:szCs w:val="21"/>
        </w:rPr>
        <w:t xml:space="preserve">, oil-rich nations enjoy wealth </w:t>
      </w:r>
      <w:r w:rsidRPr="00462E35">
        <w:rPr>
          <w:rFonts w:eastAsia="Yu Mincho" w:cs="Times New Roman"/>
          <w:szCs w:val="21"/>
        </w:rPr>
        <w:t>increases</w:t>
      </w:r>
      <w:r w:rsidRPr="00462E35">
        <w:rPr>
          <w:rFonts w:cs="Times New Roman"/>
          <w:szCs w:val="21"/>
        </w:rPr>
        <w:t>. This is not a gain in the quantity of natural capital, but so long as countries can tap into this windfall to improve social well-being, this should be accounted for in wealth accounting. An annual increase of 3% in the rental price of oil is assumed, which corresponds to the annual average oil price increase during 1990-2014 (BP 2015). Conversely, importing</w:t>
      </w:r>
      <w:r w:rsidRPr="00462E35">
        <w:rPr>
          <w:rFonts w:eastAsia="Yu Mincho" w:cs="Times New Roman"/>
          <w:szCs w:val="21"/>
        </w:rPr>
        <w:t xml:space="preserve"> </w:t>
      </w:r>
      <w:r w:rsidRPr="00462E35">
        <w:rPr>
          <w:rFonts w:cs="Times New Roman"/>
          <w:szCs w:val="21"/>
        </w:rPr>
        <w:t>countries may have fewer investment opportunities due to higher oil prices, so oil capital losses are distributed to consuming countries.</w:t>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1"/>
          <w:numId w:val="10"/>
        </w:numPr>
        <w:spacing w:line="360" w:lineRule="auto"/>
        <w:ind w:leftChars="0"/>
        <w:rPr>
          <w:rFonts w:cs="Times New Roman"/>
          <w:szCs w:val="21"/>
        </w:rPr>
      </w:pPr>
      <w:r w:rsidRPr="00462E35">
        <w:rPr>
          <w:rFonts w:cs="Times New Roman"/>
          <w:szCs w:val="21"/>
        </w:rPr>
        <w:t>Total factor productivity</w:t>
      </w:r>
    </w:p>
    <w:p w:rsidR="00403A26" w:rsidRPr="00462E35" w:rsidRDefault="00403A26" w:rsidP="00403A26">
      <w:pPr>
        <w:spacing w:line="360" w:lineRule="auto"/>
        <w:rPr>
          <w:rFonts w:cs="Times New Roman"/>
          <w:szCs w:val="21"/>
        </w:rPr>
      </w:pPr>
      <w:r w:rsidRPr="00462E35">
        <w:rPr>
          <w:rFonts w:cs="Times New Roman"/>
          <w:szCs w:val="21"/>
        </w:rPr>
        <w:t xml:space="preserve">The total factor productivity of a nation is a source of </w:t>
      </w:r>
      <w:r w:rsidRPr="00462E35">
        <w:rPr>
          <w:rFonts w:eastAsia="Yu Mincho" w:cs="Times New Roman"/>
          <w:szCs w:val="21"/>
        </w:rPr>
        <w:t>resources</w:t>
      </w:r>
      <w:r w:rsidRPr="00462E35">
        <w:rPr>
          <w:rFonts w:cs="Times New Roman"/>
          <w:szCs w:val="21"/>
        </w:rPr>
        <w:t xml:space="preserve"> that can be accessed even though they are tangible. We use the TFP data calculated conventionally by Conference Board (2017), averaged over the 25-year period. As </w:t>
      </w:r>
      <w:bookmarkStart w:id="3" w:name="_Hlk2015078"/>
      <w:r w:rsidRPr="00462E35">
        <w:rPr>
          <w:rFonts w:cs="Times New Roman"/>
          <w:szCs w:val="21"/>
        </w:rPr>
        <w:t xml:space="preserve">Arrow et al. (2012) and IWR 2012 </w:t>
      </w:r>
      <w:bookmarkEnd w:id="3"/>
      <w:r w:rsidRPr="00462E35">
        <w:rPr>
          <w:rFonts w:cs="Times New Roman"/>
          <w:szCs w:val="21"/>
        </w:rPr>
        <w:t xml:space="preserve">showed, we can directly add the TFP term to </w:t>
      </w:r>
      <w:r w:rsidRPr="00462E35">
        <w:rPr>
          <w:rFonts w:cs="Times New Roman"/>
          <w:szCs w:val="21"/>
        </w:rPr>
        <w:lastRenderedPageBreak/>
        <w:t>the growth rates in inclusive wealth to reach the adjusted growth rates in inclusive wealth (for results, see Figure 1.27b of IWR 2018, p.41).</w:t>
      </w:r>
    </w:p>
    <w:p w:rsidR="00403A26" w:rsidRPr="00462E35" w:rsidRDefault="00403A26" w:rsidP="00403A26">
      <w:pPr>
        <w:spacing w:after="160" w:line="259" w:lineRule="auto"/>
        <w:rPr>
          <w:rFonts w:cs="Times New Roman"/>
          <w:szCs w:val="21"/>
        </w:rPr>
      </w:pPr>
      <w:r w:rsidRPr="00462E35">
        <w:rPr>
          <w:rFonts w:cs="Times New Roman"/>
          <w:szCs w:val="21"/>
        </w:rPr>
        <w:br w:type="page"/>
      </w:r>
    </w:p>
    <w:p w:rsidR="00403A26" w:rsidRPr="00462E35" w:rsidRDefault="00403A26" w:rsidP="00403A26">
      <w:pPr>
        <w:spacing w:line="360" w:lineRule="auto"/>
        <w:rPr>
          <w:rFonts w:cs="Times New Roman"/>
          <w:szCs w:val="21"/>
        </w:rPr>
      </w:pPr>
    </w:p>
    <w:p w:rsidR="00403A26" w:rsidRPr="00462E35" w:rsidRDefault="00403A26" w:rsidP="00403A26">
      <w:pPr>
        <w:pStyle w:val="ListParagraph"/>
        <w:numPr>
          <w:ilvl w:val="0"/>
          <w:numId w:val="10"/>
        </w:numPr>
        <w:spacing w:line="360" w:lineRule="auto"/>
        <w:ind w:leftChars="0"/>
        <w:rPr>
          <w:rFonts w:cs="Times New Roman"/>
          <w:szCs w:val="21"/>
        </w:rPr>
      </w:pPr>
      <w:r w:rsidRPr="00462E35">
        <w:rPr>
          <w:rFonts w:cs="Times New Roman"/>
          <w:szCs w:val="21"/>
        </w:rPr>
        <w:t>Wealth/income ratio</w:t>
      </w:r>
    </w:p>
    <w:p w:rsidR="00403A26" w:rsidRPr="00462E35" w:rsidRDefault="00403A26" w:rsidP="00403A26">
      <w:pPr>
        <w:spacing w:line="360" w:lineRule="auto"/>
        <w:rPr>
          <w:rFonts w:cs="Times New Roman"/>
          <w:szCs w:val="21"/>
          <w:lang w:bidi="bn-BD"/>
        </w:rPr>
      </w:pPr>
      <w:r w:rsidRPr="00462E35">
        <w:rPr>
          <w:rFonts w:cs="Times New Roman"/>
          <w:szCs w:val="21"/>
          <w:lang w:bidi="bn-BD"/>
        </w:rPr>
        <w:t xml:space="preserve">As noted in the main body of the paper, we check the wealth/income ratio in 2014 using IWR and GDP, World Bank’s total wealth (Lange et al. 2018) and adjusted net national income (constant 2010 US$, GNI minus consumption of fixed capital and natural resource depletion), and total wealth and gross national income (current US$) (World Bank 2019). See Figures SIII for their </w:t>
      </w:r>
      <w:proofErr w:type="spellStart"/>
      <w:r w:rsidRPr="00462E35">
        <w:rPr>
          <w:rFonts w:cs="Times New Roman"/>
          <w:szCs w:val="21"/>
          <w:lang w:bidi="bn-BD"/>
        </w:rPr>
        <w:t>scattergrams</w:t>
      </w:r>
      <w:proofErr w:type="spellEnd"/>
      <w:r w:rsidRPr="00462E35">
        <w:rPr>
          <w:rFonts w:cs="Times New Roman"/>
          <w:szCs w:val="21"/>
          <w:lang w:bidi="bn-BD"/>
        </w:rPr>
        <w:t>.</w:t>
      </w:r>
    </w:p>
    <w:p w:rsidR="00403A26" w:rsidRPr="00462E35" w:rsidRDefault="00403A26" w:rsidP="00403A26">
      <w:pPr>
        <w:spacing w:line="360" w:lineRule="auto"/>
        <w:rPr>
          <w:rFonts w:cs="Times New Roman"/>
          <w:szCs w:val="21"/>
        </w:rPr>
      </w:pPr>
    </w:p>
    <w:p w:rsidR="00403A26" w:rsidRPr="00462E35" w:rsidRDefault="00403A26" w:rsidP="00403A26">
      <w:pPr>
        <w:spacing w:line="360" w:lineRule="auto"/>
        <w:jc w:val="center"/>
        <w:rPr>
          <w:rFonts w:cs="Times New Roman"/>
          <w:szCs w:val="21"/>
        </w:rPr>
      </w:pPr>
      <w:r w:rsidRPr="00462E35">
        <w:rPr>
          <w:rFonts w:cs="Times New Roman"/>
          <w:szCs w:val="21"/>
        </w:rPr>
        <w:t>Figure SIII-a: GDP and inclusive wealth in 2014</w:t>
      </w:r>
    </w:p>
    <w:p w:rsidR="00403A26" w:rsidRPr="00462E35" w:rsidRDefault="00403A26" w:rsidP="00403A26">
      <w:pPr>
        <w:spacing w:line="360" w:lineRule="auto"/>
        <w:jc w:val="center"/>
        <w:rPr>
          <w:rFonts w:cs="Times New Roman"/>
          <w:szCs w:val="21"/>
        </w:rPr>
      </w:pPr>
      <w:r w:rsidRPr="00462E35">
        <w:rPr>
          <w:noProof/>
          <w:lang w:eastAsia="en-IN"/>
        </w:rPr>
        <w:drawing>
          <wp:inline distT="0" distB="0" distL="0" distR="0" wp14:anchorId="73D54FC5" wp14:editId="59621D32">
            <wp:extent cx="4286250" cy="2324100"/>
            <wp:effectExtent l="0" t="0" r="0" b="0"/>
            <wp:docPr id="6" name="グラフ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D78942CB-AF96-4955-BFF9-9184175336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03A26" w:rsidRPr="00462E35" w:rsidRDefault="00403A26" w:rsidP="00403A26">
      <w:pPr>
        <w:spacing w:line="360" w:lineRule="auto"/>
        <w:jc w:val="center"/>
        <w:rPr>
          <w:rFonts w:cs="Times New Roman"/>
          <w:szCs w:val="21"/>
        </w:rPr>
      </w:pPr>
      <w:r w:rsidRPr="00462E35">
        <w:rPr>
          <w:rFonts w:cs="Times New Roman"/>
          <w:szCs w:val="21"/>
        </w:rPr>
        <w:t>Figure SIII-b: Adjusted net national income and total wealth in 2014</w:t>
      </w:r>
    </w:p>
    <w:p w:rsidR="00403A26" w:rsidRPr="00462E35" w:rsidRDefault="00403A26" w:rsidP="00403A26">
      <w:pPr>
        <w:spacing w:line="360" w:lineRule="auto"/>
        <w:jc w:val="center"/>
        <w:rPr>
          <w:rFonts w:cs="Times New Roman"/>
          <w:szCs w:val="21"/>
        </w:rPr>
      </w:pPr>
      <w:r w:rsidRPr="00462E35">
        <w:rPr>
          <w:noProof/>
          <w:lang w:eastAsia="en-IN"/>
        </w:rPr>
        <w:drawing>
          <wp:inline distT="0" distB="0" distL="0" distR="0" wp14:anchorId="2406DEE8" wp14:editId="36A238A8">
            <wp:extent cx="4048125" cy="2470785"/>
            <wp:effectExtent l="0" t="0" r="0" b="5715"/>
            <wp:docPr id="9" name="グラフ 7">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57717733-DF65-4301-A7F1-981DE7077C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03A26" w:rsidRPr="00462E35" w:rsidRDefault="00403A26" w:rsidP="00403A26">
      <w:pPr>
        <w:spacing w:line="360" w:lineRule="auto"/>
        <w:jc w:val="center"/>
        <w:rPr>
          <w:rFonts w:cs="Times New Roman"/>
          <w:szCs w:val="21"/>
        </w:rPr>
      </w:pPr>
      <w:r w:rsidRPr="00462E35">
        <w:rPr>
          <w:rFonts w:cs="Times New Roman"/>
          <w:szCs w:val="21"/>
        </w:rPr>
        <w:lastRenderedPageBreak/>
        <w:t>Figure SIII-c: Gross national income and total wealth in 2014</w:t>
      </w:r>
    </w:p>
    <w:p w:rsidR="00403A26" w:rsidRPr="00462E35" w:rsidRDefault="00403A26" w:rsidP="00403A26">
      <w:pPr>
        <w:spacing w:line="360" w:lineRule="auto"/>
        <w:jc w:val="center"/>
        <w:rPr>
          <w:rFonts w:cs="Times New Roman"/>
          <w:szCs w:val="21"/>
        </w:rPr>
      </w:pPr>
      <w:r w:rsidRPr="00462E35">
        <w:rPr>
          <w:noProof/>
          <w:lang w:eastAsia="en-IN"/>
        </w:rPr>
        <w:drawing>
          <wp:inline distT="0" distB="0" distL="0" distR="0" wp14:anchorId="08645EB9" wp14:editId="0D92A2F2">
            <wp:extent cx="4095750" cy="2501900"/>
            <wp:effectExtent l="0" t="0" r="0" b="0"/>
            <wp:docPr id="10" name="グラフ 8">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ve="http://schemas.openxmlformats.org/markup-compatibility/2006" id="{927087E8-09FD-4302-A1ED-ED97DC392C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03A26" w:rsidRPr="00462E35" w:rsidRDefault="00403A26" w:rsidP="00403A26">
      <w:pPr>
        <w:rPr>
          <w:rFonts w:eastAsia="Yu Mincho" w:cs="Times New Roman"/>
          <w:szCs w:val="21"/>
          <w:lang w:bidi="bn-BD"/>
        </w:rPr>
        <w:sectPr w:rsidR="00403A26" w:rsidRPr="00462E35" w:rsidSect="00CA0E83">
          <w:pgSz w:w="12240" w:h="15840"/>
          <w:pgMar w:top="1440" w:right="1440" w:bottom="1440" w:left="1440" w:header="720" w:footer="720" w:gutter="0"/>
          <w:cols w:space="720"/>
          <w:docGrid w:linePitch="360"/>
        </w:sectPr>
      </w:pPr>
    </w:p>
    <w:p w:rsidR="00403A26" w:rsidRPr="00462E35" w:rsidRDefault="00403A26" w:rsidP="00403A26">
      <w:pPr>
        <w:rPr>
          <w:rFonts w:eastAsia="Yu Mincho" w:cs="Times New Roman"/>
          <w:szCs w:val="21"/>
          <w:lang w:bidi="bn-BD"/>
        </w:rPr>
      </w:pPr>
    </w:p>
    <w:p w:rsidR="00403A26" w:rsidRPr="00462E35" w:rsidRDefault="00403A26" w:rsidP="00403A26">
      <w:pPr>
        <w:rPr>
          <w:rFonts w:eastAsia="Yu Mincho" w:cs="Times New Roman"/>
          <w:szCs w:val="21"/>
          <w:lang w:bidi="bn-BD"/>
        </w:rPr>
      </w:pPr>
      <w:r w:rsidRPr="00462E35">
        <w:rPr>
          <w:rFonts w:eastAsia="Yu Mincho" w:cs="Times New Roman"/>
          <w:szCs w:val="21"/>
          <w:lang w:bidi="bn-BD"/>
        </w:rPr>
        <w:t xml:space="preserve">Table A8. Comparison of methodologies between </w:t>
      </w:r>
      <w:r w:rsidRPr="00462E35">
        <w:rPr>
          <w:rFonts w:eastAsia="Yu Mincho" w:cs="Times New Roman"/>
          <w:i/>
          <w:szCs w:val="21"/>
          <w:lang w:bidi="bn-BD"/>
        </w:rPr>
        <w:t>Inclusive Wealth Report 2018</w:t>
      </w:r>
      <w:r w:rsidRPr="00462E35">
        <w:rPr>
          <w:rFonts w:eastAsia="Yu Mincho" w:cs="Times New Roman"/>
          <w:szCs w:val="21"/>
          <w:lang w:bidi="bn-BD"/>
        </w:rPr>
        <w:t xml:space="preserve"> and </w:t>
      </w:r>
      <w:r w:rsidRPr="00462E35">
        <w:rPr>
          <w:rFonts w:eastAsia="Yu Mincho" w:cs="Times New Roman"/>
          <w:i/>
          <w:szCs w:val="21"/>
          <w:lang w:bidi="bn-BD"/>
        </w:rPr>
        <w:t>Changing Wealth of Nations 2018</w:t>
      </w:r>
    </w:p>
    <w:p w:rsidR="00403A26" w:rsidRPr="00462E35" w:rsidRDefault="00403A26" w:rsidP="00403A26">
      <w:pPr>
        <w:rPr>
          <w:rFonts w:eastAsia="Yu Mincho" w:cs="Times New Roman"/>
          <w:szCs w:val="21"/>
          <w:lang w:bidi="bn-BD"/>
        </w:rPr>
      </w:pPr>
    </w:p>
    <w:tbl>
      <w:tblPr>
        <w:tblStyle w:val="21"/>
        <w:tblW w:w="13255" w:type="dxa"/>
        <w:tblLook w:val="04A0" w:firstRow="1" w:lastRow="0" w:firstColumn="1" w:lastColumn="0" w:noHBand="0" w:noVBand="1"/>
      </w:tblPr>
      <w:tblGrid>
        <w:gridCol w:w="2002"/>
        <w:gridCol w:w="5626"/>
        <w:gridCol w:w="5627"/>
      </w:tblGrid>
      <w:tr w:rsidR="00462E35" w:rsidRPr="00462E35" w:rsidTr="00C070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rsidR="00403A26" w:rsidRPr="00462E35" w:rsidRDefault="00403A26" w:rsidP="00C07065">
            <w:pPr>
              <w:rPr>
                <w:rFonts w:eastAsia="Yu Mincho" w:cs="Times New Roman"/>
                <w:sz w:val="18"/>
                <w:szCs w:val="16"/>
                <w:lang w:bidi="bn-BD"/>
              </w:rPr>
            </w:pPr>
            <w:r w:rsidRPr="00462E35">
              <w:rPr>
                <w:rFonts w:eastAsia="Yu Mincho" w:cs="Times New Roman"/>
                <w:sz w:val="18"/>
                <w:szCs w:val="16"/>
                <w:lang w:bidi="bn-BD"/>
              </w:rPr>
              <w:t>Type of capital</w:t>
            </w:r>
          </w:p>
        </w:tc>
        <w:tc>
          <w:tcPr>
            <w:tcW w:w="5626" w:type="dxa"/>
          </w:tcPr>
          <w:p w:rsidR="00403A26" w:rsidRPr="00462E35" w:rsidRDefault="00403A26" w:rsidP="00C07065">
            <w:pPr>
              <w:cnfStyle w:val="100000000000" w:firstRow="1"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Inclusive Wealth Report 2018 (IWR 2018)</w:t>
            </w:r>
          </w:p>
        </w:tc>
        <w:tc>
          <w:tcPr>
            <w:tcW w:w="5627" w:type="dxa"/>
          </w:tcPr>
          <w:p w:rsidR="00403A26" w:rsidRPr="00462E35" w:rsidRDefault="00403A26" w:rsidP="00C07065">
            <w:pPr>
              <w:cnfStyle w:val="100000000000" w:firstRow="1"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Changing Wealth of Nations 2018 (CWN 2018)</w:t>
            </w:r>
          </w:p>
        </w:tc>
      </w:tr>
      <w:tr w:rsidR="00462E35" w:rsidRPr="00462E35" w:rsidTr="00C07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rsidR="00403A26" w:rsidRPr="00462E35" w:rsidRDefault="00403A26" w:rsidP="00C07065">
            <w:pPr>
              <w:rPr>
                <w:rFonts w:eastAsia="Yu Mincho" w:cs="Times New Roman"/>
                <w:sz w:val="18"/>
                <w:szCs w:val="16"/>
                <w:lang w:bidi="bn-BD"/>
              </w:rPr>
            </w:pPr>
            <w:r w:rsidRPr="00462E35">
              <w:rPr>
                <w:rFonts w:eastAsia="Yu Mincho" w:cs="Times New Roman"/>
                <w:sz w:val="18"/>
                <w:szCs w:val="16"/>
                <w:lang w:bidi="bn-BD"/>
              </w:rPr>
              <w:t>Produced</w:t>
            </w:r>
          </w:p>
        </w:tc>
        <w:tc>
          <w:tcPr>
            <w:tcW w:w="5626" w:type="dxa"/>
          </w:tcPr>
          <w:p w:rsidR="00403A26" w:rsidRPr="00462E35" w:rsidRDefault="00403A26" w:rsidP="00C07065">
            <w:pPr>
              <w:widowControl w:val="0"/>
              <w:numPr>
                <w:ilvl w:val="0"/>
                <w:numId w:val="17"/>
              </w:numPr>
              <w:jc w:val="both"/>
              <w:cnfStyle w:val="000000100000" w:firstRow="0" w:lastRow="0" w:firstColumn="0" w:lastColumn="0" w:oddVBand="0" w:evenVBand="0" w:oddHBand="1"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based on perpetual inventory method, calculated from investment and the initial stock data based on United Nations Statistics Division (2013a), where the depreciation rate is assumed to be 4%</w:t>
            </w:r>
          </w:p>
        </w:tc>
        <w:tc>
          <w:tcPr>
            <w:tcW w:w="5627" w:type="dxa"/>
          </w:tcPr>
          <w:p w:rsidR="00403A26" w:rsidRPr="00462E35" w:rsidRDefault="00403A26" w:rsidP="00C07065">
            <w:pPr>
              <w:widowControl w:val="0"/>
              <w:numPr>
                <w:ilvl w:val="0"/>
                <w:numId w:val="17"/>
              </w:numPr>
              <w:jc w:val="both"/>
              <w:cnfStyle w:val="000000100000" w:firstRow="0" w:lastRow="0" w:firstColumn="0" w:lastColumn="0" w:oddVBand="0" w:evenVBand="0" w:oddHBand="1"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 xml:space="preserve">based on perpetual inventory method, taken directly from </w:t>
            </w:r>
            <w:proofErr w:type="spellStart"/>
            <w:r w:rsidRPr="00462E35">
              <w:rPr>
                <w:rFonts w:eastAsia="Yu Mincho" w:cs="Times New Roman"/>
                <w:sz w:val="18"/>
                <w:szCs w:val="16"/>
                <w:lang w:bidi="bn-BD"/>
              </w:rPr>
              <w:t>Feenstra</w:t>
            </w:r>
            <w:proofErr w:type="spellEnd"/>
            <w:r w:rsidRPr="00462E35">
              <w:rPr>
                <w:rFonts w:eastAsia="Yu Mincho" w:cs="Times New Roman"/>
                <w:sz w:val="18"/>
                <w:szCs w:val="16"/>
                <w:lang w:bidi="bn-BD"/>
              </w:rPr>
              <w:t xml:space="preserve"> et al. (2015)</w:t>
            </w:r>
          </w:p>
          <w:p w:rsidR="00403A26" w:rsidRPr="00462E35" w:rsidRDefault="00403A26" w:rsidP="00C07065">
            <w:pPr>
              <w:widowControl w:val="0"/>
              <w:numPr>
                <w:ilvl w:val="0"/>
                <w:numId w:val="17"/>
              </w:numPr>
              <w:jc w:val="both"/>
              <w:cnfStyle w:val="000000100000" w:firstRow="0" w:lastRow="0" w:firstColumn="0" w:lastColumn="0" w:oddVBand="0" w:evenVBand="0" w:oddHBand="1"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including urban land, assumed to be 24% of other produced capital</w:t>
            </w:r>
          </w:p>
        </w:tc>
      </w:tr>
      <w:tr w:rsidR="00462E35" w:rsidRPr="00462E35" w:rsidTr="00C07065">
        <w:tc>
          <w:tcPr>
            <w:cnfStyle w:val="001000000000" w:firstRow="0" w:lastRow="0" w:firstColumn="1" w:lastColumn="0" w:oddVBand="0" w:evenVBand="0" w:oddHBand="0" w:evenHBand="0" w:firstRowFirstColumn="0" w:firstRowLastColumn="0" w:lastRowFirstColumn="0" w:lastRowLastColumn="0"/>
            <w:tcW w:w="2002" w:type="dxa"/>
          </w:tcPr>
          <w:p w:rsidR="00403A26" w:rsidRPr="00462E35" w:rsidRDefault="00403A26" w:rsidP="00C07065">
            <w:pPr>
              <w:rPr>
                <w:rFonts w:eastAsia="Yu Mincho" w:cs="Times New Roman"/>
                <w:sz w:val="18"/>
                <w:szCs w:val="16"/>
                <w:lang w:bidi="bn-BD"/>
              </w:rPr>
            </w:pPr>
            <w:r w:rsidRPr="00462E35">
              <w:rPr>
                <w:rFonts w:eastAsia="Yu Mincho" w:cs="Times New Roman"/>
                <w:sz w:val="18"/>
                <w:szCs w:val="16"/>
                <w:lang w:bidi="bn-BD"/>
              </w:rPr>
              <w:t xml:space="preserve">Human: </w:t>
            </w:r>
          </w:p>
          <w:p w:rsidR="00403A26" w:rsidRPr="00462E35" w:rsidRDefault="00403A26" w:rsidP="00C07065">
            <w:pPr>
              <w:rPr>
                <w:rFonts w:eastAsia="Yu Mincho" w:cs="Times New Roman"/>
                <w:sz w:val="18"/>
                <w:szCs w:val="16"/>
                <w:lang w:bidi="bn-BD"/>
              </w:rPr>
            </w:pPr>
            <w:r w:rsidRPr="00462E35">
              <w:rPr>
                <w:rFonts w:eastAsia="Yu Mincho" w:cs="Times New Roman"/>
                <w:sz w:val="18"/>
                <w:szCs w:val="16"/>
                <w:lang w:bidi="bn-BD"/>
              </w:rPr>
              <w:t>Education</w:t>
            </w:r>
          </w:p>
        </w:tc>
        <w:tc>
          <w:tcPr>
            <w:tcW w:w="5626" w:type="dxa"/>
          </w:tcPr>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Stock: based on the educational attainment (</w:t>
            </w:r>
            <w:proofErr w:type="spellStart"/>
            <w:r w:rsidRPr="00462E35">
              <w:rPr>
                <w:rFonts w:eastAsia="Yu Mincho" w:cs="Times New Roman"/>
                <w:sz w:val="18"/>
                <w:szCs w:val="16"/>
                <w:lang w:bidi="bn-BD"/>
              </w:rPr>
              <w:t>Barro</w:t>
            </w:r>
            <w:proofErr w:type="spellEnd"/>
            <w:r w:rsidRPr="00462E35">
              <w:rPr>
                <w:rFonts w:eastAsia="Yu Mincho" w:cs="Times New Roman"/>
                <w:sz w:val="18"/>
                <w:szCs w:val="16"/>
                <w:lang w:bidi="bn-BD"/>
              </w:rPr>
              <w:t xml:space="preserve"> and Lee 2015), the rate of return on education (8.5%), and the number of people equal to or over 5 years old who have received education</w:t>
            </w:r>
          </w:p>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Shadow price: PV of the average compensation to employees (assumed to be constant) for the expected working years</w:t>
            </w:r>
          </w:p>
        </w:tc>
        <w:tc>
          <w:tcPr>
            <w:tcW w:w="5627" w:type="dxa"/>
          </w:tcPr>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PV of lifetime earnings of two population subgroups, those ages 25–65 years (assumed to have finished schooling) and those ages 15–24 years, who have some probability of still being in school</w:t>
            </w:r>
          </w:p>
        </w:tc>
      </w:tr>
      <w:tr w:rsidR="00462E35" w:rsidRPr="00462E35" w:rsidTr="00C07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rsidR="00403A26" w:rsidRPr="00462E35" w:rsidRDefault="00403A26" w:rsidP="00C07065">
            <w:pPr>
              <w:rPr>
                <w:rFonts w:eastAsia="Yu Mincho" w:cs="Times New Roman"/>
                <w:sz w:val="18"/>
                <w:szCs w:val="16"/>
                <w:lang w:bidi="bn-BD"/>
              </w:rPr>
            </w:pPr>
            <w:r w:rsidRPr="00462E35">
              <w:rPr>
                <w:rFonts w:eastAsia="Yu Mincho" w:cs="Times New Roman"/>
                <w:sz w:val="18"/>
                <w:szCs w:val="16"/>
                <w:lang w:bidi="bn-BD"/>
              </w:rPr>
              <w:t>Natural – Non-renewable: Fossil fuels and minerals</w:t>
            </w:r>
          </w:p>
        </w:tc>
        <w:tc>
          <w:tcPr>
            <w:tcW w:w="5626" w:type="dxa"/>
          </w:tcPr>
          <w:p w:rsidR="00403A26" w:rsidRPr="00462E35" w:rsidRDefault="00403A26" w:rsidP="00C07065">
            <w:pPr>
              <w:widowControl w:val="0"/>
              <w:numPr>
                <w:ilvl w:val="0"/>
                <w:numId w:val="17"/>
              </w:numPr>
              <w:jc w:val="both"/>
              <w:cnfStyle w:val="000000100000" w:firstRow="0" w:lastRow="0" w:firstColumn="0" w:lastColumn="0" w:oddVBand="0" w:evenVBand="0" w:oddHBand="1"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Stock: based on reserve and extraction data of BP (2015) and U.S. Geological Survey (2015)</w:t>
            </w:r>
          </w:p>
          <w:p w:rsidR="00403A26" w:rsidRPr="00462E35" w:rsidRDefault="00403A26" w:rsidP="00C07065">
            <w:pPr>
              <w:widowControl w:val="0"/>
              <w:numPr>
                <w:ilvl w:val="0"/>
                <w:numId w:val="17"/>
              </w:numPr>
              <w:jc w:val="both"/>
              <w:cnfStyle w:val="000000100000" w:firstRow="0" w:lastRow="0" w:firstColumn="0" w:lastColumn="0" w:oddVBand="0" w:evenVBand="0" w:oddHBand="1" w:evenHBand="0" w:firstRowFirstColumn="0" w:firstRowLastColumn="0" w:lastRowFirstColumn="0" w:lastRowLastColumn="0"/>
              <w:rPr>
                <w:rFonts w:eastAsia="Yu Mincho" w:cs="Times New Roman"/>
                <w:kern w:val="0"/>
                <w:sz w:val="18"/>
                <w:szCs w:val="16"/>
                <w:lang w:bidi="bn-BD"/>
              </w:rPr>
            </w:pPr>
            <w:r w:rsidRPr="00462E35">
              <w:rPr>
                <w:rFonts w:eastAsia="Yu Mincho" w:cs="Times New Roman"/>
                <w:sz w:val="18"/>
                <w:szCs w:val="16"/>
                <w:lang w:bidi="bn-BD"/>
              </w:rPr>
              <w:t>Shadow price: rental price, based on market price of BP (2015) and U.S. Geological Survey (2015) and rental rates of Narayanan et al. (2012)</w:t>
            </w:r>
          </w:p>
        </w:tc>
        <w:tc>
          <w:tcPr>
            <w:tcW w:w="5627" w:type="dxa"/>
          </w:tcPr>
          <w:p w:rsidR="00403A26" w:rsidRPr="00462E35" w:rsidRDefault="00403A26" w:rsidP="00C07065">
            <w:pPr>
              <w:widowControl w:val="0"/>
              <w:numPr>
                <w:ilvl w:val="0"/>
                <w:numId w:val="17"/>
              </w:numPr>
              <w:jc w:val="both"/>
              <w:cnfStyle w:val="000000100000" w:firstRow="0" w:lastRow="0" w:firstColumn="0" w:lastColumn="0" w:oddVBand="0" w:evenVBand="0" w:oddHBand="1" w:evenHBand="0" w:firstRowFirstColumn="0" w:firstRowLastColumn="0" w:lastRowFirstColumn="0" w:lastRowLastColumn="0"/>
              <w:rPr>
                <w:rFonts w:eastAsia="Yu Mincho" w:cs="Times New Roman"/>
                <w:kern w:val="0"/>
                <w:sz w:val="18"/>
                <w:szCs w:val="16"/>
                <w:lang w:bidi="bn-BD"/>
              </w:rPr>
            </w:pPr>
            <w:r w:rsidRPr="00462E35">
              <w:rPr>
                <w:rFonts w:eastAsia="Yu Mincho" w:cs="Times New Roman"/>
                <w:sz w:val="18"/>
                <w:szCs w:val="16"/>
                <w:lang w:bidi="bn-BD"/>
              </w:rPr>
              <w:t>PV of rents that could be obtained over the lifetime of the resource, based on various sources</w:t>
            </w:r>
          </w:p>
        </w:tc>
      </w:tr>
      <w:tr w:rsidR="00462E35" w:rsidRPr="00462E35" w:rsidTr="00C07065">
        <w:tc>
          <w:tcPr>
            <w:cnfStyle w:val="001000000000" w:firstRow="0" w:lastRow="0" w:firstColumn="1" w:lastColumn="0" w:oddVBand="0" w:evenVBand="0" w:oddHBand="0" w:evenHBand="0" w:firstRowFirstColumn="0" w:firstRowLastColumn="0" w:lastRowFirstColumn="0" w:lastRowLastColumn="0"/>
            <w:tcW w:w="2002" w:type="dxa"/>
          </w:tcPr>
          <w:p w:rsidR="00403A26" w:rsidRPr="00462E35" w:rsidRDefault="00403A26" w:rsidP="00C07065">
            <w:pPr>
              <w:rPr>
                <w:rFonts w:eastAsia="Yu Mincho" w:cs="Times New Roman"/>
                <w:sz w:val="18"/>
                <w:szCs w:val="16"/>
                <w:lang w:bidi="bn-BD"/>
              </w:rPr>
            </w:pPr>
            <w:r w:rsidRPr="00462E35">
              <w:rPr>
                <w:rFonts w:eastAsia="Yu Mincho" w:cs="Times New Roman"/>
                <w:sz w:val="18"/>
                <w:szCs w:val="16"/>
                <w:lang w:bidi="bn-BD"/>
              </w:rPr>
              <w:t>Natural – Renewable</w:t>
            </w:r>
          </w:p>
        </w:tc>
        <w:tc>
          <w:tcPr>
            <w:tcW w:w="5626" w:type="dxa"/>
          </w:tcPr>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Timber</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PV of production (FAOSTAT) * rental price (market price of FAOSTAT * rental rate of Bolt et al. (2002)</w:t>
            </w:r>
          </w:p>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 xml:space="preserve">Non-timber forest benefits: </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Stock: total forest area (FAO Global Forest Resources Assessment)</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 xml:space="preserve">Shadow price: PV of per-hectare values based on van der </w:t>
            </w:r>
            <w:proofErr w:type="spellStart"/>
            <w:r w:rsidRPr="00462E35">
              <w:rPr>
                <w:rFonts w:eastAsia="Yu Mincho" w:cs="Times New Roman"/>
                <w:sz w:val="18"/>
                <w:szCs w:val="16"/>
                <w:lang w:bidi="bn-BD"/>
              </w:rPr>
              <w:t>Ploeg</w:t>
            </w:r>
            <w:proofErr w:type="spellEnd"/>
            <w:r w:rsidRPr="00462E35">
              <w:rPr>
                <w:rFonts w:eastAsia="Yu Mincho" w:cs="Times New Roman"/>
                <w:sz w:val="18"/>
                <w:szCs w:val="16"/>
                <w:lang w:bidi="bn-BD"/>
              </w:rPr>
              <w:t xml:space="preserve"> and de Groot (2010) </w:t>
            </w:r>
          </w:p>
          <w:p w:rsidR="00403A26" w:rsidRPr="00462E35" w:rsidRDefault="00403A26" w:rsidP="00C07065">
            <w:pPr>
              <w:ind w:left="360"/>
              <w:cnfStyle w:val="000000000000" w:firstRow="0" w:lastRow="0" w:firstColumn="0" w:lastColumn="0" w:oddVBand="0" w:evenVBand="0" w:oddHBand="0" w:evenHBand="0" w:firstRowFirstColumn="0" w:firstRowLastColumn="0" w:lastRowFirstColumn="0" w:lastRowLastColumn="0"/>
              <w:rPr>
                <w:rFonts w:eastAsia="Yu Mincho" w:cs="Times New Roman"/>
                <w:kern w:val="0"/>
                <w:sz w:val="18"/>
                <w:szCs w:val="16"/>
                <w:lang w:bidi="bn-BD"/>
              </w:rPr>
            </w:pPr>
          </w:p>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kern w:val="0"/>
                <w:sz w:val="18"/>
                <w:szCs w:val="16"/>
                <w:lang w:bidi="bn-BD"/>
              </w:rPr>
            </w:pPr>
            <w:r w:rsidRPr="00462E35">
              <w:rPr>
                <w:rFonts w:eastAsia="Yu Mincho" w:cs="Times New Roman"/>
                <w:sz w:val="18"/>
                <w:szCs w:val="16"/>
                <w:lang w:bidi="bn-BD"/>
              </w:rPr>
              <w:t>Agricultural land</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kern w:val="0"/>
                <w:sz w:val="18"/>
                <w:szCs w:val="16"/>
                <w:lang w:bidi="bn-BD"/>
              </w:rPr>
            </w:pPr>
            <w:r w:rsidRPr="00462E35">
              <w:rPr>
                <w:rFonts w:eastAsia="Yu Mincho" w:cs="Times New Roman"/>
                <w:sz w:val="18"/>
                <w:szCs w:val="16"/>
                <w:lang w:bidi="bn-BD"/>
              </w:rPr>
              <w:t>Stock: cropland and pastureland</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kern w:val="0"/>
                <w:sz w:val="18"/>
                <w:szCs w:val="16"/>
                <w:lang w:bidi="bn-BD"/>
              </w:rPr>
            </w:pPr>
            <w:r w:rsidRPr="00462E35">
              <w:rPr>
                <w:rFonts w:eastAsia="Yu Mincho" w:cs="Times New Roman"/>
                <w:sz w:val="18"/>
                <w:szCs w:val="16"/>
                <w:lang w:bidi="bn-BD"/>
              </w:rPr>
              <w:t>Shadow price: PV of rental price (market price * rental rates of Narayanan et al. (2012))</w:t>
            </w:r>
          </w:p>
          <w:p w:rsidR="00403A26" w:rsidRPr="00462E35" w:rsidRDefault="00403A26" w:rsidP="00C07065">
            <w:pPr>
              <w:ind w:left="360"/>
              <w:cnfStyle w:val="000000000000" w:firstRow="0" w:lastRow="0" w:firstColumn="0" w:lastColumn="0" w:oddVBand="0" w:evenVBand="0" w:oddHBand="0" w:evenHBand="0" w:firstRowFirstColumn="0" w:firstRowLastColumn="0" w:lastRowFirstColumn="0" w:lastRowLastColumn="0"/>
              <w:rPr>
                <w:rFonts w:eastAsia="Yu Mincho" w:cs="Times New Roman"/>
                <w:kern w:val="0"/>
                <w:sz w:val="18"/>
                <w:szCs w:val="16"/>
                <w:lang w:bidi="bn-BD"/>
              </w:rPr>
            </w:pPr>
          </w:p>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kern w:val="0"/>
                <w:sz w:val="18"/>
                <w:szCs w:val="16"/>
                <w:lang w:bidi="bn-BD"/>
              </w:rPr>
            </w:pPr>
            <w:r w:rsidRPr="00462E35">
              <w:rPr>
                <w:rFonts w:eastAsia="Yu Mincho" w:cs="Times New Roman"/>
                <w:sz w:val="18"/>
                <w:szCs w:val="16"/>
                <w:lang w:bidi="bn-BD"/>
              </w:rPr>
              <w:t>Fisheries</w:t>
            </w:r>
          </w:p>
        </w:tc>
        <w:tc>
          <w:tcPr>
            <w:tcW w:w="5627" w:type="dxa"/>
          </w:tcPr>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Timber</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 xml:space="preserve">PV of Production (FAOSTAT) * rental price (market price of FAOSTAT * rental rate of Applied </w:t>
            </w:r>
            <w:proofErr w:type="spellStart"/>
            <w:r w:rsidRPr="00462E35">
              <w:rPr>
                <w:rFonts w:eastAsia="Yu Mincho" w:cs="Times New Roman"/>
                <w:sz w:val="18"/>
                <w:szCs w:val="16"/>
                <w:lang w:bidi="bn-BD"/>
              </w:rPr>
              <w:t>Geosolutions</w:t>
            </w:r>
            <w:proofErr w:type="spellEnd"/>
            <w:r w:rsidRPr="00462E35">
              <w:rPr>
                <w:rFonts w:eastAsia="Yu Mincho" w:cs="Times New Roman"/>
                <w:sz w:val="18"/>
                <w:szCs w:val="16"/>
                <w:lang w:bidi="bn-BD"/>
              </w:rPr>
              <w:t xml:space="preserve"> 2015)</w:t>
            </w:r>
          </w:p>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 xml:space="preserve">Non-timber forest services: </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Stock: total forest area (FAO Global Forest Resources Assessment)</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 xml:space="preserve">Shadow price: PV of per-hectare values based on </w:t>
            </w:r>
            <w:proofErr w:type="spellStart"/>
            <w:r w:rsidRPr="00462E35">
              <w:rPr>
                <w:rFonts w:eastAsia="Yu Mincho" w:cs="Times New Roman"/>
                <w:sz w:val="18"/>
                <w:szCs w:val="16"/>
                <w:lang w:bidi="bn-BD"/>
              </w:rPr>
              <w:t>Siikamäki</w:t>
            </w:r>
            <w:proofErr w:type="spellEnd"/>
            <w:r w:rsidRPr="00462E35">
              <w:rPr>
                <w:rFonts w:eastAsia="Yu Mincho" w:cs="Times New Roman"/>
                <w:sz w:val="18"/>
                <w:szCs w:val="16"/>
                <w:lang w:bidi="bn-BD"/>
              </w:rPr>
              <w:t xml:space="preserve"> et al. (2015)</w:t>
            </w:r>
          </w:p>
          <w:p w:rsidR="00403A26" w:rsidRPr="00462E35" w:rsidRDefault="00403A26" w:rsidP="00C07065">
            <w:pPr>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p>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kern w:val="0"/>
                <w:sz w:val="18"/>
                <w:szCs w:val="16"/>
                <w:lang w:bidi="bn-BD"/>
              </w:rPr>
            </w:pPr>
            <w:r w:rsidRPr="00462E35">
              <w:rPr>
                <w:rFonts w:eastAsia="Yu Mincho" w:cs="Times New Roman"/>
                <w:sz w:val="18"/>
                <w:szCs w:val="16"/>
                <w:lang w:bidi="bn-BD"/>
              </w:rPr>
              <w:t>Agricultural land</w:t>
            </w:r>
            <w:r w:rsidRPr="00462E35">
              <w:rPr>
                <w:rFonts w:eastAsia="Yu Mincho" w:cs="Times New Roman"/>
                <w:kern w:val="0"/>
                <w:sz w:val="18"/>
                <w:szCs w:val="16"/>
                <w:lang w:bidi="bn-BD"/>
              </w:rPr>
              <w:t xml:space="preserve"> </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Stock: cropland and pastureland</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 xml:space="preserve">Shadow price: PV of rental price (market price * rental rates of </w:t>
            </w:r>
            <w:proofErr w:type="spellStart"/>
            <w:r w:rsidRPr="00462E35">
              <w:rPr>
                <w:rFonts w:eastAsia="Yu Mincho" w:cs="Times New Roman"/>
                <w:sz w:val="18"/>
                <w:szCs w:val="16"/>
                <w:lang w:bidi="bn-BD"/>
              </w:rPr>
              <w:t>Evenson</w:t>
            </w:r>
            <w:proofErr w:type="spellEnd"/>
            <w:r w:rsidRPr="00462E35">
              <w:rPr>
                <w:rFonts w:eastAsia="Yu Mincho" w:cs="Times New Roman"/>
                <w:sz w:val="18"/>
                <w:szCs w:val="16"/>
                <w:lang w:bidi="bn-BD"/>
              </w:rPr>
              <w:t xml:space="preserve"> and </w:t>
            </w:r>
            <w:proofErr w:type="spellStart"/>
            <w:r w:rsidRPr="00462E35">
              <w:rPr>
                <w:rFonts w:eastAsia="Yu Mincho" w:cs="Times New Roman"/>
                <w:sz w:val="18"/>
                <w:szCs w:val="16"/>
                <w:lang w:bidi="bn-BD"/>
              </w:rPr>
              <w:t>Fuglie</w:t>
            </w:r>
            <w:proofErr w:type="spellEnd"/>
            <w:r w:rsidRPr="00462E35">
              <w:rPr>
                <w:rFonts w:eastAsia="Yu Mincho" w:cs="Times New Roman"/>
                <w:sz w:val="18"/>
                <w:szCs w:val="16"/>
                <w:lang w:bidi="bn-BD"/>
              </w:rPr>
              <w:t xml:space="preserve"> (2010))</w:t>
            </w:r>
          </w:p>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Protected areas</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Stock: protected area</w:t>
            </w:r>
          </w:p>
          <w:p w:rsidR="00403A26" w:rsidRPr="00462E35" w:rsidRDefault="00403A26" w:rsidP="00C07065">
            <w:pPr>
              <w:widowControl w:val="0"/>
              <w:numPr>
                <w:ilvl w:val="1"/>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 xml:space="preserve">Shadow price: PV of minimum of total rents per square kilometer of cropland and total rents per square kilometer of </w:t>
            </w:r>
            <w:r w:rsidRPr="00462E35">
              <w:rPr>
                <w:rFonts w:eastAsia="Yu Mincho" w:cs="Times New Roman"/>
                <w:sz w:val="18"/>
                <w:szCs w:val="16"/>
                <w:lang w:bidi="bn-BD"/>
              </w:rPr>
              <w:lastRenderedPageBreak/>
              <w:t>pastureland, averaged over a five-year period from year t to year t−4</w:t>
            </w:r>
          </w:p>
        </w:tc>
      </w:tr>
      <w:tr w:rsidR="00462E35" w:rsidRPr="00462E35" w:rsidTr="00C07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2" w:type="dxa"/>
          </w:tcPr>
          <w:p w:rsidR="00403A26" w:rsidRPr="00462E35" w:rsidRDefault="00403A26" w:rsidP="00C07065">
            <w:pPr>
              <w:rPr>
                <w:rFonts w:eastAsia="Yu Mincho" w:cs="Times New Roman"/>
                <w:sz w:val="18"/>
                <w:szCs w:val="16"/>
                <w:lang w:bidi="bn-BD"/>
              </w:rPr>
            </w:pPr>
            <w:r w:rsidRPr="00462E35">
              <w:rPr>
                <w:rFonts w:eastAsia="Yu Mincho" w:cs="Times New Roman"/>
                <w:sz w:val="18"/>
                <w:szCs w:val="16"/>
                <w:lang w:bidi="bn-BD"/>
              </w:rPr>
              <w:lastRenderedPageBreak/>
              <w:t>Financial</w:t>
            </w:r>
          </w:p>
        </w:tc>
        <w:tc>
          <w:tcPr>
            <w:tcW w:w="5626" w:type="dxa"/>
          </w:tcPr>
          <w:p w:rsidR="00403A26" w:rsidRPr="00462E35" w:rsidRDefault="00403A26" w:rsidP="00C07065">
            <w:pPr>
              <w:cnfStyle w:val="000000100000" w:firstRow="0" w:lastRow="0" w:firstColumn="0" w:lastColumn="0" w:oddVBand="0" w:evenVBand="0" w:oddHBand="1"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N.A.</w:t>
            </w:r>
          </w:p>
        </w:tc>
        <w:tc>
          <w:tcPr>
            <w:tcW w:w="5627" w:type="dxa"/>
          </w:tcPr>
          <w:p w:rsidR="00403A26" w:rsidRPr="00462E35" w:rsidRDefault="00403A26" w:rsidP="00C07065">
            <w:pPr>
              <w:widowControl w:val="0"/>
              <w:numPr>
                <w:ilvl w:val="0"/>
                <w:numId w:val="17"/>
              </w:numPr>
              <w:jc w:val="both"/>
              <w:cnfStyle w:val="000000100000" w:firstRow="0" w:lastRow="0" w:firstColumn="0" w:lastColumn="0" w:oddVBand="0" w:evenVBand="0" w:oddHBand="1"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 xml:space="preserve">Net foreign assets based on Lane and </w:t>
            </w:r>
            <w:proofErr w:type="spellStart"/>
            <w:r w:rsidRPr="00462E35">
              <w:rPr>
                <w:rFonts w:eastAsia="Yu Mincho" w:cs="Times New Roman"/>
                <w:sz w:val="18"/>
                <w:szCs w:val="16"/>
                <w:lang w:bidi="bn-BD"/>
              </w:rPr>
              <w:t>Milesi</w:t>
            </w:r>
            <w:proofErr w:type="spellEnd"/>
            <w:r w:rsidRPr="00462E35">
              <w:rPr>
                <w:rFonts w:eastAsia="Yu Mincho" w:cs="Times New Roman"/>
                <w:sz w:val="18"/>
                <w:szCs w:val="16"/>
                <w:lang w:bidi="bn-BD"/>
              </w:rPr>
              <w:t>-Ferretti’s (2007) database</w:t>
            </w:r>
          </w:p>
        </w:tc>
      </w:tr>
      <w:tr w:rsidR="00462E35" w:rsidRPr="00462E35" w:rsidTr="00C07065">
        <w:tc>
          <w:tcPr>
            <w:cnfStyle w:val="001000000000" w:firstRow="0" w:lastRow="0" w:firstColumn="1" w:lastColumn="0" w:oddVBand="0" w:evenVBand="0" w:oddHBand="0" w:evenHBand="0" w:firstRowFirstColumn="0" w:firstRowLastColumn="0" w:lastRowFirstColumn="0" w:lastRowLastColumn="0"/>
            <w:tcW w:w="2002" w:type="dxa"/>
          </w:tcPr>
          <w:p w:rsidR="00403A26" w:rsidRPr="00462E35" w:rsidRDefault="00403A26" w:rsidP="00C07065">
            <w:pPr>
              <w:rPr>
                <w:rFonts w:eastAsia="Yu Mincho" w:cs="Times New Roman"/>
                <w:sz w:val="18"/>
                <w:szCs w:val="16"/>
                <w:lang w:bidi="bn-BD"/>
              </w:rPr>
            </w:pPr>
            <w:r w:rsidRPr="00462E35">
              <w:rPr>
                <w:rFonts w:eastAsia="Yu Mincho" w:cs="Times New Roman"/>
                <w:sz w:val="18"/>
                <w:szCs w:val="16"/>
                <w:lang w:bidi="bn-BD"/>
              </w:rPr>
              <w:t>Adjustment</w:t>
            </w:r>
          </w:p>
        </w:tc>
        <w:tc>
          <w:tcPr>
            <w:tcW w:w="5626" w:type="dxa"/>
          </w:tcPr>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Carbon damage</w:t>
            </w:r>
          </w:p>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Oil capital gains</w:t>
            </w:r>
          </w:p>
          <w:p w:rsidR="00403A26" w:rsidRPr="00462E35" w:rsidRDefault="00403A26" w:rsidP="00C07065">
            <w:pPr>
              <w:widowControl w:val="0"/>
              <w:numPr>
                <w:ilvl w:val="0"/>
                <w:numId w:val="17"/>
              </w:numPr>
              <w:jc w:val="both"/>
              <w:cnfStyle w:val="000000000000" w:firstRow="0" w:lastRow="0" w:firstColumn="0" w:lastColumn="0" w:oddVBand="0" w:evenVBand="0" w:oddHBand="0" w:evenHBand="0" w:firstRowFirstColumn="0" w:firstRowLastColumn="0" w:lastRowFirstColumn="0" w:lastRowLastColumn="0"/>
              <w:rPr>
                <w:rFonts w:eastAsia="Yu Mincho" w:cs="Times New Roman"/>
                <w:kern w:val="0"/>
                <w:sz w:val="18"/>
                <w:szCs w:val="16"/>
                <w:lang w:bidi="bn-BD"/>
              </w:rPr>
            </w:pPr>
            <w:r w:rsidRPr="00462E35">
              <w:rPr>
                <w:rFonts w:eastAsia="Yu Mincho" w:cs="Times New Roman"/>
                <w:sz w:val="18"/>
                <w:szCs w:val="16"/>
                <w:lang w:bidi="bn-BD"/>
              </w:rPr>
              <w:t>T</w:t>
            </w:r>
            <w:r w:rsidRPr="00462E35">
              <w:rPr>
                <w:rFonts w:eastAsia="Yu Mincho" w:cs="Times New Roman"/>
                <w:kern w:val="0"/>
                <w:sz w:val="18"/>
                <w:szCs w:val="16"/>
                <w:lang w:bidi="bn-BD"/>
              </w:rPr>
              <w:t>otal factor productivity</w:t>
            </w:r>
          </w:p>
        </w:tc>
        <w:tc>
          <w:tcPr>
            <w:tcW w:w="5627" w:type="dxa"/>
          </w:tcPr>
          <w:p w:rsidR="00403A26" w:rsidRPr="00462E35" w:rsidRDefault="00403A26" w:rsidP="00C07065">
            <w:pPr>
              <w:cnfStyle w:val="000000000000" w:firstRow="0" w:lastRow="0" w:firstColumn="0" w:lastColumn="0" w:oddVBand="0" w:evenVBand="0" w:oddHBand="0" w:evenHBand="0" w:firstRowFirstColumn="0" w:firstRowLastColumn="0" w:lastRowFirstColumn="0" w:lastRowLastColumn="0"/>
              <w:rPr>
                <w:rFonts w:eastAsia="Yu Mincho" w:cs="Times New Roman"/>
                <w:sz w:val="18"/>
                <w:szCs w:val="16"/>
                <w:lang w:bidi="bn-BD"/>
              </w:rPr>
            </w:pPr>
            <w:r w:rsidRPr="00462E35">
              <w:rPr>
                <w:rFonts w:eastAsia="Yu Mincho" w:cs="Times New Roman"/>
                <w:sz w:val="18"/>
                <w:szCs w:val="16"/>
                <w:lang w:bidi="bn-BD"/>
              </w:rPr>
              <w:t>N.A. (Capital gains of non-renewable resources are embodied in wealth)</w:t>
            </w:r>
          </w:p>
        </w:tc>
      </w:tr>
    </w:tbl>
    <w:p w:rsidR="00403A26" w:rsidRPr="00462E35" w:rsidRDefault="00403A26" w:rsidP="00403A26">
      <w:pPr>
        <w:rPr>
          <w:rFonts w:eastAsia="Yu Mincho" w:cs="Times New Roman"/>
          <w:sz w:val="16"/>
          <w:szCs w:val="16"/>
          <w:lang w:bidi="bn-BD"/>
        </w:rPr>
      </w:pPr>
    </w:p>
    <w:p w:rsidR="00403A26" w:rsidRPr="00462E35" w:rsidRDefault="00403A26" w:rsidP="00403A26">
      <w:pPr>
        <w:rPr>
          <w:rFonts w:eastAsia="Yu Mincho" w:cs="Times New Roman"/>
          <w:sz w:val="16"/>
          <w:szCs w:val="16"/>
          <w:lang w:bidi="bn-BD"/>
        </w:rPr>
      </w:pPr>
      <w:r w:rsidRPr="00462E35">
        <w:rPr>
          <w:rFonts w:eastAsia="Yu Mincho" w:cs="Times New Roman"/>
          <w:sz w:val="16"/>
          <w:szCs w:val="16"/>
          <w:lang w:bidi="bn-BD"/>
        </w:rPr>
        <w:t>Note: PV stands for the present discounted value, with a discount rate of 4 or 5 percent.</w:t>
      </w:r>
    </w:p>
    <w:p w:rsidR="00403A26" w:rsidRPr="00462E35" w:rsidRDefault="00403A26" w:rsidP="00403A26">
      <w:pPr>
        <w:spacing w:after="160" w:line="259" w:lineRule="auto"/>
        <w:rPr>
          <w:rFonts w:cs="Times New Roman"/>
          <w:szCs w:val="21"/>
        </w:rPr>
      </w:pPr>
      <w:r w:rsidRPr="00462E35">
        <w:rPr>
          <w:rFonts w:cs="Times New Roman"/>
          <w:szCs w:val="21"/>
        </w:rPr>
        <w:br w:type="page"/>
      </w:r>
    </w:p>
    <w:p w:rsidR="00403A26" w:rsidRPr="00462E35" w:rsidRDefault="00403A26" w:rsidP="00403A26">
      <w:pPr>
        <w:pStyle w:val="Heading1"/>
        <w:numPr>
          <w:ilvl w:val="0"/>
          <w:numId w:val="0"/>
        </w:numPr>
        <w:ind w:left="720"/>
        <w:sectPr w:rsidR="00403A26" w:rsidRPr="00462E35">
          <w:footerReference w:type="default" r:id="rId15"/>
          <w:pgSz w:w="15840" w:h="12240" w:orient="landscape" w:code="1"/>
          <w:pgMar w:top="1440" w:right="1440" w:bottom="1440" w:left="1440" w:header="720" w:footer="720" w:gutter="0"/>
          <w:cols w:space="720"/>
          <w:docGrid w:linePitch="360"/>
        </w:sectPr>
      </w:pPr>
    </w:p>
    <w:p w:rsidR="00403A26" w:rsidRPr="00462E35" w:rsidRDefault="00403A26" w:rsidP="00403A26">
      <w:pPr>
        <w:pStyle w:val="Heading1"/>
        <w:numPr>
          <w:ilvl w:val="0"/>
          <w:numId w:val="0"/>
        </w:numPr>
        <w:ind w:left="720"/>
      </w:pPr>
      <w:r w:rsidRPr="00462E35">
        <w:lastRenderedPageBreak/>
        <w:t>References to the Supplementary material</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Arrow, K., </w:t>
      </w:r>
      <w:proofErr w:type="spellStart"/>
      <w:r w:rsidRPr="00462E35">
        <w:rPr>
          <w:rFonts w:cs="Times New Roman"/>
          <w:szCs w:val="21"/>
        </w:rPr>
        <w:t>Dasgupta</w:t>
      </w:r>
      <w:proofErr w:type="spellEnd"/>
      <w:r w:rsidRPr="00462E35">
        <w:rPr>
          <w:rFonts w:cs="Times New Roman"/>
          <w:szCs w:val="21"/>
        </w:rPr>
        <w:t xml:space="preserve">, P., </w:t>
      </w:r>
      <w:proofErr w:type="spellStart"/>
      <w:r w:rsidRPr="00462E35">
        <w:rPr>
          <w:rFonts w:cs="Times New Roman"/>
          <w:szCs w:val="21"/>
        </w:rPr>
        <w:t>Goulder</w:t>
      </w:r>
      <w:proofErr w:type="spellEnd"/>
      <w:r w:rsidRPr="00462E35">
        <w:rPr>
          <w:rFonts w:cs="Times New Roman"/>
          <w:szCs w:val="21"/>
        </w:rPr>
        <w:t>, L., Daily, G., Ehrlich, P., Heal, G., ... &amp; Walker, B. (2004). Are we consuming too much?. </w:t>
      </w:r>
      <w:r w:rsidRPr="00462E35">
        <w:rPr>
          <w:rFonts w:cs="Times New Roman"/>
          <w:i/>
          <w:iCs/>
          <w:szCs w:val="21"/>
        </w:rPr>
        <w:t>The Journal of Economic Perspectives</w:t>
      </w:r>
      <w:r w:rsidRPr="00462E35">
        <w:rPr>
          <w:rFonts w:cs="Times New Roman"/>
          <w:szCs w:val="21"/>
        </w:rPr>
        <w:t>, </w:t>
      </w:r>
      <w:r w:rsidRPr="00462E35">
        <w:rPr>
          <w:rFonts w:cs="Times New Roman"/>
          <w:i/>
          <w:iCs/>
          <w:szCs w:val="21"/>
        </w:rPr>
        <w:t>18</w:t>
      </w:r>
      <w:r w:rsidRPr="00462E35">
        <w:rPr>
          <w:rFonts w:cs="Times New Roman"/>
          <w:szCs w:val="21"/>
        </w:rPr>
        <w:t xml:space="preserve">(3), 147-172. </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Arrow, K. J., </w:t>
      </w:r>
      <w:proofErr w:type="spellStart"/>
      <w:r w:rsidRPr="00462E35">
        <w:rPr>
          <w:rFonts w:cs="Times New Roman"/>
          <w:szCs w:val="21"/>
        </w:rPr>
        <w:t>Dasgupta</w:t>
      </w:r>
      <w:proofErr w:type="spellEnd"/>
      <w:r w:rsidRPr="00462E35">
        <w:rPr>
          <w:rFonts w:cs="Times New Roman"/>
          <w:szCs w:val="21"/>
        </w:rPr>
        <w:t xml:space="preserve">, P., </w:t>
      </w:r>
      <w:proofErr w:type="spellStart"/>
      <w:r w:rsidRPr="00462E35">
        <w:rPr>
          <w:rFonts w:cs="Times New Roman"/>
          <w:szCs w:val="21"/>
        </w:rPr>
        <w:t>Goulder</w:t>
      </w:r>
      <w:proofErr w:type="spellEnd"/>
      <w:r w:rsidRPr="00462E35">
        <w:rPr>
          <w:rFonts w:cs="Times New Roman"/>
          <w:szCs w:val="21"/>
        </w:rPr>
        <w:t xml:space="preserve">, L. H., Mumford, K. J., &amp; </w:t>
      </w:r>
      <w:proofErr w:type="spellStart"/>
      <w:r w:rsidRPr="00462E35">
        <w:rPr>
          <w:rFonts w:cs="Times New Roman"/>
          <w:szCs w:val="21"/>
        </w:rPr>
        <w:t>Oleson</w:t>
      </w:r>
      <w:proofErr w:type="spellEnd"/>
      <w:r w:rsidRPr="00462E35">
        <w:rPr>
          <w:rFonts w:cs="Times New Roman"/>
          <w:szCs w:val="21"/>
        </w:rPr>
        <w:t>, K. (2012). Sustainability and the measurement of wealth. </w:t>
      </w:r>
      <w:r w:rsidRPr="00462E35">
        <w:rPr>
          <w:rFonts w:cs="Times New Roman"/>
          <w:i/>
          <w:iCs/>
          <w:szCs w:val="21"/>
        </w:rPr>
        <w:t>Environment and Development Economics</w:t>
      </w:r>
      <w:r w:rsidRPr="00462E35">
        <w:rPr>
          <w:rFonts w:cs="Times New Roman"/>
          <w:szCs w:val="21"/>
        </w:rPr>
        <w:t>, </w:t>
      </w:r>
      <w:r w:rsidRPr="00462E35">
        <w:rPr>
          <w:rFonts w:cs="Times New Roman"/>
          <w:i/>
          <w:iCs/>
          <w:szCs w:val="21"/>
        </w:rPr>
        <w:t>17</w:t>
      </w:r>
      <w:r w:rsidRPr="00462E35">
        <w:rPr>
          <w:rFonts w:cs="Times New Roman"/>
          <w:szCs w:val="21"/>
        </w:rPr>
        <w:t>(3), 317-353.</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t>Asheim</w:t>
      </w:r>
      <w:proofErr w:type="spellEnd"/>
      <w:r w:rsidRPr="00462E35">
        <w:rPr>
          <w:rFonts w:cs="Times New Roman"/>
          <w:szCs w:val="21"/>
        </w:rPr>
        <w:t xml:space="preserve">, G. B., &amp; Weitzman, M. L. (2001). Does NNP growth indicate welfare improvement?. </w:t>
      </w:r>
      <w:r w:rsidRPr="00462E35">
        <w:rPr>
          <w:rFonts w:cs="Times New Roman"/>
          <w:i/>
          <w:iCs/>
          <w:szCs w:val="21"/>
        </w:rPr>
        <w:t>Economics Letters</w:t>
      </w:r>
      <w:r w:rsidRPr="00462E35">
        <w:rPr>
          <w:rFonts w:cs="Times New Roman"/>
          <w:szCs w:val="21"/>
        </w:rPr>
        <w:t xml:space="preserve">, </w:t>
      </w:r>
      <w:r w:rsidRPr="00462E35">
        <w:rPr>
          <w:rFonts w:cs="Times New Roman"/>
          <w:i/>
          <w:iCs/>
          <w:szCs w:val="21"/>
        </w:rPr>
        <w:t>73</w:t>
      </w:r>
      <w:r w:rsidRPr="00462E35">
        <w:rPr>
          <w:rFonts w:cs="Times New Roman"/>
          <w:szCs w:val="21"/>
        </w:rPr>
        <w:t>(2), 233-239.</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Arrow, K. J., </w:t>
      </w:r>
      <w:proofErr w:type="spellStart"/>
      <w:r w:rsidRPr="00462E35">
        <w:rPr>
          <w:rFonts w:cs="Times New Roman"/>
          <w:szCs w:val="21"/>
        </w:rPr>
        <w:t>Dasgupta</w:t>
      </w:r>
      <w:proofErr w:type="spellEnd"/>
      <w:r w:rsidRPr="00462E35">
        <w:rPr>
          <w:rFonts w:cs="Times New Roman"/>
          <w:szCs w:val="21"/>
        </w:rPr>
        <w:t xml:space="preserve">, P., &amp; </w:t>
      </w:r>
      <w:proofErr w:type="spellStart"/>
      <w:r w:rsidRPr="00462E35">
        <w:rPr>
          <w:rFonts w:cs="Times New Roman"/>
          <w:szCs w:val="21"/>
        </w:rPr>
        <w:t>Mäler</w:t>
      </w:r>
      <w:proofErr w:type="spellEnd"/>
      <w:r w:rsidRPr="00462E35">
        <w:rPr>
          <w:rFonts w:cs="Times New Roman"/>
          <w:szCs w:val="21"/>
        </w:rPr>
        <w:t xml:space="preserve">, K. G. (2003a). Evaluating projects and assessing sustainable development in imperfect economies. </w:t>
      </w:r>
      <w:r w:rsidRPr="00462E35">
        <w:rPr>
          <w:rFonts w:cs="Times New Roman"/>
          <w:i/>
          <w:iCs/>
          <w:szCs w:val="21"/>
        </w:rPr>
        <w:t>Environmental and Resource Economics</w:t>
      </w:r>
      <w:r w:rsidRPr="00462E35">
        <w:rPr>
          <w:rFonts w:cs="Times New Roman"/>
          <w:szCs w:val="21"/>
        </w:rPr>
        <w:t xml:space="preserve">, </w:t>
      </w:r>
      <w:r w:rsidRPr="00462E35">
        <w:rPr>
          <w:rFonts w:cs="Times New Roman"/>
          <w:i/>
          <w:iCs/>
          <w:szCs w:val="21"/>
        </w:rPr>
        <w:t>26</w:t>
      </w:r>
      <w:r w:rsidRPr="00462E35">
        <w:rPr>
          <w:rFonts w:cs="Times New Roman"/>
          <w:szCs w:val="21"/>
        </w:rPr>
        <w:t>(4), 647-685.</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Arrow, K. J., </w:t>
      </w:r>
      <w:proofErr w:type="spellStart"/>
      <w:r w:rsidRPr="00462E35">
        <w:rPr>
          <w:rFonts w:cs="Times New Roman"/>
          <w:szCs w:val="21"/>
        </w:rPr>
        <w:t>Dasgupta</w:t>
      </w:r>
      <w:proofErr w:type="spellEnd"/>
      <w:r w:rsidRPr="00462E35">
        <w:rPr>
          <w:rFonts w:cs="Times New Roman"/>
          <w:szCs w:val="21"/>
        </w:rPr>
        <w:t xml:space="preserve">, P., &amp; </w:t>
      </w:r>
      <w:proofErr w:type="spellStart"/>
      <w:r w:rsidRPr="00462E35">
        <w:rPr>
          <w:rFonts w:cs="Times New Roman"/>
          <w:szCs w:val="21"/>
        </w:rPr>
        <w:t>Mäler</w:t>
      </w:r>
      <w:proofErr w:type="spellEnd"/>
      <w:r w:rsidRPr="00462E35">
        <w:rPr>
          <w:rFonts w:cs="Times New Roman"/>
          <w:szCs w:val="21"/>
        </w:rPr>
        <w:t>, K. G. (2003b). The genuine savings criterion and the value of population. </w:t>
      </w:r>
      <w:r w:rsidRPr="00462E35">
        <w:rPr>
          <w:rFonts w:cs="Times New Roman"/>
          <w:i/>
          <w:iCs/>
          <w:szCs w:val="21"/>
        </w:rPr>
        <w:t>Economic Theory</w:t>
      </w:r>
      <w:r w:rsidRPr="00462E35">
        <w:rPr>
          <w:rFonts w:cs="Times New Roman"/>
          <w:szCs w:val="21"/>
        </w:rPr>
        <w:t>, </w:t>
      </w:r>
      <w:r w:rsidRPr="00462E35">
        <w:rPr>
          <w:rFonts w:cs="Times New Roman"/>
          <w:i/>
          <w:iCs/>
          <w:szCs w:val="21"/>
        </w:rPr>
        <w:t>21</w:t>
      </w:r>
      <w:r w:rsidRPr="00462E35">
        <w:rPr>
          <w:rFonts w:cs="Times New Roman"/>
          <w:szCs w:val="21"/>
        </w:rPr>
        <w:t>(2), 217-225.</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t>Barro</w:t>
      </w:r>
      <w:proofErr w:type="spellEnd"/>
      <w:r w:rsidRPr="00462E35">
        <w:rPr>
          <w:rFonts w:cs="Times New Roman"/>
          <w:szCs w:val="21"/>
        </w:rPr>
        <w:t xml:space="preserve">, R., &amp; Lee, J. W. (2015). </w:t>
      </w:r>
      <w:proofErr w:type="spellStart"/>
      <w:r w:rsidRPr="00462E35">
        <w:rPr>
          <w:rFonts w:cs="Times New Roman"/>
          <w:szCs w:val="21"/>
        </w:rPr>
        <w:t>Barro</w:t>
      </w:r>
      <w:proofErr w:type="spellEnd"/>
      <w:r w:rsidRPr="00462E35">
        <w:rPr>
          <w:rFonts w:cs="Times New Roman"/>
          <w:szCs w:val="21"/>
        </w:rPr>
        <w:t xml:space="preserve">-Lee educational attainment dataset. </w:t>
      </w:r>
      <w:r w:rsidRPr="00462E35">
        <w:rPr>
          <w:rFonts w:cs="Times New Roman"/>
          <w:iCs/>
          <w:szCs w:val="21"/>
        </w:rPr>
        <w:t xml:space="preserve">Accessed at </w:t>
      </w:r>
      <w:proofErr w:type="spellStart"/>
      <w:r w:rsidRPr="00462E35">
        <w:rPr>
          <w:rFonts w:cs="Times New Roman"/>
          <w:iCs/>
          <w:szCs w:val="21"/>
        </w:rPr>
        <w:t>BarroLee</w:t>
      </w:r>
      <w:proofErr w:type="spellEnd"/>
      <w:r w:rsidRPr="00462E35">
        <w:rPr>
          <w:rFonts w:cs="Times New Roman"/>
          <w:iCs/>
          <w:szCs w:val="21"/>
        </w:rPr>
        <w:t>. com</w:t>
      </w:r>
      <w:r w:rsidRPr="00462E35">
        <w:rPr>
          <w:rFonts w:cs="Times New Roman"/>
          <w:szCs w:val="21"/>
        </w:rPr>
        <w:t>.</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Bolt, K., </w:t>
      </w:r>
      <w:proofErr w:type="spellStart"/>
      <w:r w:rsidRPr="00462E35">
        <w:rPr>
          <w:rFonts w:cs="Times New Roman"/>
          <w:szCs w:val="21"/>
        </w:rPr>
        <w:t>Matete</w:t>
      </w:r>
      <w:proofErr w:type="spellEnd"/>
      <w:r w:rsidRPr="00462E35">
        <w:rPr>
          <w:rFonts w:cs="Times New Roman"/>
          <w:szCs w:val="21"/>
        </w:rPr>
        <w:t>, M., &amp; Clemens, M. (2002). Manual for calculating adjusted net savings. Environment Department, World Bank, 1-23.</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BP. (2015). </w:t>
      </w:r>
      <w:r w:rsidRPr="00462E35">
        <w:rPr>
          <w:rFonts w:cs="Times New Roman"/>
          <w:i/>
          <w:szCs w:val="21"/>
        </w:rPr>
        <w:t>Statistical Review of World Energy 2015</w:t>
      </w:r>
      <w:r w:rsidRPr="00462E35">
        <w:rPr>
          <w:rFonts w:cs="Times New Roman"/>
          <w:szCs w:val="21"/>
        </w:rPr>
        <w:t>. Retrieved from http://www.bp.com/Statistical review.</w:t>
      </w:r>
    </w:p>
    <w:p w:rsidR="00403A26" w:rsidRPr="00462E35" w:rsidRDefault="00403A26" w:rsidP="00403A26">
      <w:pPr>
        <w:spacing w:line="360" w:lineRule="auto"/>
        <w:ind w:left="110" w:hangingChars="50" w:hanging="110"/>
        <w:rPr>
          <w:rFonts w:cs="Times New Roman"/>
          <w:szCs w:val="21"/>
        </w:rPr>
      </w:pPr>
      <w:r w:rsidRPr="00462E35">
        <w:rPr>
          <w:rFonts w:cs="Times New Roman"/>
          <w:szCs w:val="21"/>
        </w:rPr>
        <w:t xml:space="preserve">Conference Board. (2016). </w:t>
      </w:r>
      <w:r w:rsidRPr="00462E35">
        <w:rPr>
          <w:rFonts w:cs="Times New Roman"/>
          <w:i/>
          <w:szCs w:val="21"/>
        </w:rPr>
        <w:t>Total Economy Database™ (Adjusted version)</w:t>
      </w:r>
      <w:r w:rsidRPr="00462E35">
        <w:rPr>
          <w:rFonts w:cs="Times New Roman"/>
          <w:szCs w:val="21"/>
        </w:rPr>
        <w:t>.</w:t>
      </w:r>
    </w:p>
    <w:p w:rsidR="00403A26" w:rsidRPr="00462E35" w:rsidRDefault="00403A26" w:rsidP="00403A26">
      <w:pPr>
        <w:spacing w:line="360" w:lineRule="auto"/>
        <w:ind w:left="110" w:hangingChars="50" w:hanging="110"/>
        <w:rPr>
          <w:rFonts w:cs="Times New Roman"/>
          <w:szCs w:val="21"/>
        </w:rPr>
      </w:pPr>
      <w:r w:rsidRPr="00462E35">
        <w:rPr>
          <w:rFonts w:cs="Times New Roman"/>
          <w:szCs w:val="21"/>
        </w:rPr>
        <w:lastRenderedPageBreak/>
        <w:t xml:space="preserve">Conference Board. (2017). </w:t>
      </w:r>
      <w:r w:rsidRPr="00462E35">
        <w:rPr>
          <w:rFonts w:cs="Times New Roman"/>
          <w:i/>
          <w:szCs w:val="21"/>
        </w:rPr>
        <w:t>Total Economy Database™ (Adjusted version)</w:t>
      </w:r>
      <w:r w:rsidRPr="00462E35">
        <w:rPr>
          <w:rFonts w:cs="Times New Roman"/>
          <w:szCs w:val="21"/>
        </w:rPr>
        <w:t>, May 2017.</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t>Daan</w:t>
      </w:r>
      <w:proofErr w:type="spellEnd"/>
      <w:r w:rsidRPr="00462E35">
        <w:rPr>
          <w:rFonts w:cs="Times New Roman"/>
          <w:szCs w:val="21"/>
        </w:rPr>
        <w:t xml:space="preserve">, N., </w:t>
      </w:r>
      <w:proofErr w:type="spellStart"/>
      <w:r w:rsidRPr="00462E35">
        <w:rPr>
          <w:rFonts w:cs="Times New Roman"/>
          <w:szCs w:val="21"/>
        </w:rPr>
        <w:t>Gislason</w:t>
      </w:r>
      <w:proofErr w:type="spellEnd"/>
      <w:r w:rsidRPr="00462E35">
        <w:rPr>
          <w:rFonts w:cs="Times New Roman"/>
          <w:szCs w:val="21"/>
        </w:rPr>
        <w:t>, H., Pope, J. G., &amp; Rice, J. C. (2011). Apocalypse in world fisheries? The reports of their death are greatly exaggerated. </w:t>
      </w:r>
      <w:r w:rsidRPr="00462E35">
        <w:rPr>
          <w:rFonts w:cs="Times New Roman"/>
          <w:i/>
          <w:iCs/>
          <w:szCs w:val="21"/>
        </w:rPr>
        <w:t>ICES Journal of Marine Science</w:t>
      </w:r>
      <w:r w:rsidRPr="00462E35">
        <w:rPr>
          <w:rFonts w:cs="Times New Roman"/>
          <w:szCs w:val="21"/>
        </w:rPr>
        <w:t>, </w:t>
      </w:r>
      <w:r w:rsidRPr="00462E35">
        <w:rPr>
          <w:rFonts w:cs="Times New Roman"/>
          <w:i/>
          <w:iCs/>
          <w:szCs w:val="21"/>
        </w:rPr>
        <w:t>68</w:t>
      </w:r>
      <w:r w:rsidRPr="00462E35">
        <w:rPr>
          <w:rFonts w:cs="Times New Roman"/>
          <w:szCs w:val="21"/>
        </w:rPr>
        <w:t>(7), 1375-1378.</w:t>
      </w:r>
    </w:p>
    <w:p w:rsidR="00403A26" w:rsidRPr="00462E35" w:rsidRDefault="00403A26" w:rsidP="00403A26">
      <w:pPr>
        <w:ind w:left="220" w:hangingChars="100" w:hanging="220"/>
        <w:rPr>
          <w:rFonts w:cs="Times New Roman"/>
        </w:rPr>
      </w:pPr>
      <w:proofErr w:type="spellStart"/>
      <w:r w:rsidRPr="00462E35">
        <w:rPr>
          <w:rFonts w:cs="Times New Roman"/>
        </w:rPr>
        <w:t>Dasgupta</w:t>
      </w:r>
      <w:proofErr w:type="spellEnd"/>
      <w:r w:rsidRPr="00462E35">
        <w:rPr>
          <w:rFonts w:cs="Times New Roman"/>
        </w:rPr>
        <w:t xml:space="preserve">, P. S., &amp; Heal, G. M. (1979). </w:t>
      </w:r>
      <w:r w:rsidRPr="00462E35">
        <w:rPr>
          <w:rFonts w:cs="Times New Roman"/>
          <w:i/>
          <w:iCs/>
        </w:rPr>
        <w:t>Economic theory and exhaustible resources</w:t>
      </w:r>
      <w:r w:rsidRPr="00462E35">
        <w:rPr>
          <w:rFonts w:cs="Times New Roman"/>
        </w:rPr>
        <w:t>. Cambridge University Press.</w:t>
      </w:r>
    </w:p>
    <w:p w:rsidR="00403A26" w:rsidRPr="00462E35" w:rsidRDefault="00403A26" w:rsidP="00403A26">
      <w:pPr>
        <w:ind w:left="220" w:hangingChars="100" w:hanging="220"/>
        <w:rPr>
          <w:rFonts w:cs="Times New Roman"/>
        </w:rPr>
      </w:pPr>
      <w:proofErr w:type="spellStart"/>
      <w:r w:rsidRPr="00462E35">
        <w:rPr>
          <w:rFonts w:cs="Times New Roman"/>
        </w:rPr>
        <w:t>Dasgupta</w:t>
      </w:r>
      <w:proofErr w:type="spellEnd"/>
      <w:r w:rsidRPr="00462E35">
        <w:rPr>
          <w:rFonts w:cs="Times New Roman"/>
        </w:rPr>
        <w:t xml:space="preserve">, P., </w:t>
      </w:r>
      <w:proofErr w:type="spellStart"/>
      <w:r w:rsidRPr="00462E35">
        <w:rPr>
          <w:rFonts w:cs="Times New Roman"/>
        </w:rPr>
        <w:t>Mäler</w:t>
      </w:r>
      <w:proofErr w:type="spellEnd"/>
      <w:r w:rsidRPr="00462E35">
        <w:rPr>
          <w:rFonts w:cs="Times New Roman"/>
        </w:rPr>
        <w:t>, K.-G., 2000. Net national product, wealth, and social well-being. Environ. Dev. Econ. 5, 69–93.</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t>Evenson</w:t>
      </w:r>
      <w:proofErr w:type="spellEnd"/>
      <w:r w:rsidRPr="00462E35">
        <w:rPr>
          <w:rFonts w:cs="Times New Roman"/>
          <w:szCs w:val="21"/>
        </w:rPr>
        <w:t xml:space="preserve">, R. E., &amp; </w:t>
      </w:r>
      <w:proofErr w:type="spellStart"/>
      <w:r w:rsidRPr="00462E35">
        <w:rPr>
          <w:rFonts w:cs="Times New Roman"/>
          <w:szCs w:val="21"/>
        </w:rPr>
        <w:t>Fuglie</w:t>
      </w:r>
      <w:proofErr w:type="spellEnd"/>
      <w:r w:rsidRPr="00462E35">
        <w:rPr>
          <w:rFonts w:cs="Times New Roman"/>
          <w:szCs w:val="21"/>
        </w:rPr>
        <w:t xml:space="preserve">, K. O. (2010). Technology capital: the price of admission to the growth club. </w:t>
      </w:r>
      <w:r w:rsidRPr="00462E35">
        <w:rPr>
          <w:rFonts w:cs="Times New Roman"/>
          <w:i/>
          <w:iCs/>
          <w:szCs w:val="21"/>
        </w:rPr>
        <w:t>Journal of Productivity Analysis</w:t>
      </w:r>
      <w:r w:rsidRPr="00462E35">
        <w:rPr>
          <w:rFonts w:cs="Times New Roman"/>
          <w:szCs w:val="21"/>
        </w:rPr>
        <w:t xml:space="preserve">, </w:t>
      </w:r>
      <w:r w:rsidRPr="00462E35">
        <w:rPr>
          <w:rFonts w:cs="Times New Roman"/>
          <w:i/>
          <w:iCs/>
          <w:szCs w:val="21"/>
        </w:rPr>
        <w:t>33</w:t>
      </w:r>
      <w:r w:rsidRPr="00462E35">
        <w:rPr>
          <w:rFonts w:cs="Times New Roman"/>
          <w:szCs w:val="21"/>
        </w:rPr>
        <w:t>(3), 173-190.</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t>Färe</w:t>
      </w:r>
      <w:proofErr w:type="spellEnd"/>
      <w:r w:rsidRPr="00462E35">
        <w:rPr>
          <w:rFonts w:cs="Times New Roman"/>
          <w:szCs w:val="21"/>
        </w:rPr>
        <w:t xml:space="preserve">, R., </w:t>
      </w:r>
      <w:proofErr w:type="spellStart"/>
      <w:r w:rsidRPr="00462E35">
        <w:rPr>
          <w:rFonts w:cs="Times New Roman"/>
          <w:szCs w:val="21"/>
        </w:rPr>
        <w:t>Grosskopf</w:t>
      </w:r>
      <w:proofErr w:type="spellEnd"/>
      <w:r w:rsidRPr="00462E35">
        <w:rPr>
          <w:rFonts w:cs="Times New Roman"/>
          <w:szCs w:val="21"/>
        </w:rPr>
        <w:t>, S., Noh, D. W., &amp; Weber, W. (2005). Characteristics of a polluting technology: theory and practice. </w:t>
      </w:r>
      <w:r w:rsidRPr="00462E35">
        <w:rPr>
          <w:rFonts w:cs="Times New Roman"/>
          <w:i/>
          <w:iCs/>
          <w:szCs w:val="21"/>
        </w:rPr>
        <w:t>Journal of Econometrics</w:t>
      </w:r>
      <w:r w:rsidRPr="00462E35">
        <w:rPr>
          <w:rFonts w:cs="Times New Roman"/>
          <w:szCs w:val="21"/>
        </w:rPr>
        <w:t>, </w:t>
      </w:r>
      <w:r w:rsidRPr="00462E35">
        <w:rPr>
          <w:rFonts w:cs="Times New Roman"/>
          <w:i/>
          <w:iCs/>
          <w:szCs w:val="21"/>
        </w:rPr>
        <w:t>126</w:t>
      </w:r>
      <w:r w:rsidRPr="00462E35">
        <w:rPr>
          <w:rFonts w:cs="Times New Roman"/>
          <w:szCs w:val="21"/>
        </w:rPr>
        <w:t>(2), 469-492.</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t>Feenstra</w:t>
      </w:r>
      <w:proofErr w:type="spellEnd"/>
      <w:r w:rsidRPr="00462E35">
        <w:rPr>
          <w:rFonts w:cs="Times New Roman"/>
          <w:szCs w:val="21"/>
        </w:rPr>
        <w:t xml:space="preserve">, R. C., </w:t>
      </w:r>
      <w:proofErr w:type="spellStart"/>
      <w:r w:rsidRPr="00462E35">
        <w:rPr>
          <w:rFonts w:cs="Times New Roman"/>
          <w:szCs w:val="21"/>
        </w:rPr>
        <w:t>Inklaar</w:t>
      </w:r>
      <w:proofErr w:type="spellEnd"/>
      <w:r w:rsidRPr="00462E35">
        <w:rPr>
          <w:rFonts w:cs="Times New Roman"/>
          <w:szCs w:val="21"/>
        </w:rPr>
        <w:t xml:space="preserve">, R., </w:t>
      </w:r>
      <w:proofErr w:type="spellStart"/>
      <w:r w:rsidRPr="00462E35">
        <w:rPr>
          <w:rFonts w:cs="Times New Roman"/>
          <w:szCs w:val="21"/>
        </w:rPr>
        <w:t>Timmer</w:t>
      </w:r>
      <w:proofErr w:type="spellEnd"/>
      <w:r w:rsidRPr="00462E35">
        <w:rPr>
          <w:rFonts w:cs="Times New Roman"/>
          <w:szCs w:val="21"/>
        </w:rPr>
        <w:t>, M.C. (2015). The next generation of the Penn World Table. Am. Econ. Rev. 105(10), 3150-3182, available for download at www.ggdc.net/pwt</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t>Fenichel</w:t>
      </w:r>
      <w:proofErr w:type="spellEnd"/>
      <w:r w:rsidRPr="00462E35">
        <w:rPr>
          <w:rFonts w:cs="Times New Roman"/>
          <w:szCs w:val="21"/>
        </w:rPr>
        <w:t xml:space="preserve">, E. P., &amp; Abbott, J. K. (2014). Natural capital: from metaphor to measurement. </w:t>
      </w:r>
      <w:r w:rsidRPr="00462E35">
        <w:rPr>
          <w:rFonts w:cs="Times New Roman"/>
          <w:i/>
          <w:iCs/>
          <w:szCs w:val="21"/>
        </w:rPr>
        <w:t>Journal of the Association of Environmental and Resource Economists</w:t>
      </w:r>
      <w:r w:rsidRPr="00462E35">
        <w:rPr>
          <w:rFonts w:cs="Times New Roman"/>
          <w:szCs w:val="21"/>
        </w:rPr>
        <w:t xml:space="preserve">, </w:t>
      </w:r>
      <w:r w:rsidRPr="00462E35">
        <w:rPr>
          <w:rFonts w:cs="Times New Roman"/>
          <w:i/>
          <w:iCs/>
          <w:szCs w:val="21"/>
        </w:rPr>
        <w:t>1</w:t>
      </w:r>
      <w:r w:rsidRPr="00462E35">
        <w:rPr>
          <w:rFonts w:cs="Times New Roman"/>
          <w:szCs w:val="21"/>
        </w:rPr>
        <w:t>(1/2), 1-27.</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Ferreira, S., Hamilton, K., &amp; Vincent, J. R. (2008). Comprehensive wealth and future consumption: accounting for population growth. </w:t>
      </w:r>
      <w:r w:rsidRPr="00462E35">
        <w:rPr>
          <w:rFonts w:cs="Times New Roman"/>
          <w:i/>
          <w:iCs/>
          <w:szCs w:val="21"/>
        </w:rPr>
        <w:t>The World Bank Economic Review</w:t>
      </w:r>
      <w:r w:rsidRPr="00462E35">
        <w:rPr>
          <w:rFonts w:cs="Times New Roman"/>
          <w:szCs w:val="21"/>
        </w:rPr>
        <w:t>, </w:t>
      </w:r>
      <w:r w:rsidRPr="00462E35">
        <w:rPr>
          <w:rFonts w:cs="Times New Roman"/>
          <w:i/>
          <w:iCs/>
          <w:szCs w:val="21"/>
        </w:rPr>
        <w:t>22</w:t>
      </w:r>
      <w:r w:rsidRPr="00462E35">
        <w:rPr>
          <w:rFonts w:cs="Times New Roman"/>
          <w:szCs w:val="21"/>
        </w:rPr>
        <w:t xml:space="preserve">(2), 233-248. </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lastRenderedPageBreak/>
        <w:t>Food and Agriculture Organization of the United Nations (FAO). (2015a). FAOSTAT. Retrieved from http://faostat3.fao.org/download/Q/QC/E.</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Food and Agriculture Organization of the United Nations (FAO). (2015b). Global forest resources assessment 2015 – Retrieved http://www.fao.org/forest-resources-assessment/explore-data/en/.</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Froese, R., </w:t>
      </w:r>
      <w:proofErr w:type="spellStart"/>
      <w:r w:rsidRPr="00462E35">
        <w:rPr>
          <w:rFonts w:cs="Times New Roman"/>
          <w:szCs w:val="21"/>
        </w:rPr>
        <w:t>Demirel</w:t>
      </w:r>
      <w:proofErr w:type="spellEnd"/>
      <w:r w:rsidRPr="00462E35">
        <w:rPr>
          <w:rFonts w:cs="Times New Roman"/>
          <w:szCs w:val="21"/>
        </w:rPr>
        <w:t xml:space="preserve">, N., Coro, G., </w:t>
      </w:r>
      <w:proofErr w:type="spellStart"/>
      <w:r w:rsidRPr="00462E35">
        <w:rPr>
          <w:rFonts w:cs="Times New Roman"/>
          <w:szCs w:val="21"/>
        </w:rPr>
        <w:t>Kleisner</w:t>
      </w:r>
      <w:proofErr w:type="spellEnd"/>
      <w:r w:rsidRPr="00462E35">
        <w:rPr>
          <w:rFonts w:cs="Times New Roman"/>
          <w:szCs w:val="21"/>
        </w:rPr>
        <w:t>, K. M., &amp; Winker, H. (2017). Estimating fisheries reference points from catch and resilience. </w:t>
      </w:r>
      <w:r w:rsidRPr="00462E35">
        <w:rPr>
          <w:rFonts w:cs="Times New Roman"/>
          <w:i/>
          <w:iCs/>
          <w:szCs w:val="21"/>
        </w:rPr>
        <w:t>Fish and Fisheries</w:t>
      </w:r>
      <w:r w:rsidRPr="00462E35">
        <w:rPr>
          <w:rFonts w:cs="Times New Roman"/>
          <w:szCs w:val="21"/>
        </w:rPr>
        <w:t>, </w:t>
      </w:r>
      <w:r w:rsidRPr="00462E35">
        <w:rPr>
          <w:rFonts w:cs="Times New Roman"/>
          <w:i/>
          <w:iCs/>
          <w:szCs w:val="21"/>
        </w:rPr>
        <w:t>18</w:t>
      </w:r>
      <w:r w:rsidRPr="00462E35">
        <w:rPr>
          <w:rFonts w:cs="Times New Roman"/>
          <w:szCs w:val="21"/>
        </w:rPr>
        <w:t>(3), 506-526.</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Froese, R., Zeller, D., </w:t>
      </w:r>
      <w:proofErr w:type="spellStart"/>
      <w:r w:rsidRPr="00462E35">
        <w:rPr>
          <w:rFonts w:cs="Times New Roman"/>
          <w:szCs w:val="21"/>
        </w:rPr>
        <w:t>Kleisner</w:t>
      </w:r>
      <w:proofErr w:type="spellEnd"/>
      <w:r w:rsidRPr="00462E35">
        <w:rPr>
          <w:rFonts w:cs="Times New Roman"/>
          <w:szCs w:val="21"/>
        </w:rPr>
        <w:t xml:space="preserve">, K., &amp; </w:t>
      </w:r>
      <w:proofErr w:type="spellStart"/>
      <w:r w:rsidRPr="00462E35">
        <w:rPr>
          <w:rFonts w:cs="Times New Roman"/>
          <w:szCs w:val="21"/>
        </w:rPr>
        <w:t>Pauly</w:t>
      </w:r>
      <w:proofErr w:type="spellEnd"/>
      <w:r w:rsidRPr="00462E35">
        <w:rPr>
          <w:rFonts w:cs="Times New Roman"/>
          <w:szCs w:val="21"/>
        </w:rPr>
        <w:t xml:space="preserve">, D. (2012). What catch data can tell us about the status of global fisheries. </w:t>
      </w:r>
      <w:r w:rsidRPr="00462E35">
        <w:rPr>
          <w:rFonts w:cs="Times New Roman"/>
          <w:i/>
          <w:szCs w:val="21"/>
        </w:rPr>
        <w:t>Marine Biology</w:t>
      </w:r>
      <w:r w:rsidRPr="00462E35">
        <w:rPr>
          <w:rFonts w:cs="Times New Roman"/>
          <w:szCs w:val="21"/>
        </w:rPr>
        <w:t xml:space="preserve">, 159(6), 1283-1292. </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Hanley, N., </w:t>
      </w:r>
      <w:proofErr w:type="spellStart"/>
      <w:r w:rsidRPr="00462E35">
        <w:rPr>
          <w:rFonts w:cs="Times New Roman"/>
          <w:szCs w:val="21"/>
        </w:rPr>
        <w:t>Dupuy</w:t>
      </w:r>
      <w:proofErr w:type="spellEnd"/>
      <w:r w:rsidRPr="00462E35">
        <w:rPr>
          <w:rFonts w:cs="Times New Roman"/>
          <w:szCs w:val="21"/>
        </w:rPr>
        <w:t xml:space="preserve">, L., &amp; McLaughlin, E. (2015). Genuine savings and sustainability. </w:t>
      </w:r>
      <w:r w:rsidRPr="00462E35">
        <w:rPr>
          <w:rFonts w:cs="Times New Roman"/>
          <w:i/>
          <w:iCs/>
          <w:szCs w:val="21"/>
        </w:rPr>
        <w:t>Journal of Economic Surveys</w:t>
      </w:r>
      <w:r w:rsidRPr="00462E35">
        <w:rPr>
          <w:rFonts w:cs="Times New Roman"/>
          <w:szCs w:val="21"/>
        </w:rPr>
        <w:t xml:space="preserve">, </w:t>
      </w:r>
      <w:r w:rsidRPr="00462E35">
        <w:rPr>
          <w:rFonts w:cs="Times New Roman"/>
          <w:i/>
          <w:iCs/>
          <w:szCs w:val="21"/>
        </w:rPr>
        <w:t>29</w:t>
      </w:r>
      <w:r w:rsidRPr="00462E35">
        <w:rPr>
          <w:rFonts w:cs="Times New Roman"/>
          <w:szCs w:val="21"/>
        </w:rPr>
        <w:t>(4), 779-806.</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t>Harberger</w:t>
      </w:r>
      <w:proofErr w:type="spellEnd"/>
      <w:r w:rsidRPr="00462E35">
        <w:rPr>
          <w:rFonts w:cs="Times New Roman"/>
          <w:szCs w:val="21"/>
        </w:rPr>
        <w:t xml:space="preserve">, A. (1978). Perspectives on Capital and Technology in Less Developed Countries. In M. </w:t>
      </w:r>
      <w:proofErr w:type="spellStart"/>
      <w:r w:rsidRPr="00462E35">
        <w:rPr>
          <w:rFonts w:cs="Times New Roman"/>
          <w:szCs w:val="21"/>
        </w:rPr>
        <w:t>Artis</w:t>
      </w:r>
      <w:proofErr w:type="spellEnd"/>
      <w:r w:rsidRPr="00462E35">
        <w:rPr>
          <w:rFonts w:cs="Times New Roman"/>
          <w:szCs w:val="21"/>
        </w:rPr>
        <w:t xml:space="preserve"> &amp; A. </w:t>
      </w:r>
      <w:proofErr w:type="spellStart"/>
      <w:r w:rsidRPr="00462E35">
        <w:rPr>
          <w:rFonts w:cs="Times New Roman"/>
          <w:szCs w:val="21"/>
        </w:rPr>
        <w:t>Nobay</w:t>
      </w:r>
      <w:proofErr w:type="spellEnd"/>
      <w:r w:rsidRPr="00462E35">
        <w:rPr>
          <w:rFonts w:cs="Times New Roman"/>
          <w:szCs w:val="21"/>
        </w:rPr>
        <w:t xml:space="preserve"> (Eds.). </w:t>
      </w:r>
      <w:r w:rsidRPr="00462E35">
        <w:rPr>
          <w:rFonts w:cs="Times New Roman"/>
          <w:i/>
          <w:iCs/>
          <w:szCs w:val="21"/>
        </w:rPr>
        <w:t>Contemporary Economic Analysis</w:t>
      </w:r>
      <w:r w:rsidRPr="00462E35">
        <w:rPr>
          <w:rFonts w:cs="Times New Roman"/>
          <w:szCs w:val="21"/>
        </w:rPr>
        <w:t xml:space="preserve">, </w:t>
      </w:r>
      <w:proofErr w:type="spellStart"/>
      <w:r w:rsidRPr="00462E35">
        <w:rPr>
          <w:rFonts w:cs="Times New Roman"/>
          <w:szCs w:val="21"/>
        </w:rPr>
        <w:t>Croom</w:t>
      </w:r>
      <w:proofErr w:type="spellEnd"/>
      <w:r w:rsidRPr="00462E35">
        <w:rPr>
          <w:rFonts w:cs="Times New Roman"/>
          <w:szCs w:val="21"/>
        </w:rPr>
        <w:t xml:space="preserve"> Helm: London. </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International </w:t>
      </w:r>
      <w:proofErr w:type="spellStart"/>
      <w:r w:rsidRPr="00462E35">
        <w:rPr>
          <w:rFonts w:cs="Times New Roman"/>
          <w:szCs w:val="21"/>
        </w:rPr>
        <w:t>Labor</w:t>
      </w:r>
      <w:proofErr w:type="spellEnd"/>
      <w:r w:rsidRPr="00462E35">
        <w:rPr>
          <w:rFonts w:cs="Times New Roman"/>
          <w:szCs w:val="21"/>
        </w:rPr>
        <w:t xml:space="preserve"> Organization. (2015). </w:t>
      </w:r>
      <w:r w:rsidRPr="00462E35">
        <w:rPr>
          <w:rFonts w:cs="Times New Roman"/>
          <w:i/>
          <w:iCs/>
          <w:szCs w:val="21"/>
        </w:rPr>
        <w:t>Key Indicators of the Labour Market (KILM) database</w:t>
      </w:r>
      <w:r w:rsidRPr="00462E35">
        <w:rPr>
          <w:rFonts w:cs="Times New Roman"/>
          <w:szCs w:val="21"/>
        </w:rPr>
        <w:t xml:space="preserve">. Retrieved from </w:t>
      </w:r>
      <w:hyperlink r:id="rId16" w:history="1">
        <w:r w:rsidRPr="00462E35">
          <w:rPr>
            <w:rStyle w:val="Hyperlink"/>
            <w:rFonts w:cs="Times New Roman"/>
            <w:color w:val="auto"/>
            <w:szCs w:val="21"/>
          </w:rPr>
          <w:t>www.ilo.org</w:t>
        </w:r>
      </w:hyperlink>
    </w:p>
    <w:p w:rsidR="00403A26" w:rsidRPr="00462E35" w:rsidRDefault="00403A26" w:rsidP="00403A26">
      <w:pPr>
        <w:spacing w:line="360" w:lineRule="auto"/>
        <w:ind w:left="220" w:hangingChars="100" w:hanging="220"/>
        <w:rPr>
          <w:rFonts w:cs="Times New Roman"/>
          <w:i/>
          <w:iCs/>
          <w:szCs w:val="21"/>
        </w:rPr>
      </w:pPr>
      <w:r w:rsidRPr="00462E35">
        <w:rPr>
          <w:rFonts w:cs="Times New Roman"/>
          <w:szCs w:val="21"/>
        </w:rPr>
        <w:t xml:space="preserve">King, R.G. &amp; Levine, R. (1994). Capital fundamentalism, economic development and economic growth. </w:t>
      </w:r>
      <w:r w:rsidRPr="00462E35">
        <w:rPr>
          <w:rFonts w:cs="Times New Roman"/>
          <w:i/>
          <w:iCs/>
          <w:szCs w:val="21"/>
        </w:rPr>
        <w:t>Carnegie-Rochester Conference Series on Public Policy</w:t>
      </w:r>
      <w:r w:rsidRPr="00462E35">
        <w:rPr>
          <w:rFonts w:cs="Times New Roman"/>
          <w:szCs w:val="21"/>
        </w:rPr>
        <w:t>, 40, 259-292.</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t>Klenow</w:t>
      </w:r>
      <w:proofErr w:type="spellEnd"/>
      <w:r w:rsidRPr="00462E35">
        <w:rPr>
          <w:rFonts w:cs="Times New Roman"/>
          <w:szCs w:val="21"/>
        </w:rPr>
        <w:t xml:space="preserve">, P. &amp; Rodríguez-Clare, A. (1997). The Neoclassical Revival in Growth Economics: Has It Gone Too Far? In B. Bernanke &amp; J. </w:t>
      </w:r>
      <w:proofErr w:type="spellStart"/>
      <w:r w:rsidRPr="00462E35">
        <w:rPr>
          <w:rFonts w:cs="Times New Roman"/>
          <w:szCs w:val="21"/>
        </w:rPr>
        <w:t>Rotemberg</w:t>
      </w:r>
      <w:proofErr w:type="spellEnd"/>
      <w:r w:rsidRPr="00462E35">
        <w:rPr>
          <w:rFonts w:cs="Times New Roman"/>
          <w:szCs w:val="21"/>
        </w:rPr>
        <w:t xml:space="preserve"> (Eds.). </w:t>
      </w:r>
      <w:r w:rsidRPr="00462E35">
        <w:rPr>
          <w:rFonts w:cs="Times New Roman"/>
          <w:i/>
          <w:iCs/>
          <w:szCs w:val="21"/>
        </w:rPr>
        <w:t>NBER Macroeconomics Annual 1997</w:t>
      </w:r>
      <w:r w:rsidRPr="00462E35">
        <w:rPr>
          <w:rFonts w:cs="Times New Roman"/>
          <w:szCs w:val="21"/>
        </w:rPr>
        <w:t>. Cambridge, MA: MIT Press, 73-102.</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lastRenderedPageBreak/>
        <w:t>Kleisner</w:t>
      </w:r>
      <w:proofErr w:type="spellEnd"/>
      <w:r w:rsidRPr="00462E35">
        <w:rPr>
          <w:rFonts w:cs="Times New Roman"/>
          <w:szCs w:val="21"/>
        </w:rPr>
        <w:t xml:space="preserve">, K., Zeller, D., Froese, R., &amp; </w:t>
      </w:r>
      <w:proofErr w:type="spellStart"/>
      <w:r w:rsidRPr="00462E35">
        <w:rPr>
          <w:rFonts w:cs="Times New Roman"/>
          <w:szCs w:val="21"/>
        </w:rPr>
        <w:t>Pauly</w:t>
      </w:r>
      <w:proofErr w:type="spellEnd"/>
      <w:r w:rsidRPr="00462E35">
        <w:rPr>
          <w:rFonts w:cs="Times New Roman"/>
          <w:szCs w:val="21"/>
        </w:rPr>
        <w:t xml:space="preserve">, D. (2013). Using global catch data for inferences on the world’s marine fisheries. </w:t>
      </w:r>
      <w:r w:rsidRPr="00462E35">
        <w:rPr>
          <w:rFonts w:cs="Times New Roman"/>
          <w:i/>
          <w:szCs w:val="21"/>
        </w:rPr>
        <w:t>Fish and Fisheries</w:t>
      </w:r>
      <w:r w:rsidRPr="00462E35">
        <w:rPr>
          <w:rFonts w:cs="Times New Roman"/>
          <w:szCs w:val="21"/>
        </w:rPr>
        <w:t xml:space="preserve">, 14(3), 293-311. </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t>Lampietti</w:t>
      </w:r>
      <w:proofErr w:type="spellEnd"/>
      <w:r w:rsidRPr="00462E35">
        <w:rPr>
          <w:rFonts w:cs="Times New Roman"/>
          <w:szCs w:val="21"/>
        </w:rPr>
        <w:t xml:space="preserve">, J. &amp; Dixon, J. (1995). </w:t>
      </w:r>
      <w:r w:rsidRPr="00462E35">
        <w:rPr>
          <w:rFonts w:cs="Times New Roman"/>
          <w:i/>
          <w:iCs/>
          <w:szCs w:val="21"/>
        </w:rPr>
        <w:t>To see the forest for the trees: A guide to non-timber forest benefits</w:t>
      </w:r>
      <w:r w:rsidRPr="00462E35">
        <w:rPr>
          <w:rFonts w:cs="Times New Roman"/>
          <w:szCs w:val="21"/>
        </w:rPr>
        <w:t xml:space="preserve">. Washington, DC: World Bank. </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Lane, P. R., &amp; </w:t>
      </w:r>
      <w:proofErr w:type="spellStart"/>
      <w:r w:rsidRPr="00462E35">
        <w:rPr>
          <w:rFonts w:cs="Times New Roman"/>
          <w:szCs w:val="21"/>
        </w:rPr>
        <w:t>Milesi</w:t>
      </w:r>
      <w:proofErr w:type="spellEnd"/>
      <w:r w:rsidRPr="00462E35">
        <w:rPr>
          <w:rFonts w:cs="Times New Roman"/>
          <w:szCs w:val="21"/>
        </w:rPr>
        <w:t xml:space="preserve">-Ferretti, G. M. (2007). The external wealth of nations mark II: Revised and extended estimates of foreign assets and liabilities, 1970–2004. </w:t>
      </w:r>
      <w:r w:rsidRPr="00462E35">
        <w:rPr>
          <w:rFonts w:cs="Times New Roman"/>
          <w:i/>
          <w:iCs/>
          <w:szCs w:val="21"/>
        </w:rPr>
        <w:t>Journal of international Economics</w:t>
      </w:r>
      <w:r w:rsidRPr="00462E35">
        <w:rPr>
          <w:rFonts w:cs="Times New Roman"/>
          <w:szCs w:val="21"/>
        </w:rPr>
        <w:t xml:space="preserve">, </w:t>
      </w:r>
      <w:r w:rsidRPr="00462E35">
        <w:rPr>
          <w:rFonts w:cs="Times New Roman"/>
          <w:i/>
          <w:iCs/>
          <w:szCs w:val="21"/>
        </w:rPr>
        <w:t>73</w:t>
      </w:r>
      <w:r w:rsidRPr="00462E35">
        <w:rPr>
          <w:rFonts w:cs="Times New Roman"/>
          <w:szCs w:val="21"/>
        </w:rPr>
        <w:t>(2), 223-250.</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t>Lenzen</w:t>
      </w:r>
      <w:proofErr w:type="spellEnd"/>
      <w:r w:rsidRPr="00462E35">
        <w:rPr>
          <w:rFonts w:cs="Times New Roman"/>
          <w:szCs w:val="21"/>
        </w:rPr>
        <w:t xml:space="preserve">, M., Moran, D., </w:t>
      </w:r>
      <w:proofErr w:type="spellStart"/>
      <w:r w:rsidRPr="00462E35">
        <w:rPr>
          <w:rFonts w:cs="Times New Roman"/>
          <w:szCs w:val="21"/>
        </w:rPr>
        <w:t>Kanemoto</w:t>
      </w:r>
      <w:proofErr w:type="spellEnd"/>
      <w:r w:rsidRPr="00462E35">
        <w:rPr>
          <w:rFonts w:cs="Times New Roman"/>
          <w:szCs w:val="21"/>
        </w:rPr>
        <w:t xml:space="preserve">, K., &amp; </w:t>
      </w:r>
      <w:proofErr w:type="spellStart"/>
      <w:r w:rsidRPr="00462E35">
        <w:rPr>
          <w:rFonts w:cs="Times New Roman"/>
          <w:szCs w:val="21"/>
        </w:rPr>
        <w:t>Geschke</w:t>
      </w:r>
      <w:proofErr w:type="spellEnd"/>
      <w:r w:rsidRPr="00462E35">
        <w:rPr>
          <w:rFonts w:cs="Times New Roman"/>
          <w:szCs w:val="21"/>
        </w:rPr>
        <w:t>, A. (2013). Building Eora: a global multi-region input–output database at high country and sector resolution. </w:t>
      </w:r>
      <w:r w:rsidRPr="00462E35">
        <w:rPr>
          <w:rFonts w:cs="Times New Roman"/>
          <w:i/>
          <w:iCs/>
          <w:szCs w:val="21"/>
        </w:rPr>
        <w:t>Economic Systems Research</w:t>
      </w:r>
      <w:r w:rsidRPr="00462E35">
        <w:rPr>
          <w:rFonts w:cs="Times New Roman"/>
          <w:szCs w:val="21"/>
        </w:rPr>
        <w:t>, </w:t>
      </w:r>
      <w:r w:rsidRPr="00462E35">
        <w:rPr>
          <w:rFonts w:cs="Times New Roman"/>
          <w:i/>
          <w:iCs/>
          <w:szCs w:val="21"/>
        </w:rPr>
        <w:t>25</w:t>
      </w:r>
      <w:r w:rsidRPr="00462E35">
        <w:rPr>
          <w:rFonts w:cs="Times New Roman"/>
          <w:szCs w:val="21"/>
        </w:rPr>
        <w:t xml:space="preserve">(1), 20-49. </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Mankiw, N. G., </w:t>
      </w:r>
      <w:proofErr w:type="spellStart"/>
      <w:r w:rsidRPr="00462E35">
        <w:rPr>
          <w:rFonts w:cs="Times New Roman"/>
          <w:szCs w:val="21"/>
        </w:rPr>
        <w:t>Romer</w:t>
      </w:r>
      <w:proofErr w:type="spellEnd"/>
      <w:r w:rsidRPr="00462E35">
        <w:rPr>
          <w:rFonts w:cs="Times New Roman"/>
          <w:szCs w:val="21"/>
        </w:rPr>
        <w:t xml:space="preserve">, D., &amp; Weil, D. N. (1992). A contribution to the empirics of economic growth. </w:t>
      </w:r>
      <w:r w:rsidRPr="00462E35">
        <w:rPr>
          <w:rFonts w:cs="Times New Roman"/>
          <w:i/>
          <w:iCs/>
          <w:szCs w:val="21"/>
        </w:rPr>
        <w:t>The Quarterly Journal of Economics</w:t>
      </w:r>
      <w:r w:rsidRPr="00462E35">
        <w:rPr>
          <w:rFonts w:cs="Times New Roman"/>
          <w:szCs w:val="21"/>
        </w:rPr>
        <w:t xml:space="preserve">, </w:t>
      </w:r>
      <w:r w:rsidRPr="00462E35">
        <w:rPr>
          <w:rFonts w:cs="Times New Roman"/>
          <w:i/>
          <w:iCs/>
          <w:szCs w:val="21"/>
        </w:rPr>
        <w:t>107</w:t>
      </w:r>
      <w:r w:rsidRPr="00462E35">
        <w:rPr>
          <w:rFonts w:cs="Times New Roman"/>
          <w:szCs w:val="21"/>
        </w:rPr>
        <w:t>(2), 407-437.</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Martell, S., &amp; Froese, R. (2013). A simple method for estimating MSY from catch and resilience. </w:t>
      </w:r>
      <w:r w:rsidRPr="00462E35">
        <w:rPr>
          <w:rFonts w:cs="Times New Roman"/>
          <w:i/>
          <w:iCs/>
          <w:szCs w:val="21"/>
        </w:rPr>
        <w:t>Fish and Fisheries</w:t>
      </w:r>
      <w:r w:rsidRPr="00462E35">
        <w:rPr>
          <w:rFonts w:cs="Times New Roman"/>
          <w:szCs w:val="21"/>
        </w:rPr>
        <w:t>, </w:t>
      </w:r>
      <w:r w:rsidRPr="00462E35">
        <w:rPr>
          <w:rFonts w:cs="Times New Roman"/>
          <w:i/>
          <w:iCs/>
          <w:szCs w:val="21"/>
        </w:rPr>
        <w:t>14</w:t>
      </w:r>
      <w:r w:rsidRPr="00462E35">
        <w:rPr>
          <w:rFonts w:cs="Times New Roman"/>
          <w:szCs w:val="21"/>
        </w:rPr>
        <w:t>(4), 504-514.</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Montenegro, C. E., </w:t>
      </w:r>
      <w:proofErr w:type="spellStart"/>
      <w:r w:rsidRPr="00462E35">
        <w:rPr>
          <w:rFonts w:cs="Times New Roman"/>
          <w:szCs w:val="21"/>
        </w:rPr>
        <w:t>Patrinos</w:t>
      </w:r>
      <w:proofErr w:type="spellEnd"/>
      <w:r w:rsidRPr="00462E35">
        <w:rPr>
          <w:rFonts w:cs="Times New Roman"/>
          <w:szCs w:val="21"/>
        </w:rPr>
        <w:t>, H. A. (2014). Comparable estimates of returns to schooling around the world. Policy Research Working Paper 7020, The World Bank.</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Narayanan, B., </w:t>
      </w:r>
      <w:proofErr w:type="spellStart"/>
      <w:r w:rsidRPr="00462E35">
        <w:rPr>
          <w:rFonts w:cs="Times New Roman"/>
          <w:szCs w:val="21"/>
        </w:rPr>
        <w:t>Aguiar</w:t>
      </w:r>
      <w:proofErr w:type="spellEnd"/>
      <w:r w:rsidRPr="00462E35">
        <w:rPr>
          <w:rFonts w:cs="Times New Roman"/>
          <w:szCs w:val="21"/>
        </w:rPr>
        <w:t>, A. &amp; McDougall, R. (2012). Global Trade, Assistance, and Production: The GTAP 8 Data Base. Center for Global Trade Analysis, Purdue University. Retrieved from http://www.gtap.agecon. purdue.edu/databases/v8/v8_doco.asp.</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OECD. (2016). </w:t>
      </w:r>
      <w:r w:rsidRPr="00462E35">
        <w:rPr>
          <w:rFonts w:cs="Times New Roman"/>
          <w:i/>
          <w:iCs/>
          <w:szCs w:val="21"/>
        </w:rPr>
        <w:t>OECD National Accounts</w:t>
      </w:r>
      <w:r w:rsidRPr="00462E35">
        <w:rPr>
          <w:rFonts w:cs="Times New Roman"/>
          <w:szCs w:val="21"/>
        </w:rPr>
        <w:t xml:space="preserve">. Retrieved from http://stats.oecd.org/ </w:t>
      </w:r>
    </w:p>
    <w:p w:rsidR="00403A26" w:rsidRPr="00462E35" w:rsidRDefault="00403A26" w:rsidP="00403A26">
      <w:pPr>
        <w:spacing w:line="360" w:lineRule="auto"/>
        <w:ind w:left="220" w:hangingChars="100" w:hanging="220"/>
        <w:rPr>
          <w:rFonts w:cs="Times New Roman"/>
          <w:szCs w:val="21"/>
        </w:rPr>
      </w:pPr>
      <w:proofErr w:type="spellStart"/>
      <w:r w:rsidRPr="00462E35">
        <w:rPr>
          <w:rFonts w:cs="Times New Roman"/>
          <w:szCs w:val="21"/>
        </w:rPr>
        <w:lastRenderedPageBreak/>
        <w:t>Pauly</w:t>
      </w:r>
      <w:proofErr w:type="spellEnd"/>
      <w:r w:rsidRPr="00462E35">
        <w:rPr>
          <w:rFonts w:cs="Times New Roman"/>
          <w:szCs w:val="21"/>
        </w:rPr>
        <w:t xml:space="preserve">, D., </w:t>
      </w:r>
      <w:proofErr w:type="spellStart"/>
      <w:r w:rsidRPr="00462E35">
        <w:rPr>
          <w:rFonts w:cs="Times New Roman"/>
          <w:szCs w:val="21"/>
        </w:rPr>
        <w:t>Hilborn</w:t>
      </w:r>
      <w:proofErr w:type="spellEnd"/>
      <w:r w:rsidRPr="00462E35">
        <w:rPr>
          <w:rFonts w:cs="Times New Roman"/>
          <w:szCs w:val="21"/>
        </w:rPr>
        <w:t>, R., &amp; Branch, T. A. (2013). Fisheries: does catch reflect abundance?. </w:t>
      </w:r>
      <w:r w:rsidRPr="00462E35">
        <w:rPr>
          <w:rFonts w:cs="Times New Roman"/>
          <w:i/>
          <w:iCs/>
          <w:szCs w:val="21"/>
        </w:rPr>
        <w:t>Nature</w:t>
      </w:r>
      <w:r w:rsidRPr="00462E35">
        <w:rPr>
          <w:rFonts w:cs="Times New Roman"/>
          <w:szCs w:val="21"/>
        </w:rPr>
        <w:t>, </w:t>
      </w:r>
      <w:r w:rsidRPr="00462E35">
        <w:rPr>
          <w:rFonts w:cs="Times New Roman"/>
          <w:i/>
          <w:iCs/>
          <w:szCs w:val="21"/>
        </w:rPr>
        <w:t>494</w:t>
      </w:r>
      <w:r w:rsidRPr="00462E35">
        <w:rPr>
          <w:rFonts w:cs="Times New Roman"/>
          <w:szCs w:val="21"/>
        </w:rPr>
        <w:t>(7437), 303-306.</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SAUP (2016). www.seaaroundus.org</w:t>
      </w:r>
    </w:p>
    <w:p w:rsidR="00403A26" w:rsidRPr="00462E35" w:rsidRDefault="00403A26" w:rsidP="00403A26">
      <w:pPr>
        <w:spacing w:line="360" w:lineRule="auto"/>
        <w:ind w:left="330" w:hangingChars="150" w:hanging="330"/>
        <w:rPr>
          <w:rFonts w:cs="Times New Roman"/>
          <w:szCs w:val="21"/>
        </w:rPr>
      </w:pPr>
      <w:proofErr w:type="spellStart"/>
      <w:r w:rsidRPr="00462E35">
        <w:rPr>
          <w:rFonts w:cs="Times New Roman"/>
          <w:szCs w:val="21"/>
        </w:rPr>
        <w:t>Siikamaki</w:t>
      </w:r>
      <w:proofErr w:type="spellEnd"/>
      <w:r w:rsidRPr="00462E35">
        <w:rPr>
          <w:rFonts w:cs="Times New Roman"/>
          <w:szCs w:val="21"/>
        </w:rPr>
        <w:t xml:space="preserve">, J., F. J. Santiago-Avila, and P. Vail. 2015. </w:t>
      </w:r>
      <w:r w:rsidRPr="00462E35">
        <w:rPr>
          <w:rFonts w:cs="Times New Roman"/>
          <w:i/>
          <w:iCs/>
          <w:szCs w:val="21"/>
        </w:rPr>
        <w:t xml:space="preserve">Global Assessment of </w:t>
      </w:r>
      <w:proofErr w:type="spellStart"/>
      <w:r w:rsidRPr="00462E35">
        <w:rPr>
          <w:rFonts w:cs="Times New Roman"/>
          <w:i/>
          <w:iCs/>
          <w:szCs w:val="21"/>
        </w:rPr>
        <w:t>Nonwood</w:t>
      </w:r>
      <w:proofErr w:type="spellEnd"/>
      <w:r w:rsidRPr="00462E35">
        <w:rPr>
          <w:rFonts w:cs="Times New Roman"/>
          <w:i/>
          <w:iCs/>
          <w:szCs w:val="21"/>
        </w:rPr>
        <w:t xml:space="preserve"> Forest Ecosystem Services: Spatially Explicit Meta-Analysis and Benefit Transfer to Improve the World Bank’s Forest Wealth Database</w:t>
      </w:r>
      <w:r w:rsidRPr="00462E35">
        <w:rPr>
          <w:rFonts w:cs="Times New Roman"/>
          <w:szCs w:val="21"/>
        </w:rPr>
        <w:t>. Washington, DC: World Bank.</w:t>
      </w:r>
    </w:p>
    <w:p w:rsidR="00403A26" w:rsidRPr="00462E35" w:rsidRDefault="00403A26" w:rsidP="00403A26">
      <w:pPr>
        <w:spacing w:line="360" w:lineRule="auto"/>
        <w:ind w:left="330" w:hangingChars="150" w:hanging="330"/>
        <w:rPr>
          <w:rFonts w:cs="Times New Roman"/>
          <w:szCs w:val="21"/>
        </w:rPr>
      </w:pPr>
      <w:proofErr w:type="spellStart"/>
      <w:r w:rsidRPr="00462E35">
        <w:rPr>
          <w:rFonts w:cs="Times New Roman"/>
          <w:szCs w:val="21"/>
        </w:rPr>
        <w:t>Tol</w:t>
      </w:r>
      <w:proofErr w:type="spellEnd"/>
      <w:r w:rsidRPr="00462E35">
        <w:rPr>
          <w:rFonts w:cs="Times New Roman"/>
          <w:szCs w:val="21"/>
        </w:rPr>
        <w:t xml:space="preserve">, R.J. (2009). The economic effects of climate change. </w:t>
      </w:r>
      <w:r w:rsidRPr="00462E35">
        <w:rPr>
          <w:rFonts w:cs="Times New Roman"/>
          <w:i/>
          <w:iCs/>
          <w:szCs w:val="21"/>
        </w:rPr>
        <w:t>Journal of Economic Perspectives</w:t>
      </w:r>
      <w:r w:rsidRPr="00462E35">
        <w:rPr>
          <w:rFonts w:cs="Times New Roman"/>
          <w:szCs w:val="21"/>
        </w:rPr>
        <w:t>, 23, 29–51.</w:t>
      </w:r>
    </w:p>
    <w:p w:rsidR="00403A26" w:rsidRPr="00462E35" w:rsidRDefault="00403A26" w:rsidP="00403A26">
      <w:pPr>
        <w:spacing w:line="360" w:lineRule="auto"/>
        <w:ind w:left="330" w:hangingChars="150" w:hanging="330"/>
        <w:rPr>
          <w:rFonts w:cs="Times New Roman"/>
          <w:szCs w:val="21"/>
        </w:rPr>
      </w:pPr>
      <w:r w:rsidRPr="00462E35">
        <w:rPr>
          <w:rFonts w:cs="Times New Roman"/>
          <w:szCs w:val="21"/>
        </w:rPr>
        <w:t>United Nations Population Division (2016). World Population Prospects: The 2017 Revision.</w:t>
      </w:r>
    </w:p>
    <w:p w:rsidR="00403A26" w:rsidRPr="00462E35" w:rsidRDefault="00403A26" w:rsidP="00403A26">
      <w:pPr>
        <w:spacing w:line="360" w:lineRule="auto"/>
        <w:ind w:left="330" w:hangingChars="150" w:hanging="330"/>
        <w:rPr>
          <w:rFonts w:cs="Times New Roman"/>
          <w:szCs w:val="21"/>
        </w:rPr>
      </w:pPr>
      <w:r w:rsidRPr="00462E35">
        <w:rPr>
          <w:rFonts w:cs="Times New Roman"/>
          <w:szCs w:val="21"/>
        </w:rPr>
        <w:t xml:space="preserve">United Nations Statistics Division (2012). </w:t>
      </w:r>
      <w:r w:rsidRPr="00462E35">
        <w:rPr>
          <w:rFonts w:cs="Times New Roman"/>
          <w:i/>
          <w:iCs/>
          <w:szCs w:val="21"/>
        </w:rPr>
        <w:t>National Accounts Estimates of Main Aggregates</w:t>
      </w:r>
      <w:r w:rsidRPr="00462E35">
        <w:rPr>
          <w:rFonts w:cs="Times New Roman"/>
          <w:szCs w:val="21"/>
        </w:rPr>
        <w:t>. Retrieved from http://data.un.org</w:t>
      </w:r>
    </w:p>
    <w:p w:rsidR="00403A26" w:rsidRPr="00462E35" w:rsidRDefault="00403A26" w:rsidP="00403A26">
      <w:pPr>
        <w:spacing w:line="360" w:lineRule="auto"/>
        <w:ind w:left="330" w:hangingChars="150" w:hanging="330"/>
        <w:rPr>
          <w:rFonts w:cs="Times New Roman"/>
          <w:szCs w:val="21"/>
        </w:rPr>
      </w:pPr>
      <w:r w:rsidRPr="00462E35">
        <w:rPr>
          <w:rFonts w:cs="Times New Roman"/>
          <w:szCs w:val="21"/>
        </w:rPr>
        <w:t xml:space="preserve">United Nations Statistics Division. (2013a). </w:t>
      </w:r>
      <w:r w:rsidRPr="00462E35">
        <w:rPr>
          <w:rFonts w:cs="Times New Roman"/>
          <w:i/>
          <w:iCs/>
          <w:szCs w:val="21"/>
        </w:rPr>
        <w:t>Nationals Accounts Main Aggregates Database</w:t>
      </w:r>
      <w:r w:rsidRPr="00462E35">
        <w:rPr>
          <w:rFonts w:cs="Times New Roman"/>
          <w:szCs w:val="21"/>
        </w:rPr>
        <w:t>. Retrieved from http://unstats.un.org/unsd/snaama/Introduction.asp</w:t>
      </w:r>
    </w:p>
    <w:p w:rsidR="00403A26" w:rsidRPr="00462E35" w:rsidRDefault="00403A26" w:rsidP="00403A26">
      <w:pPr>
        <w:spacing w:line="360" w:lineRule="auto"/>
        <w:ind w:left="330" w:hangingChars="150" w:hanging="330"/>
        <w:rPr>
          <w:rFonts w:cs="Times New Roman"/>
          <w:szCs w:val="21"/>
        </w:rPr>
      </w:pPr>
      <w:r w:rsidRPr="00462E35">
        <w:rPr>
          <w:rFonts w:cs="Times New Roman"/>
          <w:szCs w:val="21"/>
        </w:rPr>
        <w:t>United Nations Statistics Division. (2013b). SEEA Experimental Ecosystem Accounting.</w:t>
      </w:r>
    </w:p>
    <w:p w:rsidR="00403A26" w:rsidRPr="00462E35" w:rsidRDefault="00403A26" w:rsidP="00403A26">
      <w:pPr>
        <w:ind w:left="220" w:hangingChars="100" w:hanging="220"/>
        <w:rPr>
          <w:rFonts w:cs="Times New Roman"/>
        </w:rPr>
      </w:pPr>
      <w:r w:rsidRPr="00462E35">
        <w:rPr>
          <w:rFonts w:cs="Times New Roman"/>
        </w:rPr>
        <w:t>UNU-IHDP and UNEP, 2012. Inclusive Wealth Report 2012: Measuring progress toward sustainability. New York: Cambridge Univ. Press.</w:t>
      </w:r>
    </w:p>
    <w:p w:rsidR="00403A26" w:rsidRPr="00462E35" w:rsidRDefault="00403A26" w:rsidP="00403A26">
      <w:pPr>
        <w:ind w:left="220" w:hangingChars="100" w:hanging="220"/>
        <w:rPr>
          <w:rFonts w:cs="Times New Roman"/>
        </w:rPr>
      </w:pPr>
      <w:r w:rsidRPr="00462E35">
        <w:rPr>
          <w:rFonts w:cs="Times New Roman"/>
        </w:rPr>
        <w:t>UNU-IHDP and UNEP, 2014. Inclusive Wealth Report 2014: Measuring progress toward sustainability. New York: Cambridge Univ. Press.</w:t>
      </w:r>
    </w:p>
    <w:p w:rsidR="00403A26" w:rsidRPr="00462E35" w:rsidRDefault="00403A26" w:rsidP="00403A26">
      <w:pPr>
        <w:spacing w:line="360" w:lineRule="auto"/>
        <w:ind w:left="330" w:hangingChars="150" w:hanging="330"/>
        <w:rPr>
          <w:rFonts w:cs="Times New Roman"/>
          <w:szCs w:val="21"/>
        </w:rPr>
      </w:pPr>
      <w:r w:rsidRPr="00462E35">
        <w:rPr>
          <w:rFonts w:cs="Times New Roman"/>
          <w:szCs w:val="21"/>
        </w:rPr>
        <w:t>U.S. Geological Survey. (2015). Mineral commodity summaries. Retrieved from http://minerals.usgs.gov/minerals/pubs/mcs/.</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lastRenderedPageBreak/>
        <w:t xml:space="preserve">Weitzman, M. L. (1997). Sustainability and technical progress. </w:t>
      </w:r>
      <w:r w:rsidRPr="00462E35">
        <w:rPr>
          <w:rFonts w:cs="Times New Roman"/>
          <w:i/>
          <w:iCs/>
          <w:szCs w:val="21"/>
        </w:rPr>
        <w:t>Scandinavian Journal of Economics</w:t>
      </w:r>
      <w:r w:rsidRPr="00462E35">
        <w:rPr>
          <w:rFonts w:cs="Times New Roman"/>
          <w:szCs w:val="21"/>
        </w:rPr>
        <w:t xml:space="preserve">, </w:t>
      </w:r>
      <w:r w:rsidRPr="00462E35">
        <w:rPr>
          <w:rFonts w:cs="Times New Roman"/>
          <w:i/>
          <w:iCs/>
          <w:szCs w:val="21"/>
        </w:rPr>
        <w:t>99</w:t>
      </w:r>
      <w:r w:rsidRPr="00462E35">
        <w:rPr>
          <w:rFonts w:cs="Times New Roman"/>
          <w:szCs w:val="21"/>
        </w:rPr>
        <w:t>(1), 1-13.</w:t>
      </w:r>
    </w:p>
    <w:p w:rsidR="00403A26" w:rsidRPr="00462E35" w:rsidRDefault="00403A26" w:rsidP="00403A26">
      <w:pPr>
        <w:spacing w:line="360" w:lineRule="auto"/>
        <w:rPr>
          <w:rFonts w:cs="Times New Roman"/>
          <w:szCs w:val="21"/>
        </w:rPr>
      </w:pPr>
      <w:r w:rsidRPr="00462E35">
        <w:rPr>
          <w:rFonts w:cs="Times New Roman"/>
          <w:szCs w:val="21"/>
        </w:rPr>
        <w:t xml:space="preserve">World Bank. (2006). </w:t>
      </w:r>
      <w:r w:rsidRPr="00462E35">
        <w:rPr>
          <w:rFonts w:cs="Times New Roman"/>
          <w:i/>
          <w:iCs/>
          <w:szCs w:val="21"/>
        </w:rPr>
        <w:t>Where is the wealth of nations</w:t>
      </w:r>
      <w:r w:rsidRPr="00462E35">
        <w:rPr>
          <w:rFonts w:cs="Times New Roman"/>
          <w:szCs w:val="21"/>
        </w:rPr>
        <w:t>? Washington, DC: World Bank.</w:t>
      </w:r>
    </w:p>
    <w:p w:rsidR="00403A26" w:rsidRPr="00462E35" w:rsidRDefault="00403A26" w:rsidP="00403A26">
      <w:pPr>
        <w:spacing w:line="360" w:lineRule="auto"/>
        <w:rPr>
          <w:rFonts w:cs="Times New Roman"/>
          <w:szCs w:val="21"/>
        </w:rPr>
      </w:pPr>
      <w:r w:rsidRPr="00462E35">
        <w:rPr>
          <w:rFonts w:cs="Times New Roman"/>
          <w:szCs w:val="21"/>
        </w:rPr>
        <w:t xml:space="preserve">World Bank. (2011). </w:t>
      </w:r>
      <w:r w:rsidRPr="00462E35">
        <w:rPr>
          <w:rFonts w:cs="Times New Roman"/>
          <w:i/>
          <w:iCs/>
          <w:szCs w:val="21"/>
        </w:rPr>
        <w:t>The changing wealth of nations</w:t>
      </w:r>
      <w:r w:rsidRPr="00462E35">
        <w:rPr>
          <w:rFonts w:cs="Times New Roman"/>
          <w:szCs w:val="21"/>
        </w:rPr>
        <w:t>. Washington, DC: World Bank.</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Yamaguchi, R. (2018). Wealth and population growth under dynamic average utilitarianism. </w:t>
      </w:r>
      <w:r w:rsidRPr="00462E35">
        <w:rPr>
          <w:rFonts w:cs="Times New Roman"/>
          <w:i/>
          <w:iCs/>
          <w:szCs w:val="21"/>
        </w:rPr>
        <w:t>Environment and Development Economics</w:t>
      </w:r>
      <w:r w:rsidRPr="00462E35">
        <w:rPr>
          <w:rFonts w:cs="Times New Roman"/>
          <w:szCs w:val="21"/>
        </w:rPr>
        <w:t>, 23(1), 1-18.</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Yamaguchi, R. (2019). Shadow prices and resource allocation mechanism: Unemployed capital in inclusive wealth accounting. Mimeo.</w:t>
      </w:r>
    </w:p>
    <w:p w:rsidR="00403A26" w:rsidRPr="00462E35" w:rsidRDefault="00403A26" w:rsidP="00403A26">
      <w:pPr>
        <w:spacing w:line="360" w:lineRule="auto"/>
        <w:ind w:left="220" w:hangingChars="100" w:hanging="220"/>
        <w:rPr>
          <w:rFonts w:cs="Times New Roman"/>
          <w:szCs w:val="21"/>
        </w:rPr>
      </w:pPr>
      <w:r w:rsidRPr="00462E35">
        <w:rPr>
          <w:rFonts w:cs="Times New Roman"/>
          <w:szCs w:val="21"/>
        </w:rPr>
        <w:t xml:space="preserve">Yamaguchi, R., Sato, M., &amp; </w:t>
      </w:r>
      <w:proofErr w:type="spellStart"/>
      <w:r w:rsidRPr="00462E35">
        <w:rPr>
          <w:rFonts w:cs="Times New Roman"/>
          <w:szCs w:val="21"/>
        </w:rPr>
        <w:t>Ueta</w:t>
      </w:r>
      <w:proofErr w:type="spellEnd"/>
      <w:r w:rsidRPr="00462E35">
        <w:rPr>
          <w:rFonts w:cs="Times New Roman"/>
          <w:szCs w:val="21"/>
        </w:rPr>
        <w:t>, K. (2016). Measuring regional wealth and assessing sustainable development: An application to a disaster-torn region in Japan. </w:t>
      </w:r>
      <w:r w:rsidRPr="00462E35">
        <w:rPr>
          <w:rFonts w:cs="Times New Roman"/>
          <w:i/>
          <w:iCs/>
          <w:szCs w:val="21"/>
        </w:rPr>
        <w:t>Social Indicators Research</w:t>
      </w:r>
      <w:r w:rsidRPr="00462E35">
        <w:rPr>
          <w:rFonts w:cs="Times New Roman"/>
          <w:szCs w:val="21"/>
        </w:rPr>
        <w:t>, </w:t>
      </w:r>
      <w:r w:rsidRPr="00462E35">
        <w:rPr>
          <w:rFonts w:cs="Times New Roman"/>
          <w:i/>
          <w:iCs/>
          <w:szCs w:val="21"/>
        </w:rPr>
        <w:t>129</w:t>
      </w:r>
      <w:r w:rsidRPr="00462E35">
        <w:rPr>
          <w:rFonts w:cs="Times New Roman"/>
          <w:szCs w:val="21"/>
        </w:rPr>
        <w:t>(1), 365-389.</w:t>
      </w:r>
    </w:p>
    <w:p w:rsidR="00403A26" w:rsidRPr="00462E35" w:rsidRDefault="00403A26" w:rsidP="00403A26">
      <w:pPr>
        <w:spacing w:after="160" w:line="259" w:lineRule="auto"/>
        <w:rPr>
          <w:rFonts w:cs="Times New Roman"/>
          <w:szCs w:val="21"/>
        </w:rPr>
      </w:pPr>
      <w:bookmarkStart w:id="4" w:name="_GoBack"/>
      <w:bookmarkEnd w:id="4"/>
    </w:p>
    <w:sectPr w:rsidR="00403A26" w:rsidRPr="00462E35" w:rsidSect="00403A2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A26" w:rsidRDefault="00403A26" w:rsidP="00403A26">
      <w:pPr>
        <w:spacing w:after="0" w:line="240" w:lineRule="auto"/>
      </w:pPr>
      <w:r>
        <w:separator/>
      </w:r>
    </w:p>
  </w:endnote>
  <w:endnote w:type="continuationSeparator" w:id="0">
    <w:p w:rsidR="00403A26" w:rsidRDefault="00403A26" w:rsidP="00403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Yu Mincho">
    <w:altName w:val="MS Mincho"/>
    <w:charset w:val="80"/>
    <w:family w:val="roman"/>
    <w:pitch w:val="variable"/>
    <w:sig w:usb0="00000000" w:usb1="2AC7FCFF" w:usb2="00000012" w:usb3="00000000" w:csb0="0002009F" w:csb1="00000000"/>
  </w:font>
  <w:font w:name="Yu Gothic">
    <w:altName w:val="MS Gothic"/>
    <w:charset w:val="80"/>
    <w:family w:val="modern"/>
    <w:pitch w:val="variable"/>
    <w:sig w:usb0="00000000"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963355"/>
      <w:docPartObj>
        <w:docPartGallery w:val="Page Numbers (Bottom of Page)"/>
        <w:docPartUnique/>
      </w:docPartObj>
    </w:sdtPr>
    <w:sdtEndPr>
      <w:rPr>
        <w:noProof/>
      </w:rPr>
    </w:sdtEndPr>
    <w:sdtContent>
      <w:p w:rsidR="00403A26" w:rsidRDefault="00462E35">
        <w:pPr>
          <w:pStyle w:val="Footer"/>
          <w:jc w:val="center"/>
        </w:pPr>
        <w:r>
          <w:fldChar w:fldCharType="begin"/>
        </w:r>
        <w:r>
          <w:instrText xml:space="preserve"> PAGE   \* MERGEFORMAT </w:instrText>
        </w:r>
        <w:r>
          <w:fldChar w:fldCharType="separate"/>
        </w:r>
        <w:r>
          <w:rPr>
            <w:noProof/>
          </w:rPr>
          <w:t>34</w:t>
        </w:r>
        <w:r>
          <w:rPr>
            <w:noProof/>
          </w:rPr>
          <w:fldChar w:fldCharType="end"/>
        </w:r>
      </w:p>
    </w:sdtContent>
  </w:sdt>
  <w:p w:rsidR="00403A26" w:rsidRDefault="00403A26">
    <w:pPr>
      <w:pStyle w:val="Footer"/>
    </w:pPr>
  </w:p>
  <w:p w:rsidR="00403A26" w:rsidRDefault="00403A26"/>
  <w:p w:rsidR="00403A26" w:rsidRDefault="00403A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A26" w:rsidRDefault="00403A26" w:rsidP="00403A26">
      <w:pPr>
        <w:spacing w:after="0" w:line="240" w:lineRule="auto"/>
      </w:pPr>
      <w:r>
        <w:separator/>
      </w:r>
    </w:p>
  </w:footnote>
  <w:footnote w:type="continuationSeparator" w:id="0">
    <w:p w:rsidR="00403A26" w:rsidRDefault="00403A26" w:rsidP="00403A26">
      <w:pPr>
        <w:spacing w:after="0" w:line="240" w:lineRule="auto"/>
      </w:pPr>
      <w:r>
        <w:continuationSeparator/>
      </w:r>
    </w:p>
  </w:footnote>
  <w:footnote w:id="1">
    <w:p w:rsidR="00403A26" w:rsidRPr="00462E35" w:rsidRDefault="00403A26" w:rsidP="00403A26">
      <w:pPr>
        <w:pStyle w:val="FootnoteText"/>
      </w:pPr>
      <w:r w:rsidRPr="00462E35">
        <w:rPr>
          <w:rStyle w:val="FootnoteReference"/>
        </w:rPr>
        <w:footnoteRef/>
      </w:r>
      <w:r w:rsidRPr="00462E35">
        <w:t xml:space="preserve"> </w:t>
      </w:r>
      <w:r w:rsidRPr="00462E35">
        <w:rPr>
          <w:rFonts w:cs="Times New Roman"/>
          <w:szCs w:val="21"/>
          <w:lang w:bidi="bn-BD"/>
        </w:rPr>
        <w:t>A reviewer rightly pointed out that the comparison of genuine savings and the change in inclusive wealth cannot be made directly, as units of account are different. What matters in sustainability analysis is the sign of genuine savings (or, equivalently, the change in inclusive wealth), so care should be taken to focus on the quadrants, not the absolute values, of Figure SI-c.</w:t>
      </w:r>
    </w:p>
  </w:footnote>
  <w:footnote w:id="2">
    <w:p w:rsidR="00403A26" w:rsidRPr="00462E35" w:rsidRDefault="00403A26" w:rsidP="00403A26">
      <w:pPr>
        <w:pStyle w:val="FootnoteText"/>
        <w:rPr>
          <w:rFonts w:cs="Times New Roman"/>
          <w:szCs w:val="21"/>
        </w:rPr>
      </w:pPr>
      <w:r w:rsidRPr="00462E35">
        <w:rPr>
          <w:rStyle w:val="FootnoteReference"/>
        </w:rPr>
        <w:footnoteRef/>
      </w:r>
      <w:r w:rsidRPr="00462E35">
        <w:rPr>
          <w:rFonts w:cs="Times New Roman"/>
          <w:szCs w:val="21"/>
        </w:rPr>
        <w:t xml:space="preserve"> See UNU-IHDP and UNEP (2012) for what makes the inclusive wealth index distinct from the World Bank’s genuine savings. To be more precise, genuine savings are constructed from flow variables, complemented by stock calculations.</w:t>
      </w:r>
    </w:p>
  </w:footnote>
  <w:footnote w:id="3">
    <w:p w:rsidR="00403A26" w:rsidRPr="00462E35" w:rsidRDefault="00403A26" w:rsidP="00403A26">
      <w:pPr>
        <w:pStyle w:val="FootnoteText"/>
        <w:rPr>
          <w:rFonts w:cs="Times New Roman"/>
          <w:szCs w:val="21"/>
        </w:rPr>
      </w:pPr>
      <w:r w:rsidRPr="00462E35">
        <w:rPr>
          <w:rStyle w:val="FootnoteReference"/>
        </w:rPr>
        <w:footnoteRef/>
      </w:r>
      <w:r w:rsidRPr="00462E35">
        <w:rPr>
          <w:rFonts w:cs="Times New Roman"/>
          <w:szCs w:val="21"/>
        </w:rPr>
        <w:t xml:space="preserve"> </w:t>
      </w:r>
      <w:proofErr w:type="spellStart"/>
      <w:r w:rsidRPr="00462E35">
        <w:rPr>
          <w:rFonts w:cs="Times New Roman"/>
          <w:szCs w:val="21"/>
        </w:rPr>
        <w:t>Hartwick</w:t>
      </w:r>
      <w:proofErr w:type="spellEnd"/>
      <w:r w:rsidRPr="00462E35">
        <w:rPr>
          <w:rFonts w:cs="Times New Roman"/>
          <w:szCs w:val="21"/>
        </w:rPr>
        <w:t xml:space="preserve"> (1977) and Dixit et al. (1980) showed that investing exhaustible resource rents into produced capital yields non-declining consumption, which is another way of defining sustainable development.</w:t>
      </w:r>
    </w:p>
  </w:footnote>
  <w:footnote w:id="4">
    <w:p w:rsidR="00403A26" w:rsidRPr="00462E35" w:rsidRDefault="00403A26" w:rsidP="00403A26">
      <w:pPr>
        <w:pStyle w:val="FootnoteText"/>
      </w:pPr>
      <w:r w:rsidRPr="00462E35">
        <w:rPr>
          <w:rStyle w:val="FootnoteReference"/>
        </w:rPr>
        <w:footnoteRef/>
      </w:r>
      <w:r w:rsidRPr="00462E35">
        <w:t xml:space="preserve"> This methodology section largely depends on Inclusive Wealth Report 2014. </w:t>
      </w:r>
      <w:r w:rsidRPr="00462E35">
        <w:rPr>
          <w:rFonts w:cs="Times New Roman"/>
          <w:szCs w:val="21"/>
        </w:rPr>
        <w:t>See UNU-IHDP and UNEP (2014) for details.</w:t>
      </w:r>
    </w:p>
  </w:footnote>
  <w:footnote w:id="5">
    <w:p w:rsidR="00403A26" w:rsidRPr="00462E35" w:rsidRDefault="00403A26" w:rsidP="00403A26">
      <w:pPr>
        <w:pStyle w:val="FootnoteText"/>
      </w:pPr>
      <w:r w:rsidRPr="00462E35">
        <w:rPr>
          <w:rStyle w:val="FootnoteReference"/>
        </w:rPr>
        <w:footnoteRef/>
      </w:r>
      <w:r w:rsidRPr="00462E35">
        <w:t xml:space="preserve"> </w:t>
      </w:r>
      <w:proofErr w:type="spellStart"/>
      <w:r w:rsidRPr="00462E35">
        <w:rPr>
          <w:rFonts w:cs="Times New Roman"/>
          <w:szCs w:val="21"/>
          <w:lang w:bidi="bn-BD"/>
        </w:rPr>
        <w:t>Montenego</w:t>
      </w:r>
      <w:proofErr w:type="spellEnd"/>
      <w:r w:rsidRPr="00462E35">
        <w:rPr>
          <w:rFonts w:cs="Times New Roman"/>
          <w:szCs w:val="21"/>
          <w:lang w:bidi="bn-BD"/>
        </w:rPr>
        <w:t xml:space="preserve"> and </w:t>
      </w:r>
      <w:proofErr w:type="spellStart"/>
      <w:r w:rsidRPr="00462E35">
        <w:rPr>
          <w:rFonts w:cs="Times New Roman"/>
          <w:szCs w:val="21"/>
          <w:lang w:bidi="bn-BD"/>
        </w:rPr>
        <w:t>Patrinos</w:t>
      </w:r>
      <w:proofErr w:type="spellEnd"/>
      <w:r w:rsidRPr="00462E35">
        <w:rPr>
          <w:rFonts w:cs="Times New Roman"/>
          <w:szCs w:val="21"/>
          <w:lang w:bidi="bn-BD"/>
        </w:rPr>
        <w:t xml:space="preserve"> (2014) highlight changes in private returns to education over time, with increasing years of schooling (6.6 to 11.6) but falling returns to education (13.3 to 10.0) from 1980 to 2013. In principle, these two variables work in opposite directions in terms of the contribution to the value of human capital, although we assume a constant rate of return of 8.5%. For national wealth accounting, it is obvious that social returns to education should be adopted, which requires information on external benefits and social costs of education. External benefits include network externality: the more people can read, the more efficient socioeconomic activity becomes. The effect of female education on reproductive rights and fertility is also critical in low-income countries. Social costs of education include educational infrastructure such as schools, transportation, learning and materials.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4CA4"/>
    <w:multiLevelType w:val="hybridMultilevel"/>
    <w:tmpl w:val="E27C49BC"/>
    <w:lvl w:ilvl="0" w:tplc="4B86A8CA">
      <w:start w:val="1"/>
      <w:numFmt w:val="bullet"/>
      <w:lvlText w:val=""/>
      <w:lvlJc w:val="left"/>
      <w:pPr>
        <w:tabs>
          <w:tab w:val="num" w:pos="720"/>
        </w:tabs>
        <w:ind w:left="720" w:hanging="360"/>
      </w:pPr>
      <w:rPr>
        <w:rFonts w:ascii="Wingdings 2" w:hAnsi="Wingdings 2" w:hint="default"/>
      </w:rPr>
    </w:lvl>
    <w:lvl w:ilvl="1" w:tplc="BEA08750" w:tentative="1">
      <w:start w:val="1"/>
      <w:numFmt w:val="bullet"/>
      <w:lvlText w:val=""/>
      <w:lvlJc w:val="left"/>
      <w:pPr>
        <w:tabs>
          <w:tab w:val="num" w:pos="1440"/>
        </w:tabs>
        <w:ind w:left="1440" w:hanging="360"/>
      </w:pPr>
      <w:rPr>
        <w:rFonts w:ascii="Wingdings 2" w:hAnsi="Wingdings 2" w:hint="default"/>
      </w:rPr>
    </w:lvl>
    <w:lvl w:ilvl="2" w:tplc="819CBFBC" w:tentative="1">
      <w:start w:val="1"/>
      <w:numFmt w:val="bullet"/>
      <w:lvlText w:val=""/>
      <w:lvlJc w:val="left"/>
      <w:pPr>
        <w:tabs>
          <w:tab w:val="num" w:pos="2160"/>
        </w:tabs>
        <w:ind w:left="2160" w:hanging="360"/>
      </w:pPr>
      <w:rPr>
        <w:rFonts w:ascii="Wingdings 2" w:hAnsi="Wingdings 2" w:hint="default"/>
      </w:rPr>
    </w:lvl>
    <w:lvl w:ilvl="3" w:tplc="12FE0B0E" w:tentative="1">
      <w:start w:val="1"/>
      <w:numFmt w:val="bullet"/>
      <w:lvlText w:val=""/>
      <w:lvlJc w:val="left"/>
      <w:pPr>
        <w:tabs>
          <w:tab w:val="num" w:pos="2880"/>
        </w:tabs>
        <w:ind w:left="2880" w:hanging="360"/>
      </w:pPr>
      <w:rPr>
        <w:rFonts w:ascii="Wingdings 2" w:hAnsi="Wingdings 2" w:hint="default"/>
      </w:rPr>
    </w:lvl>
    <w:lvl w:ilvl="4" w:tplc="548036DA" w:tentative="1">
      <w:start w:val="1"/>
      <w:numFmt w:val="bullet"/>
      <w:lvlText w:val=""/>
      <w:lvlJc w:val="left"/>
      <w:pPr>
        <w:tabs>
          <w:tab w:val="num" w:pos="3600"/>
        </w:tabs>
        <w:ind w:left="3600" w:hanging="360"/>
      </w:pPr>
      <w:rPr>
        <w:rFonts w:ascii="Wingdings 2" w:hAnsi="Wingdings 2" w:hint="default"/>
      </w:rPr>
    </w:lvl>
    <w:lvl w:ilvl="5" w:tplc="9BF0AE1C" w:tentative="1">
      <w:start w:val="1"/>
      <w:numFmt w:val="bullet"/>
      <w:lvlText w:val=""/>
      <w:lvlJc w:val="left"/>
      <w:pPr>
        <w:tabs>
          <w:tab w:val="num" w:pos="4320"/>
        </w:tabs>
        <w:ind w:left="4320" w:hanging="360"/>
      </w:pPr>
      <w:rPr>
        <w:rFonts w:ascii="Wingdings 2" w:hAnsi="Wingdings 2" w:hint="default"/>
      </w:rPr>
    </w:lvl>
    <w:lvl w:ilvl="6" w:tplc="E0E09622" w:tentative="1">
      <w:start w:val="1"/>
      <w:numFmt w:val="bullet"/>
      <w:lvlText w:val=""/>
      <w:lvlJc w:val="left"/>
      <w:pPr>
        <w:tabs>
          <w:tab w:val="num" w:pos="5040"/>
        </w:tabs>
        <w:ind w:left="5040" w:hanging="360"/>
      </w:pPr>
      <w:rPr>
        <w:rFonts w:ascii="Wingdings 2" w:hAnsi="Wingdings 2" w:hint="default"/>
      </w:rPr>
    </w:lvl>
    <w:lvl w:ilvl="7" w:tplc="FD6EFC00" w:tentative="1">
      <w:start w:val="1"/>
      <w:numFmt w:val="bullet"/>
      <w:lvlText w:val=""/>
      <w:lvlJc w:val="left"/>
      <w:pPr>
        <w:tabs>
          <w:tab w:val="num" w:pos="5760"/>
        </w:tabs>
        <w:ind w:left="5760" w:hanging="360"/>
      </w:pPr>
      <w:rPr>
        <w:rFonts w:ascii="Wingdings 2" w:hAnsi="Wingdings 2" w:hint="default"/>
      </w:rPr>
    </w:lvl>
    <w:lvl w:ilvl="8" w:tplc="2ED88EFA" w:tentative="1">
      <w:start w:val="1"/>
      <w:numFmt w:val="bullet"/>
      <w:lvlText w:val=""/>
      <w:lvlJc w:val="left"/>
      <w:pPr>
        <w:tabs>
          <w:tab w:val="num" w:pos="6480"/>
        </w:tabs>
        <w:ind w:left="6480" w:hanging="360"/>
      </w:pPr>
      <w:rPr>
        <w:rFonts w:ascii="Wingdings 2" w:hAnsi="Wingdings 2" w:hint="default"/>
      </w:rPr>
    </w:lvl>
  </w:abstractNum>
  <w:abstractNum w:abstractNumId="1">
    <w:nsid w:val="09C33410"/>
    <w:multiLevelType w:val="hybridMultilevel"/>
    <w:tmpl w:val="314C92D6"/>
    <w:lvl w:ilvl="0" w:tplc="B720F9B4">
      <w:start w:val="14"/>
      <w:numFmt w:val="bullet"/>
      <w:lvlText w:val="-"/>
      <w:lvlJc w:val="left"/>
      <w:pPr>
        <w:ind w:left="360" w:hanging="360"/>
      </w:pPr>
      <w:rPr>
        <w:rFonts w:ascii="Times New Roman" w:eastAsiaTheme="minorEastAsia" w:hAnsi="Times New Roman" w:cs="Times New Roman" w:hint="default"/>
      </w:rPr>
    </w:lvl>
    <w:lvl w:ilvl="1" w:tplc="234C9E70">
      <w:start w:val="1"/>
      <w:numFmt w:val="bullet"/>
      <w:lvlText w:val=""/>
      <w:lvlJc w:val="left"/>
      <w:pPr>
        <w:ind w:left="840" w:hanging="420"/>
      </w:pPr>
      <w:rPr>
        <w:rFonts w:ascii="Wingdings" w:hAnsi="Wingdings" w:hint="default"/>
      </w:rPr>
    </w:lvl>
    <w:lvl w:ilvl="2" w:tplc="A6C2CC62" w:tentative="1">
      <w:start w:val="1"/>
      <w:numFmt w:val="bullet"/>
      <w:lvlText w:val=""/>
      <w:lvlJc w:val="left"/>
      <w:pPr>
        <w:ind w:left="1260" w:hanging="420"/>
      </w:pPr>
      <w:rPr>
        <w:rFonts w:ascii="Wingdings" w:hAnsi="Wingdings" w:hint="default"/>
      </w:rPr>
    </w:lvl>
    <w:lvl w:ilvl="3" w:tplc="5F860CE2" w:tentative="1">
      <w:start w:val="1"/>
      <w:numFmt w:val="bullet"/>
      <w:lvlText w:val=""/>
      <w:lvlJc w:val="left"/>
      <w:pPr>
        <w:ind w:left="1680" w:hanging="420"/>
      </w:pPr>
      <w:rPr>
        <w:rFonts w:ascii="Wingdings" w:hAnsi="Wingdings" w:hint="default"/>
      </w:rPr>
    </w:lvl>
    <w:lvl w:ilvl="4" w:tplc="9D82F248" w:tentative="1">
      <w:start w:val="1"/>
      <w:numFmt w:val="bullet"/>
      <w:lvlText w:val=""/>
      <w:lvlJc w:val="left"/>
      <w:pPr>
        <w:ind w:left="2100" w:hanging="420"/>
      </w:pPr>
      <w:rPr>
        <w:rFonts w:ascii="Wingdings" w:hAnsi="Wingdings" w:hint="default"/>
      </w:rPr>
    </w:lvl>
    <w:lvl w:ilvl="5" w:tplc="7E7C0062" w:tentative="1">
      <w:start w:val="1"/>
      <w:numFmt w:val="bullet"/>
      <w:lvlText w:val=""/>
      <w:lvlJc w:val="left"/>
      <w:pPr>
        <w:ind w:left="2520" w:hanging="420"/>
      </w:pPr>
      <w:rPr>
        <w:rFonts w:ascii="Wingdings" w:hAnsi="Wingdings" w:hint="default"/>
      </w:rPr>
    </w:lvl>
    <w:lvl w:ilvl="6" w:tplc="F33CCE4A" w:tentative="1">
      <w:start w:val="1"/>
      <w:numFmt w:val="bullet"/>
      <w:lvlText w:val=""/>
      <w:lvlJc w:val="left"/>
      <w:pPr>
        <w:ind w:left="2940" w:hanging="420"/>
      </w:pPr>
      <w:rPr>
        <w:rFonts w:ascii="Wingdings" w:hAnsi="Wingdings" w:hint="default"/>
      </w:rPr>
    </w:lvl>
    <w:lvl w:ilvl="7" w:tplc="914C9FFC" w:tentative="1">
      <w:start w:val="1"/>
      <w:numFmt w:val="bullet"/>
      <w:lvlText w:val=""/>
      <w:lvlJc w:val="left"/>
      <w:pPr>
        <w:ind w:left="3360" w:hanging="420"/>
      </w:pPr>
      <w:rPr>
        <w:rFonts w:ascii="Wingdings" w:hAnsi="Wingdings" w:hint="default"/>
      </w:rPr>
    </w:lvl>
    <w:lvl w:ilvl="8" w:tplc="206E8F06" w:tentative="1">
      <w:start w:val="1"/>
      <w:numFmt w:val="bullet"/>
      <w:lvlText w:val=""/>
      <w:lvlJc w:val="left"/>
      <w:pPr>
        <w:ind w:left="3780" w:hanging="420"/>
      </w:pPr>
      <w:rPr>
        <w:rFonts w:ascii="Wingdings" w:hAnsi="Wingdings" w:hint="default"/>
      </w:rPr>
    </w:lvl>
  </w:abstractNum>
  <w:abstractNum w:abstractNumId="2">
    <w:nsid w:val="0AC00F1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nsid w:val="0D6D3CB5"/>
    <w:multiLevelType w:val="hybridMultilevel"/>
    <w:tmpl w:val="4C7A32C6"/>
    <w:lvl w:ilvl="0" w:tplc="992CB98E">
      <w:start w:val="1"/>
      <w:numFmt w:val="bullet"/>
      <w:lvlText w:val="•"/>
      <w:lvlJc w:val="left"/>
      <w:pPr>
        <w:tabs>
          <w:tab w:val="num" w:pos="720"/>
        </w:tabs>
        <w:ind w:left="720" w:hanging="360"/>
      </w:pPr>
      <w:rPr>
        <w:rFonts w:ascii="Arial" w:hAnsi="Arial" w:hint="default"/>
      </w:rPr>
    </w:lvl>
    <w:lvl w:ilvl="1" w:tplc="1D1C0694">
      <w:numFmt w:val="bullet"/>
      <w:lvlText w:val="•"/>
      <w:lvlJc w:val="left"/>
      <w:pPr>
        <w:tabs>
          <w:tab w:val="num" w:pos="1440"/>
        </w:tabs>
        <w:ind w:left="1440" w:hanging="360"/>
      </w:pPr>
      <w:rPr>
        <w:rFonts w:ascii="Arial" w:hAnsi="Arial" w:hint="default"/>
      </w:rPr>
    </w:lvl>
    <w:lvl w:ilvl="2" w:tplc="9B7C5252" w:tentative="1">
      <w:start w:val="1"/>
      <w:numFmt w:val="bullet"/>
      <w:lvlText w:val="•"/>
      <w:lvlJc w:val="left"/>
      <w:pPr>
        <w:tabs>
          <w:tab w:val="num" w:pos="2160"/>
        </w:tabs>
        <w:ind w:left="2160" w:hanging="360"/>
      </w:pPr>
      <w:rPr>
        <w:rFonts w:ascii="Arial" w:hAnsi="Arial" w:hint="default"/>
      </w:rPr>
    </w:lvl>
    <w:lvl w:ilvl="3" w:tplc="8EDACD38" w:tentative="1">
      <w:start w:val="1"/>
      <w:numFmt w:val="bullet"/>
      <w:lvlText w:val="•"/>
      <w:lvlJc w:val="left"/>
      <w:pPr>
        <w:tabs>
          <w:tab w:val="num" w:pos="2880"/>
        </w:tabs>
        <w:ind w:left="2880" w:hanging="360"/>
      </w:pPr>
      <w:rPr>
        <w:rFonts w:ascii="Arial" w:hAnsi="Arial" w:hint="default"/>
      </w:rPr>
    </w:lvl>
    <w:lvl w:ilvl="4" w:tplc="5BE28214" w:tentative="1">
      <w:start w:val="1"/>
      <w:numFmt w:val="bullet"/>
      <w:lvlText w:val="•"/>
      <w:lvlJc w:val="left"/>
      <w:pPr>
        <w:tabs>
          <w:tab w:val="num" w:pos="3600"/>
        </w:tabs>
        <w:ind w:left="3600" w:hanging="360"/>
      </w:pPr>
      <w:rPr>
        <w:rFonts w:ascii="Arial" w:hAnsi="Arial" w:hint="default"/>
      </w:rPr>
    </w:lvl>
    <w:lvl w:ilvl="5" w:tplc="DCAE8ED0" w:tentative="1">
      <w:start w:val="1"/>
      <w:numFmt w:val="bullet"/>
      <w:lvlText w:val="•"/>
      <w:lvlJc w:val="left"/>
      <w:pPr>
        <w:tabs>
          <w:tab w:val="num" w:pos="4320"/>
        </w:tabs>
        <w:ind w:left="4320" w:hanging="360"/>
      </w:pPr>
      <w:rPr>
        <w:rFonts w:ascii="Arial" w:hAnsi="Arial" w:hint="default"/>
      </w:rPr>
    </w:lvl>
    <w:lvl w:ilvl="6" w:tplc="258A94D0" w:tentative="1">
      <w:start w:val="1"/>
      <w:numFmt w:val="bullet"/>
      <w:lvlText w:val="•"/>
      <w:lvlJc w:val="left"/>
      <w:pPr>
        <w:tabs>
          <w:tab w:val="num" w:pos="5040"/>
        </w:tabs>
        <w:ind w:left="5040" w:hanging="360"/>
      </w:pPr>
      <w:rPr>
        <w:rFonts w:ascii="Arial" w:hAnsi="Arial" w:hint="default"/>
      </w:rPr>
    </w:lvl>
    <w:lvl w:ilvl="7" w:tplc="69CA04A2" w:tentative="1">
      <w:start w:val="1"/>
      <w:numFmt w:val="bullet"/>
      <w:lvlText w:val="•"/>
      <w:lvlJc w:val="left"/>
      <w:pPr>
        <w:tabs>
          <w:tab w:val="num" w:pos="5760"/>
        </w:tabs>
        <w:ind w:left="5760" w:hanging="360"/>
      </w:pPr>
      <w:rPr>
        <w:rFonts w:ascii="Arial" w:hAnsi="Arial" w:hint="default"/>
      </w:rPr>
    </w:lvl>
    <w:lvl w:ilvl="8" w:tplc="FED038D0" w:tentative="1">
      <w:start w:val="1"/>
      <w:numFmt w:val="bullet"/>
      <w:lvlText w:val="•"/>
      <w:lvlJc w:val="left"/>
      <w:pPr>
        <w:tabs>
          <w:tab w:val="num" w:pos="6480"/>
        </w:tabs>
        <w:ind w:left="6480" w:hanging="360"/>
      </w:pPr>
      <w:rPr>
        <w:rFonts w:ascii="Arial" w:hAnsi="Arial" w:hint="default"/>
      </w:rPr>
    </w:lvl>
  </w:abstractNum>
  <w:abstractNum w:abstractNumId="4">
    <w:nsid w:val="1A684CB0"/>
    <w:multiLevelType w:val="hybridMultilevel"/>
    <w:tmpl w:val="8B2A385A"/>
    <w:lvl w:ilvl="0" w:tplc="50E84712">
      <w:start w:val="1"/>
      <w:numFmt w:val="decimal"/>
      <w:lvlText w:val="%1."/>
      <w:lvlJc w:val="left"/>
      <w:pPr>
        <w:ind w:left="720" w:hanging="360"/>
      </w:pPr>
      <w:rPr>
        <w:rFonts w:hint="default"/>
      </w:rPr>
    </w:lvl>
    <w:lvl w:ilvl="1" w:tplc="12D01708" w:tentative="1">
      <w:start w:val="1"/>
      <w:numFmt w:val="lowerLetter"/>
      <w:lvlText w:val="%2."/>
      <w:lvlJc w:val="left"/>
      <w:pPr>
        <w:ind w:left="1440" w:hanging="360"/>
      </w:pPr>
    </w:lvl>
    <w:lvl w:ilvl="2" w:tplc="DBF611A0" w:tentative="1">
      <w:start w:val="1"/>
      <w:numFmt w:val="lowerRoman"/>
      <w:lvlText w:val="%3."/>
      <w:lvlJc w:val="right"/>
      <w:pPr>
        <w:ind w:left="2160" w:hanging="180"/>
      </w:pPr>
    </w:lvl>
    <w:lvl w:ilvl="3" w:tplc="93BE66BA" w:tentative="1">
      <w:start w:val="1"/>
      <w:numFmt w:val="decimal"/>
      <w:lvlText w:val="%4."/>
      <w:lvlJc w:val="left"/>
      <w:pPr>
        <w:ind w:left="2880" w:hanging="360"/>
      </w:pPr>
    </w:lvl>
    <w:lvl w:ilvl="4" w:tplc="61600FFC" w:tentative="1">
      <w:start w:val="1"/>
      <w:numFmt w:val="lowerLetter"/>
      <w:lvlText w:val="%5."/>
      <w:lvlJc w:val="left"/>
      <w:pPr>
        <w:ind w:left="3600" w:hanging="360"/>
      </w:pPr>
    </w:lvl>
    <w:lvl w:ilvl="5" w:tplc="77EADFA2" w:tentative="1">
      <w:start w:val="1"/>
      <w:numFmt w:val="lowerRoman"/>
      <w:lvlText w:val="%6."/>
      <w:lvlJc w:val="right"/>
      <w:pPr>
        <w:ind w:left="4320" w:hanging="180"/>
      </w:pPr>
    </w:lvl>
    <w:lvl w:ilvl="6" w:tplc="D6283858" w:tentative="1">
      <w:start w:val="1"/>
      <w:numFmt w:val="decimal"/>
      <w:lvlText w:val="%7."/>
      <w:lvlJc w:val="left"/>
      <w:pPr>
        <w:ind w:left="5040" w:hanging="360"/>
      </w:pPr>
    </w:lvl>
    <w:lvl w:ilvl="7" w:tplc="F0E636EA" w:tentative="1">
      <w:start w:val="1"/>
      <w:numFmt w:val="lowerLetter"/>
      <w:lvlText w:val="%8."/>
      <w:lvlJc w:val="left"/>
      <w:pPr>
        <w:ind w:left="5760" w:hanging="360"/>
      </w:pPr>
    </w:lvl>
    <w:lvl w:ilvl="8" w:tplc="0DBAD4A0" w:tentative="1">
      <w:start w:val="1"/>
      <w:numFmt w:val="lowerRoman"/>
      <w:lvlText w:val="%9."/>
      <w:lvlJc w:val="right"/>
      <w:pPr>
        <w:ind w:left="6480" w:hanging="180"/>
      </w:pPr>
    </w:lvl>
  </w:abstractNum>
  <w:abstractNum w:abstractNumId="5">
    <w:nsid w:val="1F36142B"/>
    <w:multiLevelType w:val="hybridMultilevel"/>
    <w:tmpl w:val="E346897C"/>
    <w:lvl w:ilvl="0" w:tplc="56D0D25A">
      <w:start w:val="1"/>
      <w:numFmt w:val="decimal"/>
      <w:pStyle w:val="Heading1"/>
      <w:lvlText w:val="%1."/>
      <w:lvlJc w:val="left"/>
      <w:pPr>
        <w:ind w:left="720" w:hanging="360"/>
      </w:pPr>
      <w:rPr>
        <w:rFonts w:hint="default"/>
      </w:rPr>
    </w:lvl>
    <w:lvl w:ilvl="1" w:tplc="7988C03A" w:tentative="1">
      <w:start w:val="1"/>
      <w:numFmt w:val="lowerLetter"/>
      <w:lvlText w:val="%2."/>
      <w:lvlJc w:val="left"/>
      <w:pPr>
        <w:ind w:left="1440" w:hanging="360"/>
      </w:pPr>
    </w:lvl>
    <w:lvl w:ilvl="2" w:tplc="170807B6" w:tentative="1">
      <w:start w:val="1"/>
      <w:numFmt w:val="lowerRoman"/>
      <w:lvlText w:val="%3."/>
      <w:lvlJc w:val="right"/>
      <w:pPr>
        <w:ind w:left="2160" w:hanging="180"/>
      </w:pPr>
    </w:lvl>
    <w:lvl w:ilvl="3" w:tplc="1D6282F0" w:tentative="1">
      <w:start w:val="1"/>
      <w:numFmt w:val="decimal"/>
      <w:lvlText w:val="%4."/>
      <w:lvlJc w:val="left"/>
      <w:pPr>
        <w:ind w:left="2880" w:hanging="360"/>
      </w:pPr>
    </w:lvl>
    <w:lvl w:ilvl="4" w:tplc="C7DCEB22" w:tentative="1">
      <w:start w:val="1"/>
      <w:numFmt w:val="lowerLetter"/>
      <w:lvlText w:val="%5."/>
      <w:lvlJc w:val="left"/>
      <w:pPr>
        <w:ind w:left="3600" w:hanging="360"/>
      </w:pPr>
    </w:lvl>
    <w:lvl w:ilvl="5" w:tplc="21E46FA4" w:tentative="1">
      <w:start w:val="1"/>
      <w:numFmt w:val="lowerRoman"/>
      <w:lvlText w:val="%6."/>
      <w:lvlJc w:val="right"/>
      <w:pPr>
        <w:ind w:left="4320" w:hanging="180"/>
      </w:pPr>
    </w:lvl>
    <w:lvl w:ilvl="6" w:tplc="7B1203AA" w:tentative="1">
      <w:start w:val="1"/>
      <w:numFmt w:val="decimal"/>
      <w:lvlText w:val="%7."/>
      <w:lvlJc w:val="left"/>
      <w:pPr>
        <w:ind w:left="5040" w:hanging="360"/>
      </w:pPr>
    </w:lvl>
    <w:lvl w:ilvl="7" w:tplc="CD2CC466" w:tentative="1">
      <w:start w:val="1"/>
      <w:numFmt w:val="lowerLetter"/>
      <w:lvlText w:val="%8."/>
      <w:lvlJc w:val="left"/>
      <w:pPr>
        <w:ind w:left="5760" w:hanging="360"/>
      </w:pPr>
    </w:lvl>
    <w:lvl w:ilvl="8" w:tplc="180271FE" w:tentative="1">
      <w:start w:val="1"/>
      <w:numFmt w:val="lowerRoman"/>
      <w:lvlText w:val="%9."/>
      <w:lvlJc w:val="right"/>
      <w:pPr>
        <w:ind w:left="6480" w:hanging="180"/>
      </w:pPr>
    </w:lvl>
  </w:abstractNum>
  <w:abstractNum w:abstractNumId="6">
    <w:nsid w:val="23C5637E"/>
    <w:multiLevelType w:val="hybridMultilevel"/>
    <w:tmpl w:val="2CC849F8"/>
    <w:lvl w:ilvl="0" w:tplc="DFC8BC0A">
      <w:start w:val="1"/>
      <w:numFmt w:val="bullet"/>
      <w:lvlText w:val="•"/>
      <w:lvlJc w:val="left"/>
      <w:pPr>
        <w:tabs>
          <w:tab w:val="num" w:pos="360"/>
        </w:tabs>
        <w:ind w:left="360" w:hanging="360"/>
      </w:pPr>
      <w:rPr>
        <w:rFonts w:ascii="Arial" w:hAnsi="Arial" w:cs="Times New Roman" w:hint="default"/>
      </w:rPr>
    </w:lvl>
    <w:lvl w:ilvl="1" w:tplc="7B6ECB36">
      <w:start w:val="1"/>
      <w:numFmt w:val="bullet"/>
      <w:lvlText w:val="•"/>
      <w:lvlJc w:val="left"/>
      <w:pPr>
        <w:tabs>
          <w:tab w:val="num" w:pos="1080"/>
        </w:tabs>
        <w:ind w:left="1080" w:hanging="360"/>
      </w:pPr>
      <w:rPr>
        <w:rFonts w:ascii="Arial" w:hAnsi="Arial" w:cs="Times New Roman" w:hint="default"/>
      </w:rPr>
    </w:lvl>
    <w:lvl w:ilvl="2" w:tplc="51720C66">
      <w:start w:val="1"/>
      <w:numFmt w:val="bullet"/>
      <w:lvlText w:val="•"/>
      <w:lvlJc w:val="left"/>
      <w:pPr>
        <w:tabs>
          <w:tab w:val="num" w:pos="1800"/>
        </w:tabs>
        <w:ind w:left="1800" w:hanging="360"/>
      </w:pPr>
      <w:rPr>
        <w:rFonts w:ascii="Arial" w:hAnsi="Arial" w:cs="Times New Roman" w:hint="default"/>
      </w:rPr>
    </w:lvl>
    <w:lvl w:ilvl="3" w:tplc="F97496E8">
      <w:start w:val="1"/>
      <w:numFmt w:val="bullet"/>
      <w:lvlText w:val="•"/>
      <w:lvlJc w:val="left"/>
      <w:pPr>
        <w:tabs>
          <w:tab w:val="num" w:pos="2520"/>
        </w:tabs>
        <w:ind w:left="2520" w:hanging="360"/>
      </w:pPr>
      <w:rPr>
        <w:rFonts w:ascii="Arial" w:hAnsi="Arial" w:cs="Times New Roman" w:hint="default"/>
      </w:rPr>
    </w:lvl>
    <w:lvl w:ilvl="4" w:tplc="CD3C250C">
      <w:start w:val="1"/>
      <w:numFmt w:val="bullet"/>
      <w:lvlText w:val="•"/>
      <w:lvlJc w:val="left"/>
      <w:pPr>
        <w:tabs>
          <w:tab w:val="num" w:pos="3240"/>
        </w:tabs>
        <w:ind w:left="3240" w:hanging="360"/>
      </w:pPr>
      <w:rPr>
        <w:rFonts w:ascii="Arial" w:hAnsi="Arial" w:cs="Times New Roman" w:hint="default"/>
      </w:rPr>
    </w:lvl>
    <w:lvl w:ilvl="5" w:tplc="903837D8">
      <w:start w:val="1"/>
      <w:numFmt w:val="bullet"/>
      <w:lvlText w:val="•"/>
      <w:lvlJc w:val="left"/>
      <w:pPr>
        <w:tabs>
          <w:tab w:val="num" w:pos="3960"/>
        </w:tabs>
        <w:ind w:left="3960" w:hanging="360"/>
      </w:pPr>
      <w:rPr>
        <w:rFonts w:ascii="Arial" w:hAnsi="Arial" w:cs="Times New Roman" w:hint="default"/>
      </w:rPr>
    </w:lvl>
    <w:lvl w:ilvl="6" w:tplc="C7CC4F9C">
      <w:start w:val="1"/>
      <w:numFmt w:val="bullet"/>
      <w:lvlText w:val="•"/>
      <w:lvlJc w:val="left"/>
      <w:pPr>
        <w:tabs>
          <w:tab w:val="num" w:pos="4680"/>
        </w:tabs>
        <w:ind w:left="4680" w:hanging="360"/>
      </w:pPr>
      <w:rPr>
        <w:rFonts w:ascii="Arial" w:hAnsi="Arial" w:cs="Times New Roman" w:hint="default"/>
      </w:rPr>
    </w:lvl>
    <w:lvl w:ilvl="7" w:tplc="AAE0F39E">
      <w:start w:val="1"/>
      <w:numFmt w:val="bullet"/>
      <w:lvlText w:val="•"/>
      <w:lvlJc w:val="left"/>
      <w:pPr>
        <w:tabs>
          <w:tab w:val="num" w:pos="5400"/>
        </w:tabs>
        <w:ind w:left="5400" w:hanging="360"/>
      </w:pPr>
      <w:rPr>
        <w:rFonts w:ascii="Arial" w:hAnsi="Arial" w:cs="Times New Roman" w:hint="default"/>
      </w:rPr>
    </w:lvl>
    <w:lvl w:ilvl="8" w:tplc="A3A8DE66">
      <w:start w:val="1"/>
      <w:numFmt w:val="bullet"/>
      <w:lvlText w:val="•"/>
      <w:lvlJc w:val="left"/>
      <w:pPr>
        <w:tabs>
          <w:tab w:val="num" w:pos="6120"/>
        </w:tabs>
        <w:ind w:left="6120" w:hanging="360"/>
      </w:pPr>
      <w:rPr>
        <w:rFonts w:ascii="Arial" w:hAnsi="Arial" w:cs="Times New Roman" w:hint="default"/>
      </w:rPr>
    </w:lvl>
  </w:abstractNum>
  <w:abstractNum w:abstractNumId="7">
    <w:nsid w:val="26583EE6"/>
    <w:multiLevelType w:val="hybridMultilevel"/>
    <w:tmpl w:val="023042EA"/>
    <w:lvl w:ilvl="0" w:tplc="1596924C">
      <w:start w:val="1"/>
      <w:numFmt w:val="decimal"/>
      <w:lvlText w:val="%1."/>
      <w:lvlJc w:val="left"/>
      <w:pPr>
        <w:ind w:left="720" w:hanging="360"/>
      </w:pPr>
      <w:rPr>
        <w:rFonts w:hint="default"/>
      </w:rPr>
    </w:lvl>
    <w:lvl w:ilvl="1" w:tplc="FB4C24B8" w:tentative="1">
      <w:start w:val="1"/>
      <w:numFmt w:val="lowerLetter"/>
      <w:lvlText w:val="%2."/>
      <w:lvlJc w:val="left"/>
      <w:pPr>
        <w:ind w:left="1440" w:hanging="360"/>
      </w:pPr>
    </w:lvl>
    <w:lvl w:ilvl="2" w:tplc="F2C61E84" w:tentative="1">
      <w:start w:val="1"/>
      <w:numFmt w:val="lowerRoman"/>
      <w:lvlText w:val="%3."/>
      <w:lvlJc w:val="right"/>
      <w:pPr>
        <w:ind w:left="2160" w:hanging="180"/>
      </w:pPr>
    </w:lvl>
    <w:lvl w:ilvl="3" w:tplc="237462B4" w:tentative="1">
      <w:start w:val="1"/>
      <w:numFmt w:val="decimal"/>
      <w:lvlText w:val="%4."/>
      <w:lvlJc w:val="left"/>
      <w:pPr>
        <w:ind w:left="2880" w:hanging="360"/>
      </w:pPr>
    </w:lvl>
    <w:lvl w:ilvl="4" w:tplc="00F63C90" w:tentative="1">
      <w:start w:val="1"/>
      <w:numFmt w:val="lowerLetter"/>
      <w:lvlText w:val="%5."/>
      <w:lvlJc w:val="left"/>
      <w:pPr>
        <w:ind w:left="3600" w:hanging="360"/>
      </w:pPr>
    </w:lvl>
    <w:lvl w:ilvl="5" w:tplc="D9460EAA" w:tentative="1">
      <w:start w:val="1"/>
      <w:numFmt w:val="lowerRoman"/>
      <w:lvlText w:val="%6."/>
      <w:lvlJc w:val="right"/>
      <w:pPr>
        <w:ind w:left="4320" w:hanging="180"/>
      </w:pPr>
    </w:lvl>
    <w:lvl w:ilvl="6" w:tplc="CB6A3C40" w:tentative="1">
      <w:start w:val="1"/>
      <w:numFmt w:val="decimal"/>
      <w:lvlText w:val="%7."/>
      <w:lvlJc w:val="left"/>
      <w:pPr>
        <w:ind w:left="5040" w:hanging="360"/>
      </w:pPr>
    </w:lvl>
    <w:lvl w:ilvl="7" w:tplc="DFA2D708" w:tentative="1">
      <w:start w:val="1"/>
      <w:numFmt w:val="lowerLetter"/>
      <w:lvlText w:val="%8."/>
      <w:lvlJc w:val="left"/>
      <w:pPr>
        <w:ind w:left="5760" w:hanging="360"/>
      </w:pPr>
    </w:lvl>
    <w:lvl w:ilvl="8" w:tplc="D8663BE8" w:tentative="1">
      <w:start w:val="1"/>
      <w:numFmt w:val="lowerRoman"/>
      <w:lvlText w:val="%9."/>
      <w:lvlJc w:val="right"/>
      <w:pPr>
        <w:ind w:left="6480" w:hanging="180"/>
      </w:pPr>
    </w:lvl>
  </w:abstractNum>
  <w:abstractNum w:abstractNumId="8">
    <w:nsid w:val="32D308B0"/>
    <w:multiLevelType w:val="hybridMultilevel"/>
    <w:tmpl w:val="1792A634"/>
    <w:lvl w:ilvl="0" w:tplc="89A2AD04">
      <w:start w:val="1"/>
      <w:numFmt w:val="bullet"/>
      <w:lvlText w:val="•"/>
      <w:lvlJc w:val="left"/>
      <w:pPr>
        <w:tabs>
          <w:tab w:val="num" w:pos="360"/>
        </w:tabs>
        <w:ind w:left="360" w:hanging="360"/>
      </w:pPr>
      <w:rPr>
        <w:rFonts w:ascii="Arial" w:hAnsi="Arial" w:hint="default"/>
      </w:rPr>
    </w:lvl>
    <w:lvl w:ilvl="1" w:tplc="E9AE6014">
      <w:start w:val="1"/>
      <w:numFmt w:val="bullet"/>
      <w:lvlText w:val="•"/>
      <w:lvlJc w:val="left"/>
      <w:pPr>
        <w:tabs>
          <w:tab w:val="num" w:pos="1080"/>
        </w:tabs>
        <w:ind w:left="1080" w:hanging="360"/>
      </w:pPr>
      <w:rPr>
        <w:rFonts w:ascii="Arial" w:hAnsi="Arial" w:hint="default"/>
      </w:rPr>
    </w:lvl>
    <w:lvl w:ilvl="2" w:tplc="47BEACDC">
      <w:numFmt w:val="bullet"/>
      <w:lvlText w:val="•"/>
      <w:lvlJc w:val="left"/>
      <w:pPr>
        <w:tabs>
          <w:tab w:val="num" w:pos="1800"/>
        </w:tabs>
        <w:ind w:left="1800" w:hanging="360"/>
      </w:pPr>
      <w:rPr>
        <w:rFonts w:ascii="Arial" w:hAnsi="Arial" w:hint="default"/>
      </w:rPr>
    </w:lvl>
    <w:lvl w:ilvl="3" w:tplc="0A34C654" w:tentative="1">
      <w:start w:val="1"/>
      <w:numFmt w:val="bullet"/>
      <w:lvlText w:val="•"/>
      <w:lvlJc w:val="left"/>
      <w:pPr>
        <w:tabs>
          <w:tab w:val="num" w:pos="2520"/>
        </w:tabs>
        <w:ind w:left="2520" w:hanging="360"/>
      </w:pPr>
      <w:rPr>
        <w:rFonts w:ascii="Arial" w:hAnsi="Arial" w:hint="default"/>
      </w:rPr>
    </w:lvl>
    <w:lvl w:ilvl="4" w:tplc="FB048D6A" w:tentative="1">
      <w:start w:val="1"/>
      <w:numFmt w:val="bullet"/>
      <w:lvlText w:val="•"/>
      <w:lvlJc w:val="left"/>
      <w:pPr>
        <w:tabs>
          <w:tab w:val="num" w:pos="3240"/>
        </w:tabs>
        <w:ind w:left="3240" w:hanging="360"/>
      </w:pPr>
      <w:rPr>
        <w:rFonts w:ascii="Arial" w:hAnsi="Arial" w:hint="default"/>
      </w:rPr>
    </w:lvl>
    <w:lvl w:ilvl="5" w:tplc="C630CDA2" w:tentative="1">
      <w:start w:val="1"/>
      <w:numFmt w:val="bullet"/>
      <w:lvlText w:val="•"/>
      <w:lvlJc w:val="left"/>
      <w:pPr>
        <w:tabs>
          <w:tab w:val="num" w:pos="3960"/>
        </w:tabs>
        <w:ind w:left="3960" w:hanging="360"/>
      </w:pPr>
      <w:rPr>
        <w:rFonts w:ascii="Arial" w:hAnsi="Arial" w:hint="default"/>
      </w:rPr>
    </w:lvl>
    <w:lvl w:ilvl="6" w:tplc="7166AF82" w:tentative="1">
      <w:start w:val="1"/>
      <w:numFmt w:val="bullet"/>
      <w:lvlText w:val="•"/>
      <w:lvlJc w:val="left"/>
      <w:pPr>
        <w:tabs>
          <w:tab w:val="num" w:pos="4680"/>
        </w:tabs>
        <w:ind w:left="4680" w:hanging="360"/>
      </w:pPr>
      <w:rPr>
        <w:rFonts w:ascii="Arial" w:hAnsi="Arial" w:hint="default"/>
      </w:rPr>
    </w:lvl>
    <w:lvl w:ilvl="7" w:tplc="99E8D706" w:tentative="1">
      <w:start w:val="1"/>
      <w:numFmt w:val="bullet"/>
      <w:lvlText w:val="•"/>
      <w:lvlJc w:val="left"/>
      <w:pPr>
        <w:tabs>
          <w:tab w:val="num" w:pos="5400"/>
        </w:tabs>
        <w:ind w:left="5400" w:hanging="360"/>
      </w:pPr>
      <w:rPr>
        <w:rFonts w:ascii="Arial" w:hAnsi="Arial" w:hint="default"/>
      </w:rPr>
    </w:lvl>
    <w:lvl w:ilvl="8" w:tplc="800CB9FC" w:tentative="1">
      <w:start w:val="1"/>
      <w:numFmt w:val="bullet"/>
      <w:lvlText w:val="•"/>
      <w:lvlJc w:val="left"/>
      <w:pPr>
        <w:tabs>
          <w:tab w:val="num" w:pos="6120"/>
        </w:tabs>
        <w:ind w:left="6120" w:hanging="360"/>
      </w:pPr>
      <w:rPr>
        <w:rFonts w:ascii="Arial" w:hAnsi="Arial" w:hint="default"/>
      </w:rPr>
    </w:lvl>
  </w:abstractNum>
  <w:abstractNum w:abstractNumId="9">
    <w:nsid w:val="34EA4202"/>
    <w:multiLevelType w:val="multilevel"/>
    <w:tmpl w:val="0409001F"/>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
    <w:nsid w:val="3AED49D9"/>
    <w:multiLevelType w:val="hybridMultilevel"/>
    <w:tmpl w:val="42A8B044"/>
    <w:lvl w:ilvl="0" w:tplc="56CE7382">
      <w:start w:val="1"/>
      <w:numFmt w:val="decimal"/>
      <w:lvlText w:val="%1."/>
      <w:lvlJc w:val="left"/>
      <w:pPr>
        <w:ind w:left="360" w:hanging="360"/>
      </w:pPr>
      <w:rPr>
        <w:rFonts w:hint="default"/>
      </w:rPr>
    </w:lvl>
    <w:lvl w:ilvl="1" w:tplc="AA889792" w:tentative="1">
      <w:start w:val="1"/>
      <w:numFmt w:val="aiueoFullWidth"/>
      <w:lvlText w:val="(%2)"/>
      <w:lvlJc w:val="left"/>
      <w:pPr>
        <w:ind w:left="840" w:hanging="420"/>
      </w:pPr>
    </w:lvl>
    <w:lvl w:ilvl="2" w:tplc="1FD8266C" w:tentative="1">
      <w:start w:val="1"/>
      <w:numFmt w:val="decimalEnclosedCircle"/>
      <w:lvlText w:val="%3"/>
      <w:lvlJc w:val="left"/>
      <w:pPr>
        <w:ind w:left="1260" w:hanging="420"/>
      </w:pPr>
    </w:lvl>
    <w:lvl w:ilvl="3" w:tplc="8AE6033C" w:tentative="1">
      <w:start w:val="1"/>
      <w:numFmt w:val="decimal"/>
      <w:lvlText w:val="%4."/>
      <w:lvlJc w:val="left"/>
      <w:pPr>
        <w:ind w:left="1680" w:hanging="420"/>
      </w:pPr>
    </w:lvl>
    <w:lvl w:ilvl="4" w:tplc="7A9E7070" w:tentative="1">
      <w:start w:val="1"/>
      <w:numFmt w:val="aiueoFullWidth"/>
      <w:lvlText w:val="(%5)"/>
      <w:lvlJc w:val="left"/>
      <w:pPr>
        <w:ind w:left="2100" w:hanging="420"/>
      </w:pPr>
    </w:lvl>
    <w:lvl w:ilvl="5" w:tplc="EAD21BAE" w:tentative="1">
      <w:start w:val="1"/>
      <w:numFmt w:val="decimalEnclosedCircle"/>
      <w:lvlText w:val="%6"/>
      <w:lvlJc w:val="left"/>
      <w:pPr>
        <w:ind w:left="2520" w:hanging="420"/>
      </w:pPr>
    </w:lvl>
    <w:lvl w:ilvl="6" w:tplc="23EC6842" w:tentative="1">
      <w:start w:val="1"/>
      <w:numFmt w:val="decimal"/>
      <w:lvlText w:val="%7."/>
      <w:lvlJc w:val="left"/>
      <w:pPr>
        <w:ind w:left="2940" w:hanging="420"/>
      </w:pPr>
    </w:lvl>
    <w:lvl w:ilvl="7" w:tplc="38244F80" w:tentative="1">
      <w:start w:val="1"/>
      <w:numFmt w:val="aiueoFullWidth"/>
      <w:lvlText w:val="(%8)"/>
      <w:lvlJc w:val="left"/>
      <w:pPr>
        <w:ind w:left="3360" w:hanging="420"/>
      </w:pPr>
    </w:lvl>
    <w:lvl w:ilvl="8" w:tplc="4EF69BC6" w:tentative="1">
      <w:start w:val="1"/>
      <w:numFmt w:val="decimalEnclosedCircle"/>
      <w:lvlText w:val="%9"/>
      <w:lvlJc w:val="left"/>
      <w:pPr>
        <w:ind w:left="3780" w:hanging="420"/>
      </w:pPr>
    </w:lvl>
  </w:abstractNum>
  <w:abstractNum w:abstractNumId="11">
    <w:nsid w:val="3C1A0132"/>
    <w:multiLevelType w:val="hybridMultilevel"/>
    <w:tmpl w:val="21EEF846"/>
    <w:lvl w:ilvl="0" w:tplc="23A6FF7C">
      <w:start w:val="1"/>
      <w:numFmt w:val="decimal"/>
      <w:lvlText w:val="%1"/>
      <w:lvlJc w:val="left"/>
      <w:pPr>
        <w:ind w:left="720" w:hanging="720"/>
      </w:pPr>
      <w:rPr>
        <w:rFonts w:hint="default"/>
      </w:rPr>
    </w:lvl>
    <w:lvl w:ilvl="1" w:tplc="C1CC69A0" w:tentative="1">
      <w:start w:val="1"/>
      <w:numFmt w:val="aiueoFullWidth"/>
      <w:lvlText w:val="(%2)"/>
      <w:lvlJc w:val="left"/>
      <w:pPr>
        <w:ind w:left="840" w:hanging="420"/>
      </w:pPr>
    </w:lvl>
    <w:lvl w:ilvl="2" w:tplc="ADA4EDCC" w:tentative="1">
      <w:start w:val="1"/>
      <w:numFmt w:val="decimalEnclosedCircle"/>
      <w:lvlText w:val="%3"/>
      <w:lvlJc w:val="left"/>
      <w:pPr>
        <w:ind w:left="1260" w:hanging="420"/>
      </w:pPr>
    </w:lvl>
    <w:lvl w:ilvl="3" w:tplc="6450E4A6" w:tentative="1">
      <w:start w:val="1"/>
      <w:numFmt w:val="decimal"/>
      <w:lvlText w:val="%4."/>
      <w:lvlJc w:val="left"/>
      <w:pPr>
        <w:ind w:left="1680" w:hanging="420"/>
      </w:pPr>
    </w:lvl>
    <w:lvl w:ilvl="4" w:tplc="47143B4C" w:tentative="1">
      <w:start w:val="1"/>
      <w:numFmt w:val="aiueoFullWidth"/>
      <w:lvlText w:val="(%5)"/>
      <w:lvlJc w:val="left"/>
      <w:pPr>
        <w:ind w:left="2100" w:hanging="420"/>
      </w:pPr>
    </w:lvl>
    <w:lvl w:ilvl="5" w:tplc="3B1021BC" w:tentative="1">
      <w:start w:val="1"/>
      <w:numFmt w:val="decimalEnclosedCircle"/>
      <w:lvlText w:val="%6"/>
      <w:lvlJc w:val="left"/>
      <w:pPr>
        <w:ind w:left="2520" w:hanging="420"/>
      </w:pPr>
    </w:lvl>
    <w:lvl w:ilvl="6" w:tplc="93EA24F4" w:tentative="1">
      <w:start w:val="1"/>
      <w:numFmt w:val="decimal"/>
      <w:lvlText w:val="%7."/>
      <w:lvlJc w:val="left"/>
      <w:pPr>
        <w:ind w:left="2940" w:hanging="420"/>
      </w:pPr>
    </w:lvl>
    <w:lvl w:ilvl="7" w:tplc="E814C7F0" w:tentative="1">
      <w:start w:val="1"/>
      <w:numFmt w:val="aiueoFullWidth"/>
      <w:lvlText w:val="(%8)"/>
      <w:lvlJc w:val="left"/>
      <w:pPr>
        <w:ind w:left="3360" w:hanging="420"/>
      </w:pPr>
    </w:lvl>
    <w:lvl w:ilvl="8" w:tplc="B49C3E5A" w:tentative="1">
      <w:start w:val="1"/>
      <w:numFmt w:val="decimalEnclosedCircle"/>
      <w:lvlText w:val="%9"/>
      <w:lvlJc w:val="left"/>
      <w:pPr>
        <w:ind w:left="3780" w:hanging="420"/>
      </w:pPr>
    </w:lvl>
  </w:abstractNum>
  <w:abstractNum w:abstractNumId="12">
    <w:nsid w:val="5D7E6BC8"/>
    <w:multiLevelType w:val="hybridMultilevel"/>
    <w:tmpl w:val="4EE4EFF8"/>
    <w:lvl w:ilvl="0" w:tplc="1B4A2B98">
      <w:start w:val="1"/>
      <w:numFmt w:val="bullet"/>
      <w:lvlText w:val=""/>
      <w:lvlJc w:val="left"/>
      <w:pPr>
        <w:tabs>
          <w:tab w:val="num" w:pos="720"/>
        </w:tabs>
        <w:ind w:left="720" w:hanging="360"/>
      </w:pPr>
      <w:rPr>
        <w:rFonts w:ascii="Wingdings 2" w:hAnsi="Wingdings 2" w:hint="default"/>
      </w:rPr>
    </w:lvl>
    <w:lvl w:ilvl="1" w:tplc="D4D0ED4E" w:tentative="1">
      <w:start w:val="1"/>
      <w:numFmt w:val="bullet"/>
      <w:lvlText w:val=""/>
      <w:lvlJc w:val="left"/>
      <w:pPr>
        <w:tabs>
          <w:tab w:val="num" w:pos="1440"/>
        </w:tabs>
        <w:ind w:left="1440" w:hanging="360"/>
      </w:pPr>
      <w:rPr>
        <w:rFonts w:ascii="Wingdings 2" w:hAnsi="Wingdings 2" w:hint="default"/>
      </w:rPr>
    </w:lvl>
    <w:lvl w:ilvl="2" w:tplc="739CABEE" w:tentative="1">
      <w:start w:val="1"/>
      <w:numFmt w:val="bullet"/>
      <w:lvlText w:val=""/>
      <w:lvlJc w:val="left"/>
      <w:pPr>
        <w:tabs>
          <w:tab w:val="num" w:pos="2160"/>
        </w:tabs>
        <w:ind w:left="2160" w:hanging="360"/>
      </w:pPr>
      <w:rPr>
        <w:rFonts w:ascii="Wingdings 2" w:hAnsi="Wingdings 2" w:hint="default"/>
      </w:rPr>
    </w:lvl>
    <w:lvl w:ilvl="3" w:tplc="33ACD6B2" w:tentative="1">
      <w:start w:val="1"/>
      <w:numFmt w:val="bullet"/>
      <w:lvlText w:val=""/>
      <w:lvlJc w:val="left"/>
      <w:pPr>
        <w:tabs>
          <w:tab w:val="num" w:pos="2880"/>
        </w:tabs>
        <w:ind w:left="2880" w:hanging="360"/>
      </w:pPr>
      <w:rPr>
        <w:rFonts w:ascii="Wingdings 2" w:hAnsi="Wingdings 2" w:hint="default"/>
      </w:rPr>
    </w:lvl>
    <w:lvl w:ilvl="4" w:tplc="1244FDF2" w:tentative="1">
      <w:start w:val="1"/>
      <w:numFmt w:val="bullet"/>
      <w:lvlText w:val=""/>
      <w:lvlJc w:val="left"/>
      <w:pPr>
        <w:tabs>
          <w:tab w:val="num" w:pos="3600"/>
        </w:tabs>
        <w:ind w:left="3600" w:hanging="360"/>
      </w:pPr>
      <w:rPr>
        <w:rFonts w:ascii="Wingdings 2" w:hAnsi="Wingdings 2" w:hint="default"/>
      </w:rPr>
    </w:lvl>
    <w:lvl w:ilvl="5" w:tplc="F73E942C" w:tentative="1">
      <w:start w:val="1"/>
      <w:numFmt w:val="bullet"/>
      <w:lvlText w:val=""/>
      <w:lvlJc w:val="left"/>
      <w:pPr>
        <w:tabs>
          <w:tab w:val="num" w:pos="4320"/>
        </w:tabs>
        <w:ind w:left="4320" w:hanging="360"/>
      </w:pPr>
      <w:rPr>
        <w:rFonts w:ascii="Wingdings 2" w:hAnsi="Wingdings 2" w:hint="default"/>
      </w:rPr>
    </w:lvl>
    <w:lvl w:ilvl="6" w:tplc="D9FE6D0C" w:tentative="1">
      <w:start w:val="1"/>
      <w:numFmt w:val="bullet"/>
      <w:lvlText w:val=""/>
      <w:lvlJc w:val="left"/>
      <w:pPr>
        <w:tabs>
          <w:tab w:val="num" w:pos="5040"/>
        </w:tabs>
        <w:ind w:left="5040" w:hanging="360"/>
      </w:pPr>
      <w:rPr>
        <w:rFonts w:ascii="Wingdings 2" w:hAnsi="Wingdings 2" w:hint="default"/>
      </w:rPr>
    </w:lvl>
    <w:lvl w:ilvl="7" w:tplc="D248B980" w:tentative="1">
      <w:start w:val="1"/>
      <w:numFmt w:val="bullet"/>
      <w:lvlText w:val=""/>
      <w:lvlJc w:val="left"/>
      <w:pPr>
        <w:tabs>
          <w:tab w:val="num" w:pos="5760"/>
        </w:tabs>
        <w:ind w:left="5760" w:hanging="360"/>
      </w:pPr>
      <w:rPr>
        <w:rFonts w:ascii="Wingdings 2" w:hAnsi="Wingdings 2" w:hint="default"/>
      </w:rPr>
    </w:lvl>
    <w:lvl w:ilvl="8" w:tplc="FD6C9E80" w:tentative="1">
      <w:start w:val="1"/>
      <w:numFmt w:val="bullet"/>
      <w:lvlText w:val=""/>
      <w:lvlJc w:val="left"/>
      <w:pPr>
        <w:tabs>
          <w:tab w:val="num" w:pos="6480"/>
        </w:tabs>
        <w:ind w:left="6480" w:hanging="360"/>
      </w:pPr>
      <w:rPr>
        <w:rFonts w:ascii="Wingdings 2" w:hAnsi="Wingdings 2" w:hint="default"/>
      </w:rPr>
    </w:lvl>
  </w:abstractNum>
  <w:abstractNum w:abstractNumId="13">
    <w:nsid w:val="69B50CF0"/>
    <w:multiLevelType w:val="hybridMultilevel"/>
    <w:tmpl w:val="F91A1280"/>
    <w:lvl w:ilvl="0" w:tplc="A084747C">
      <w:start w:val="1"/>
      <w:numFmt w:val="bullet"/>
      <w:lvlText w:val="•"/>
      <w:lvlJc w:val="left"/>
      <w:pPr>
        <w:tabs>
          <w:tab w:val="num" w:pos="720"/>
        </w:tabs>
        <w:ind w:left="720" w:hanging="360"/>
      </w:pPr>
      <w:rPr>
        <w:rFonts w:ascii="Arial" w:hAnsi="Arial" w:hint="default"/>
      </w:rPr>
    </w:lvl>
    <w:lvl w:ilvl="1" w:tplc="150822E6">
      <w:start w:val="1"/>
      <w:numFmt w:val="bullet"/>
      <w:lvlText w:val="•"/>
      <w:lvlJc w:val="left"/>
      <w:pPr>
        <w:tabs>
          <w:tab w:val="num" w:pos="1440"/>
        </w:tabs>
        <w:ind w:left="1440" w:hanging="360"/>
      </w:pPr>
      <w:rPr>
        <w:rFonts w:ascii="Arial" w:hAnsi="Arial" w:hint="default"/>
      </w:rPr>
    </w:lvl>
    <w:lvl w:ilvl="2" w:tplc="33E415B4" w:tentative="1">
      <w:start w:val="1"/>
      <w:numFmt w:val="bullet"/>
      <w:lvlText w:val="•"/>
      <w:lvlJc w:val="left"/>
      <w:pPr>
        <w:tabs>
          <w:tab w:val="num" w:pos="2160"/>
        </w:tabs>
        <w:ind w:left="2160" w:hanging="360"/>
      </w:pPr>
      <w:rPr>
        <w:rFonts w:ascii="Arial" w:hAnsi="Arial" w:hint="default"/>
      </w:rPr>
    </w:lvl>
    <w:lvl w:ilvl="3" w:tplc="00424E60" w:tentative="1">
      <w:start w:val="1"/>
      <w:numFmt w:val="bullet"/>
      <w:lvlText w:val="•"/>
      <w:lvlJc w:val="left"/>
      <w:pPr>
        <w:tabs>
          <w:tab w:val="num" w:pos="2880"/>
        </w:tabs>
        <w:ind w:left="2880" w:hanging="360"/>
      </w:pPr>
      <w:rPr>
        <w:rFonts w:ascii="Arial" w:hAnsi="Arial" w:hint="default"/>
      </w:rPr>
    </w:lvl>
    <w:lvl w:ilvl="4" w:tplc="418609CA" w:tentative="1">
      <w:start w:val="1"/>
      <w:numFmt w:val="bullet"/>
      <w:lvlText w:val="•"/>
      <w:lvlJc w:val="left"/>
      <w:pPr>
        <w:tabs>
          <w:tab w:val="num" w:pos="3600"/>
        </w:tabs>
        <w:ind w:left="3600" w:hanging="360"/>
      </w:pPr>
      <w:rPr>
        <w:rFonts w:ascii="Arial" w:hAnsi="Arial" w:hint="default"/>
      </w:rPr>
    </w:lvl>
    <w:lvl w:ilvl="5" w:tplc="CCF2FBA6" w:tentative="1">
      <w:start w:val="1"/>
      <w:numFmt w:val="bullet"/>
      <w:lvlText w:val="•"/>
      <w:lvlJc w:val="left"/>
      <w:pPr>
        <w:tabs>
          <w:tab w:val="num" w:pos="4320"/>
        </w:tabs>
        <w:ind w:left="4320" w:hanging="360"/>
      </w:pPr>
      <w:rPr>
        <w:rFonts w:ascii="Arial" w:hAnsi="Arial" w:hint="default"/>
      </w:rPr>
    </w:lvl>
    <w:lvl w:ilvl="6" w:tplc="A4747914" w:tentative="1">
      <w:start w:val="1"/>
      <w:numFmt w:val="bullet"/>
      <w:lvlText w:val="•"/>
      <w:lvlJc w:val="left"/>
      <w:pPr>
        <w:tabs>
          <w:tab w:val="num" w:pos="5040"/>
        </w:tabs>
        <w:ind w:left="5040" w:hanging="360"/>
      </w:pPr>
      <w:rPr>
        <w:rFonts w:ascii="Arial" w:hAnsi="Arial" w:hint="default"/>
      </w:rPr>
    </w:lvl>
    <w:lvl w:ilvl="7" w:tplc="7AFCA2BE" w:tentative="1">
      <w:start w:val="1"/>
      <w:numFmt w:val="bullet"/>
      <w:lvlText w:val="•"/>
      <w:lvlJc w:val="left"/>
      <w:pPr>
        <w:tabs>
          <w:tab w:val="num" w:pos="5760"/>
        </w:tabs>
        <w:ind w:left="5760" w:hanging="360"/>
      </w:pPr>
      <w:rPr>
        <w:rFonts w:ascii="Arial" w:hAnsi="Arial" w:hint="default"/>
      </w:rPr>
    </w:lvl>
    <w:lvl w:ilvl="8" w:tplc="E7B4813E" w:tentative="1">
      <w:start w:val="1"/>
      <w:numFmt w:val="bullet"/>
      <w:lvlText w:val="•"/>
      <w:lvlJc w:val="left"/>
      <w:pPr>
        <w:tabs>
          <w:tab w:val="num" w:pos="6480"/>
        </w:tabs>
        <w:ind w:left="6480" w:hanging="360"/>
      </w:pPr>
      <w:rPr>
        <w:rFonts w:ascii="Arial" w:hAnsi="Arial" w:hint="default"/>
      </w:rPr>
    </w:lvl>
  </w:abstractNum>
  <w:abstractNum w:abstractNumId="14">
    <w:nsid w:val="6B7A025B"/>
    <w:multiLevelType w:val="hybridMultilevel"/>
    <w:tmpl w:val="2256B14E"/>
    <w:lvl w:ilvl="0" w:tplc="6206F9DE">
      <w:start w:val="1"/>
      <w:numFmt w:val="bullet"/>
      <w:lvlText w:val="•"/>
      <w:lvlJc w:val="left"/>
      <w:pPr>
        <w:tabs>
          <w:tab w:val="num" w:pos="720"/>
        </w:tabs>
        <w:ind w:left="720" w:hanging="360"/>
      </w:pPr>
      <w:rPr>
        <w:rFonts w:ascii="Arial" w:hAnsi="Arial" w:hint="default"/>
      </w:rPr>
    </w:lvl>
    <w:lvl w:ilvl="1" w:tplc="46908140">
      <w:start w:val="1"/>
      <w:numFmt w:val="bullet"/>
      <w:lvlText w:val="•"/>
      <w:lvlJc w:val="left"/>
      <w:pPr>
        <w:tabs>
          <w:tab w:val="num" w:pos="1440"/>
        </w:tabs>
        <w:ind w:left="1440" w:hanging="360"/>
      </w:pPr>
      <w:rPr>
        <w:rFonts w:ascii="Arial" w:hAnsi="Arial" w:hint="default"/>
      </w:rPr>
    </w:lvl>
    <w:lvl w:ilvl="2" w:tplc="E12CF86A" w:tentative="1">
      <w:start w:val="1"/>
      <w:numFmt w:val="bullet"/>
      <w:lvlText w:val="•"/>
      <w:lvlJc w:val="left"/>
      <w:pPr>
        <w:tabs>
          <w:tab w:val="num" w:pos="2160"/>
        </w:tabs>
        <w:ind w:left="2160" w:hanging="360"/>
      </w:pPr>
      <w:rPr>
        <w:rFonts w:ascii="Arial" w:hAnsi="Arial" w:hint="default"/>
      </w:rPr>
    </w:lvl>
    <w:lvl w:ilvl="3" w:tplc="C7AED84C" w:tentative="1">
      <w:start w:val="1"/>
      <w:numFmt w:val="bullet"/>
      <w:lvlText w:val="•"/>
      <w:lvlJc w:val="left"/>
      <w:pPr>
        <w:tabs>
          <w:tab w:val="num" w:pos="2880"/>
        </w:tabs>
        <w:ind w:left="2880" w:hanging="360"/>
      </w:pPr>
      <w:rPr>
        <w:rFonts w:ascii="Arial" w:hAnsi="Arial" w:hint="default"/>
      </w:rPr>
    </w:lvl>
    <w:lvl w:ilvl="4" w:tplc="728CED48" w:tentative="1">
      <w:start w:val="1"/>
      <w:numFmt w:val="bullet"/>
      <w:lvlText w:val="•"/>
      <w:lvlJc w:val="left"/>
      <w:pPr>
        <w:tabs>
          <w:tab w:val="num" w:pos="3600"/>
        </w:tabs>
        <w:ind w:left="3600" w:hanging="360"/>
      </w:pPr>
      <w:rPr>
        <w:rFonts w:ascii="Arial" w:hAnsi="Arial" w:hint="default"/>
      </w:rPr>
    </w:lvl>
    <w:lvl w:ilvl="5" w:tplc="ACDACED4" w:tentative="1">
      <w:start w:val="1"/>
      <w:numFmt w:val="bullet"/>
      <w:lvlText w:val="•"/>
      <w:lvlJc w:val="left"/>
      <w:pPr>
        <w:tabs>
          <w:tab w:val="num" w:pos="4320"/>
        </w:tabs>
        <w:ind w:left="4320" w:hanging="360"/>
      </w:pPr>
      <w:rPr>
        <w:rFonts w:ascii="Arial" w:hAnsi="Arial" w:hint="default"/>
      </w:rPr>
    </w:lvl>
    <w:lvl w:ilvl="6" w:tplc="2BB6611A" w:tentative="1">
      <w:start w:val="1"/>
      <w:numFmt w:val="bullet"/>
      <w:lvlText w:val="•"/>
      <w:lvlJc w:val="left"/>
      <w:pPr>
        <w:tabs>
          <w:tab w:val="num" w:pos="5040"/>
        </w:tabs>
        <w:ind w:left="5040" w:hanging="360"/>
      </w:pPr>
      <w:rPr>
        <w:rFonts w:ascii="Arial" w:hAnsi="Arial" w:hint="default"/>
      </w:rPr>
    </w:lvl>
    <w:lvl w:ilvl="7" w:tplc="80C0C338" w:tentative="1">
      <w:start w:val="1"/>
      <w:numFmt w:val="bullet"/>
      <w:lvlText w:val="•"/>
      <w:lvlJc w:val="left"/>
      <w:pPr>
        <w:tabs>
          <w:tab w:val="num" w:pos="5760"/>
        </w:tabs>
        <w:ind w:left="5760" w:hanging="360"/>
      </w:pPr>
      <w:rPr>
        <w:rFonts w:ascii="Arial" w:hAnsi="Arial" w:hint="default"/>
      </w:rPr>
    </w:lvl>
    <w:lvl w:ilvl="8" w:tplc="B74A1A68" w:tentative="1">
      <w:start w:val="1"/>
      <w:numFmt w:val="bullet"/>
      <w:lvlText w:val="•"/>
      <w:lvlJc w:val="left"/>
      <w:pPr>
        <w:tabs>
          <w:tab w:val="num" w:pos="6480"/>
        </w:tabs>
        <w:ind w:left="6480" w:hanging="360"/>
      </w:pPr>
      <w:rPr>
        <w:rFonts w:ascii="Arial" w:hAnsi="Arial" w:hint="default"/>
      </w:rPr>
    </w:lvl>
  </w:abstractNum>
  <w:abstractNum w:abstractNumId="15">
    <w:nsid w:val="71C6086C"/>
    <w:multiLevelType w:val="multilevel"/>
    <w:tmpl w:val="A5E49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4"/>
  </w:num>
  <w:num w:numId="3">
    <w:abstractNumId w:val="9"/>
  </w:num>
  <w:num w:numId="4">
    <w:abstractNumId w:val="1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7"/>
  </w:num>
  <w:num w:numId="9">
    <w:abstractNumId w:val="5"/>
  </w:num>
  <w:num w:numId="10">
    <w:abstractNumId w:val="2"/>
  </w:num>
  <w:num w:numId="11">
    <w:abstractNumId w:val="3"/>
  </w:num>
  <w:num w:numId="12">
    <w:abstractNumId w:val="14"/>
  </w:num>
  <w:num w:numId="13">
    <w:abstractNumId w:val="13"/>
  </w:num>
  <w:num w:numId="14">
    <w:abstractNumId w:val="0"/>
  </w:num>
  <w:num w:numId="15">
    <w:abstractNumId w:val="12"/>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03A26"/>
    <w:rsid w:val="000A6815"/>
    <w:rsid w:val="0015644E"/>
    <w:rsid w:val="00403A26"/>
    <w:rsid w:val="00462E35"/>
    <w:rsid w:val="00C44F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A26"/>
  </w:style>
  <w:style w:type="paragraph" w:styleId="Heading1">
    <w:name w:val="heading 1"/>
    <w:basedOn w:val="Normal"/>
    <w:next w:val="Normal"/>
    <w:link w:val="Heading1Char"/>
    <w:autoRedefine/>
    <w:uiPriority w:val="9"/>
    <w:qFormat/>
    <w:rsid w:val="00403A26"/>
    <w:pPr>
      <w:keepNext/>
      <w:keepLines/>
      <w:widowControl w:val="0"/>
      <w:numPr>
        <w:numId w:val="9"/>
      </w:numPr>
      <w:spacing w:before="480" w:after="240" w:line="240" w:lineRule="auto"/>
      <w:jc w:val="both"/>
      <w:outlineLvl w:val="0"/>
    </w:pPr>
    <w:rPr>
      <w:rFonts w:ascii="Times New Roman" w:eastAsiaTheme="majorEastAsia" w:hAnsi="Times New Roman" w:cstheme="majorBidi"/>
      <w:b/>
      <w:kern w:val="2"/>
      <w:szCs w:val="32"/>
      <w:lang w:val="en-US" w:eastAsia="ja-JP"/>
    </w:rPr>
  </w:style>
  <w:style w:type="paragraph" w:styleId="Heading2">
    <w:name w:val="heading 2"/>
    <w:basedOn w:val="Normal"/>
    <w:next w:val="Normal"/>
    <w:link w:val="Heading2Char"/>
    <w:autoRedefine/>
    <w:uiPriority w:val="9"/>
    <w:unhideWhenUsed/>
    <w:qFormat/>
    <w:rsid w:val="00403A26"/>
    <w:pPr>
      <w:keepNext/>
      <w:keepLines/>
      <w:widowControl w:val="0"/>
      <w:spacing w:before="400" w:after="360" w:line="240" w:lineRule="auto"/>
      <w:jc w:val="both"/>
      <w:outlineLvl w:val="1"/>
    </w:pPr>
    <w:rPr>
      <w:rFonts w:ascii="Times New Roman" w:eastAsiaTheme="majorEastAsia" w:hAnsi="Times New Roman" w:cstheme="majorBidi"/>
      <w:color w:val="000000" w:themeColor="text1"/>
      <w:kern w:val="2"/>
      <w:sz w:val="24"/>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A26"/>
    <w:rPr>
      <w:rFonts w:ascii="Times New Roman" w:eastAsiaTheme="majorEastAsia" w:hAnsi="Times New Roman" w:cstheme="majorBidi"/>
      <w:b/>
      <w:kern w:val="2"/>
      <w:szCs w:val="32"/>
      <w:lang w:val="en-US" w:eastAsia="ja-JP"/>
    </w:rPr>
  </w:style>
  <w:style w:type="character" w:customStyle="1" w:styleId="Heading2Char">
    <w:name w:val="Heading 2 Char"/>
    <w:basedOn w:val="DefaultParagraphFont"/>
    <w:link w:val="Heading2"/>
    <w:uiPriority w:val="9"/>
    <w:rsid w:val="00403A26"/>
    <w:rPr>
      <w:rFonts w:ascii="Times New Roman" w:eastAsiaTheme="majorEastAsia" w:hAnsi="Times New Roman" w:cstheme="majorBidi"/>
      <w:color w:val="000000" w:themeColor="text1"/>
      <w:kern w:val="2"/>
      <w:sz w:val="24"/>
      <w:szCs w:val="26"/>
      <w:lang w:val="en-US" w:eastAsia="ja-JP"/>
    </w:rPr>
  </w:style>
  <w:style w:type="paragraph" w:styleId="ListParagraph">
    <w:name w:val="List Paragraph"/>
    <w:basedOn w:val="Normal"/>
    <w:uiPriority w:val="34"/>
    <w:qFormat/>
    <w:rsid w:val="00403A26"/>
    <w:pPr>
      <w:widowControl w:val="0"/>
      <w:spacing w:after="0" w:line="240" w:lineRule="auto"/>
      <w:ind w:leftChars="400" w:left="840"/>
      <w:jc w:val="both"/>
    </w:pPr>
    <w:rPr>
      <w:rFonts w:ascii="Times New Roman" w:eastAsiaTheme="minorEastAsia" w:hAnsi="Times New Roman"/>
      <w:kern w:val="2"/>
      <w:sz w:val="21"/>
      <w:lang w:val="en-US" w:eastAsia="ja-JP"/>
    </w:rPr>
  </w:style>
  <w:style w:type="paragraph" w:styleId="FootnoteText">
    <w:name w:val="footnote text"/>
    <w:basedOn w:val="Normal"/>
    <w:link w:val="FootnoteTextChar"/>
    <w:uiPriority w:val="99"/>
    <w:unhideWhenUsed/>
    <w:rsid w:val="00403A26"/>
    <w:pPr>
      <w:widowControl w:val="0"/>
      <w:snapToGrid w:val="0"/>
      <w:spacing w:after="0" w:line="240" w:lineRule="auto"/>
    </w:pPr>
    <w:rPr>
      <w:rFonts w:ascii="Times New Roman" w:eastAsiaTheme="minorEastAsia" w:hAnsi="Times New Roman"/>
      <w:kern w:val="2"/>
      <w:sz w:val="21"/>
      <w:lang w:val="en-US" w:eastAsia="ja-JP"/>
    </w:rPr>
  </w:style>
  <w:style w:type="character" w:customStyle="1" w:styleId="FootnoteTextChar">
    <w:name w:val="Footnote Text Char"/>
    <w:basedOn w:val="DefaultParagraphFont"/>
    <w:link w:val="FootnoteText"/>
    <w:uiPriority w:val="99"/>
    <w:rsid w:val="00403A26"/>
    <w:rPr>
      <w:rFonts w:ascii="Times New Roman" w:eastAsiaTheme="minorEastAsia" w:hAnsi="Times New Roman"/>
      <w:kern w:val="2"/>
      <w:sz w:val="21"/>
      <w:lang w:val="en-US" w:eastAsia="ja-JP"/>
    </w:rPr>
  </w:style>
  <w:style w:type="character" w:styleId="FootnoteReference">
    <w:name w:val="footnote reference"/>
    <w:basedOn w:val="DefaultParagraphFont"/>
    <w:uiPriority w:val="99"/>
    <w:unhideWhenUsed/>
    <w:rsid w:val="00403A26"/>
    <w:rPr>
      <w:vertAlign w:val="superscript"/>
    </w:rPr>
  </w:style>
  <w:style w:type="paragraph" w:styleId="Title">
    <w:name w:val="Title"/>
    <w:basedOn w:val="Normal"/>
    <w:next w:val="Normal"/>
    <w:link w:val="TitleChar"/>
    <w:autoRedefine/>
    <w:uiPriority w:val="10"/>
    <w:qFormat/>
    <w:rsid w:val="00403A26"/>
    <w:pPr>
      <w:widowControl w:val="0"/>
      <w:spacing w:after="0"/>
      <w:contextualSpacing/>
      <w:jc w:val="center"/>
    </w:pPr>
    <w:rPr>
      <w:rFonts w:ascii="Times New Roman" w:eastAsiaTheme="majorEastAsia" w:hAnsi="Times New Roman" w:cs="Times New Roman"/>
      <w:spacing w:val="-10"/>
      <w:kern w:val="28"/>
      <w:sz w:val="36"/>
      <w:szCs w:val="44"/>
      <w:lang w:val="en-US" w:eastAsia="ja-JP"/>
    </w:rPr>
  </w:style>
  <w:style w:type="character" w:customStyle="1" w:styleId="TitleChar">
    <w:name w:val="Title Char"/>
    <w:basedOn w:val="DefaultParagraphFont"/>
    <w:link w:val="Title"/>
    <w:uiPriority w:val="10"/>
    <w:rsid w:val="00403A26"/>
    <w:rPr>
      <w:rFonts w:ascii="Times New Roman" w:eastAsiaTheme="majorEastAsia" w:hAnsi="Times New Roman" w:cs="Times New Roman"/>
      <w:spacing w:val="-10"/>
      <w:kern w:val="28"/>
      <w:sz w:val="36"/>
      <w:szCs w:val="44"/>
      <w:lang w:val="en-US" w:eastAsia="ja-JP"/>
    </w:rPr>
  </w:style>
  <w:style w:type="paragraph" w:styleId="Header">
    <w:name w:val="header"/>
    <w:basedOn w:val="Normal"/>
    <w:link w:val="HeaderChar"/>
    <w:uiPriority w:val="99"/>
    <w:unhideWhenUsed/>
    <w:rsid w:val="00403A26"/>
    <w:pPr>
      <w:widowControl w:val="0"/>
      <w:tabs>
        <w:tab w:val="center" w:pos="4680"/>
        <w:tab w:val="right" w:pos="9360"/>
      </w:tabs>
      <w:spacing w:after="0" w:line="240" w:lineRule="auto"/>
      <w:jc w:val="both"/>
    </w:pPr>
    <w:rPr>
      <w:rFonts w:ascii="Times New Roman" w:eastAsiaTheme="minorEastAsia" w:hAnsi="Times New Roman"/>
      <w:kern w:val="2"/>
      <w:sz w:val="21"/>
      <w:lang w:val="en-US" w:eastAsia="ja-JP"/>
    </w:rPr>
  </w:style>
  <w:style w:type="character" w:customStyle="1" w:styleId="HeaderChar">
    <w:name w:val="Header Char"/>
    <w:basedOn w:val="DefaultParagraphFont"/>
    <w:link w:val="Header"/>
    <w:uiPriority w:val="99"/>
    <w:rsid w:val="00403A26"/>
    <w:rPr>
      <w:rFonts w:ascii="Times New Roman" w:eastAsiaTheme="minorEastAsia" w:hAnsi="Times New Roman"/>
      <w:kern w:val="2"/>
      <w:sz w:val="21"/>
      <w:lang w:val="en-US" w:eastAsia="ja-JP"/>
    </w:rPr>
  </w:style>
  <w:style w:type="paragraph" w:styleId="Footer">
    <w:name w:val="footer"/>
    <w:basedOn w:val="Normal"/>
    <w:link w:val="FooterChar"/>
    <w:uiPriority w:val="99"/>
    <w:unhideWhenUsed/>
    <w:rsid w:val="00403A26"/>
    <w:pPr>
      <w:widowControl w:val="0"/>
      <w:tabs>
        <w:tab w:val="center" w:pos="4680"/>
        <w:tab w:val="right" w:pos="9360"/>
      </w:tabs>
      <w:spacing w:after="0" w:line="240" w:lineRule="auto"/>
      <w:jc w:val="both"/>
    </w:pPr>
    <w:rPr>
      <w:rFonts w:ascii="Times New Roman" w:eastAsiaTheme="minorEastAsia" w:hAnsi="Times New Roman"/>
      <w:kern w:val="2"/>
      <w:sz w:val="21"/>
      <w:lang w:val="en-US" w:eastAsia="ja-JP"/>
    </w:rPr>
  </w:style>
  <w:style w:type="character" w:customStyle="1" w:styleId="FooterChar">
    <w:name w:val="Footer Char"/>
    <w:basedOn w:val="DefaultParagraphFont"/>
    <w:link w:val="Footer"/>
    <w:uiPriority w:val="99"/>
    <w:rsid w:val="00403A26"/>
    <w:rPr>
      <w:rFonts w:ascii="Times New Roman" w:eastAsiaTheme="minorEastAsia" w:hAnsi="Times New Roman"/>
      <w:kern w:val="2"/>
      <w:sz w:val="21"/>
      <w:lang w:val="en-US" w:eastAsia="ja-JP"/>
    </w:rPr>
  </w:style>
  <w:style w:type="paragraph" w:customStyle="1" w:styleId="EndNoteBibliographyTitle">
    <w:name w:val="EndNote Bibliography Title"/>
    <w:basedOn w:val="Normal"/>
    <w:link w:val="EndNoteBibliographyTitleChar"/>
    <w:rsid w:val="00403A26"/>
    <w:pPr>
      <w:widowControl w:val="0"/>
      <w:spacing w:after="0" w:line="240" w:lineRule="auto"/>
      <w:jc w:val="center"/>
    </w:pPr>
    <w:rPr>
      <w:rFonts w:ascii="Century" w:eastAsiaTheme="minorEastAsia" w:hAnsi="Century"/>
      <w:noProof/>
      <w:kern w:val="2"/>
      <w:sz w:val="20"/>
      <w:lang w:val="en-US" w:eastAsia="ja-JP"/>
    </w:rPr>
  </w:style>
  <w:style w:type="character" w:customStyle="1" w:styleId="EndNoteBibliographyTitleChar">
    <w:name w:val="EndNote Bibliography Title Char"/>
    <w:basedOn w:val="DefaultParagraphFont"/>
    <w:link w:val="EndNoteBibliographyTitle"/>
    <w:rsid w:val="00403A26"/>
    <w:rPr>
      <w:rFonts w:ascii="Century" w:eastAsiaTheme="minorEastAsia" w:hAnsi="Century"/>
      <w:noProof/>
      <w:kern w:val="2"/>
      <w:sz w:val="20"/>
      <w:lang w:val="en-US" w:eastAsia="ja-JP"/>
    </w:rPr>
  </w:style>
  <w:style w:type="paragraph" w:customStyle="1" w:styleId="EndNoteBibliography">
    <w:name w:val="EndNote Bibliography"/>
    <w:basedOn w:val="Normal"/>
    <w:link w:val="EndNoteBibliographyChar"/>
    <w:rsid w:val="00403A26"/>
    <w:pPr>
      <w:widowControl w:val="0"/>
      <w:spacing w:after="0" w:line="240" w:lineRule="auto"/>
      <w:jc w:val="both"/>
    </w:pPr>
    <w:rPr>
      <w:rFonts w:ascii="Century" w:eastAsiaTheme="minorEastAsia" w:hAnsi="Century"/>
      <w:noProof/>
      <w:kern w:val="2"/>
      <w:sz w:val="20"/>
      <w:lang w:val="en-US" w:eastAsia="ja-JP"/>
    </w:rPr>
  </w:style>
  <w:style w:type="character" w:customStyle="1" w:styleId="EndNoteBibliographyChar">
    <w:name w:val="EndNote Bibliography Char"/>
    <w:basedOn w:val="DefaultParagraphFont"/>
    <w:link w:val="EndNoteBibliography"/>
    <w:rsid w:val="00403A26"/>
    <w:rPr>
      <w:rFonts w:ascii="Century" w:eastAsiaTheme="minorEastAsia" w:hAnsi="Century"/>
      <w:noProof/>
      <w:kern w:val="2"/>
      <w:sz w:val="20"/>
      <w:lang w:val="en-US" w:eastAsia="ja-JP"/>
    </w:rPr>
  </w:style>
  <w:style w:type="table" w:customStyle="1" w:styleId="TableGrid3">
    <w:name w:val="Table Grid3"/>
    <w:basedOn w:val="TableNormal"/>
    <w:next w:val="TableGrid"/>
    <w:uiPriority w:val="39"/>
    <w:rsid w:val="00403A26"/>
    <w:pPr>
      <w:spacing w:after="0" w:line="240" w:lineRule="auto"/>
    </w:pPr>
    <w:rPr>
      <w:rFonts w:eastAsiaTheme="minorEastAsia"/>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03A26"/>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3A26"/>
    <w:pPr>
      <w:widowControl w:val="0"/>
      <w:spacing w:after="0" w:line="240" w:lineRule="auto"/>
      <w:jc w:val="both"/>
    </w:pPr>
    <w:rPr>
      <w:rFonts w:asciiTheme="majorHAnsi" w:eastAsiaTheme="majorEastAsia" w:hAnsiTheme="majorHAnsi" w:cstheme="majorBidi"/>
      <w:kern w:val="2"/>
      <w:sz w:val="18"/>
      <w:szCs w:val="18"/>
      <w:lang w:val="en-US" w:eastAsia="ja-JP"/>
    </w:rPr>
  </w:style>
  <w:style w:type="character" w:customStyle="1" w:styleId="BalloonTextChar">
    <w:name w:val="Balloon Text Char"/>
    <w:basedOn w:val="DefaultParagraphFont"/>
    <w:link w:val="BalloonText"/>
    <w:uiPriority w:val="99"/>
    <w:semiHidden/>
    <w:rsid w:val="00403A26"/>
    <w:rPr>
      <w:rFonts w:asciiTheme="majorHAnsi" w:eastAsiaTheme="majorEastAsia" w:hAnsiTheme="majorHAnsi" w:cstheme="majorBidi"/>
      <w:kern w:val="2"/>
      <w:sz w:val="18"/>
      <w:szCs w:val="18"/>
      <w:lang w:val="en-US" w:eastAsia="ja-JP"/>
    </w:rPr>
  </w:style>
  <w:style w:type="character" w:styleId="LineNumber">
    <w:name w:val="line number"/>
    <w:basedOn w:val="DefaultParagraphFont"/>
    <w:uiPriority w:val="99"/>
    <w:semiHidden/>
    <w:unhideWhenUsed/>
    <w:rsid w:val="00403A26"/>
  </w:style>
  <w:style w:type="paragraph" w:styleId="Revision">
    <w:name w:val="Revision"/>
    <w:hidden/>
    <w:uiPriority w:val="99"/>
    <w:semiHidden/>
    <w:rsid w:val="00403A26"/>
    <w:pPr>
      <w:spacing w:after="0" w:line="240" w:lineRule="auto"/>
    </w:pPr>
    <w:rPr>
      <w:rFonts w:eastAsiaTheme="minorEastAsia"/>
      <w:kern w:val="2"/>
      <w:sz w:val="21"/>
      <w:lang w:val="en-US" w:eastAsia="ja-JP"/>
    </w:rPr>
  </w:style>
  <w:style w:type="character" w:styleId="CommentReference">
    <w:name w:val="annotation reference"/>
    <w:basedOn w:val="DefaultParagraphFont"/>
    <w:uiPriority w:val="99"/>
    <w:semiHidden/>
    <w:unhideWhenUsed/>
    <w:rsid w:val="00403A26"/>
    <w:rPr>
      <w:rFonts w:ascii="Tahoma" w:hAnsi="Tahoma" w:cs="Tahoma"/>
      <w:b w:val="0"/>
      <w:i w:val="0"/>
      <w:caps w:val="0"/>
      <w:strike w:val="0"/>
      <w:sz w:val="16"/>
      <w:szCs w:val="18"/>
      <w:u w:val="none"/>
    </w:rPr>
  </w:style>
  <w:style w:type="paragraph" w:styleId="CommentText">
    <w:name w:val="annotation text"/>
    <w:basedOn w:val="Normal"/>
    <w:link w:val="CommentTextChar"/>
    <w:uiPriority w:val="99"/>
    <w:semiHidden/>
    <w:unhideWhenUsed/>
    <w:rsid w:val="00403A26"/>
    <w:pPr>
      <w:widowControl w:val="0"/>
      <w:spacing w:after="0" w:line="240" w:lineRule="auto"/>
      <w:jc w:val="both"/>
    </w:pPr>
    <w:rPr>
      <w:rFonts w:ascii="Tahoma" w:eastAsiaTheme="minorEastAsia" w:hAnsi="Tahoma" w:cs="Tahoma"/>
      <w:kern w:val="2"/>
      <w:sz w:val="16"/>
      <w:szCs w:val="24"/>
      <w:lang w:val="en-US" w:eastAsia="ja-JP"/>
    </w:rPr>
  </w:style>
  <w:style w:type="character" w:customStyle="1" w:styleId="CommentTextChar">
    <w:name w:val="Comment Text Char"/>
    <w:basedOn w:val="DefaultParagraphFont"/>
    <w:link w:val="CommentText"/>
    <w:uiPriority w:val="99"/>
    <w:semiHidden/>
    <w:rsid w:val="00403A26"/>
    <w:rPr>
      <w:rFonts w:ascii="Tahoma" w:eastAsiaTheme="minorEastAsia" w:hAnsi="Tahoma" w:cs="Tahoma"/>
      <w:kern w:val="2"/>
      <w:sz w:val="16"/>
      <w:szCs w:val="24"/>
      <w:lang w:val="en-US" w:eastAsia="ja-JP"/>
    </w:rPr>
  </w:style>
  <w:style w:type="paragraph" w:styleId="CommentSubject">
    <w:name w:val="annotation subject"/>
    <w:basedOn w:val="CommentText"/>
    <w:next w:val="CommentText"/>
    <w:link w:val="CommentSubjectChar"/>
    <w:uiPriority w:val="99"/>
    <w:semiHidden/>
    <w:unhideWhenUsed/>
    <w:rsid w:val="00403A26"/>
    <w:rPr>
      <w:b/>
      <w:bCs/>
      <w:sz w:val="20"/>
      <w:szCs w:val="20"/>
    </w:rPr>
  </w:style>
  <w:style w:type="character" w:customStyle="1" w:styleId="CommentSubjectChar">
    <w:name w:val="Comment Subject Char"/>
    <w:basedOn w:val="CommentTextChar"/>
    <w:link w:val="CommentSubject"/>
    <w:uiPriority w:val="99"/>
    <w:semiHidden/>
    <w:rsid w:val="00403A26"/>
    <w:rPr>
      <w:rFonts w:ascii="Tahoma" w:eastAsiaTheme="minorEastAsia" w:hAnsi="Tahoma" w:cs="Tahoma"/>
      <w:b/>
      <w:bCs/>
      <w:kern w:val="2"/>
      <w:sz w:val="20"/>
      <w:szCs w:val="20"/>
      <w:lang w:val="en-US" w:eastAsia="ja-JP"/>
    </w:rPr>
  </w:style>
  <w:style w:type="table" w:customStyle="1" w:styleId="PlainTable2">
    <w:name w:val="Plain Table 2"/>
    <w:basedOn w:val="TableNormal"/>
    <w:uiPriority w:val="42"/>
    <w:rsid w:val="00403A26"/>
    <w:pPr>
      <w:spacing w:after="0" w:line="240" w:lineRule="auto"/>
    </w:pPr>
    <w:rPr>
      <w:rFonts w:eastAsiaTheme="minorEastAsia"/>
      <w:lang w:val="en-US"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Chapter">
    <w:name w:val="Table_Chapter"/>
    <w:basedOn w:val="Normal"/>
    <w:link w:val="TableChapterChar"/>
    <w:autoRedefine/>
    <w:qFormat/>
    <w:rsid w:val="00403A26"/>
    <w:pPr>
      <w:spacing w:after="0" w:line="360" w:lineRule="auto"/>
    </w:pPr>
    <w:rPr>
      <w:rFonts w:ascii="Times New Roman" w:eastAsia="Calibri" w:hAnsi="Times New Roman" w:cs="Times New Roman"/>
      <w:lang w:val="en-US"/>
    </w:rPr>
  </w:style>
  <w:style w:type="character" w:customStyle="1" w:styleId="TableChapterChar">
    <w:name w:val="Table_Chapter Char"/>
    <w:basedOn w:val="DefaultParagraphFont"/>
    <w:link w:val="TableChapter"/>
    <w:rsid w:val="00403A26"/>
    <w:rPr>
      <w:rFonts w:ascii="Times New Roman" w:eastAsia="Calibri" w:hAnsi="Times New Roman" w:cs="Times New Roman"/>
      <w:lang w:val="en-US"/>
    </w:rPr>
  </w:style>
  <w:style w:type="paragraph" w:styleId="NormalWeb">
    <w:name w:val="Normal (Web)"/>
    <w:basedOn w:val="Normal"/>
    <w:uiPriority w:val="99"/>
    <w:semiHidden/>
    <w:unhideWhenUsed/>
    <w:rsid w:val="00403A26"/>
    <w:pPr>
      <w:spacing w:before="100" w:beforeAutospacing="1" w:after="100" w:afterAutospacing="1" w:line="240" w:lineRule="auto"/>
    </w:pPr>
    <w:rPr>
      <w:rFonts w:ascii="MS PGothic" w:eastAsia="MS PGothic" w:hAnsi="MS PGothic" w:cs="MS PGothic"/>
      <w:sz w:val="24"/>
      <w:szCs w:val="24"/>
      <w:lang w:val="en-US" w:eastAsia="ja-JP"/>
    </w:rPr>
  </w:style>
  <w:style w:type="character" w:styleId="Hyperlink">
    <w:name w:val="Hyperlink"/>
    <w:basedOn w:val="DefaultParagraphFont"/>
    <w:uiPriority w:val="99"/>
    <w:unhideWhenUsed/>
    <w:rsid w:val="00403A26"/>
    <w:rPr>
      <w:color w:val="0000FF" w:themeColor="hyperlink"/>
      <w:u w:val="single"/>
    </w:rPr>
  </w:style>
  <w:style w:type="character" w:customStyle="1" w:styleId="UnresolvedMention1">
    <w:name w:val="Unresolved Mention1"/>
    <w:basedOn w:val="DefaultParagraphFont"/>
    <w:uiPriority w:val="99"/>
    <w:semiHidden/>
    <w:unhideWhenUsed/>
    <w:rsid w:val="00403A26"/>
    <w:rPr>
      <w:color w:val="605E5C"/>
      <w:shd w:val="clear" w:color="auto" w:fill="E1DFDD"/>
    </w:rPr>
  </w:style>
  <w:style w:type="table" w:customStyle="1" w:styleId="21">
    <w:name w:val="標準の表 21"/>
    <w:basedOn w:val="TableNormal"/>
    <w:next w:val="PlainTable2"/>
    <w:uiPriority w:val="42"/>
    <w:rsid w:val="00403A26"/>
    <w:pPr>
      <w:spacing w:after="0" w:line="240" w:lineRule="auto"/>
    </w:pPr>
    <w:rPr>
      <w:rFonts w:eastAsiaTheme="minorEastAsia"/>
      <w:kern w:val="2"/>
      <w:sz w:val="21"/>
      <w:lang w:val="en-US" w:eastAsia="ja-JP"/>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lo.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RY\Downloads\IWR2017data_conv.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Y\Downloads\CWN%202018.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Y\Downloads\CWN%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028784971963251E-2"/>
          <c:y val="4.1706161137440835E-2"/>
          <c:w val="0.89994407448833746"/>
          <c:h val="0.85962070381012845"/>
        </c:manualLayout>
      </c:layout>
      <c:scatterChart>
        <c:scatterStyle val="lineMarker"/>
        <c:varyColors val="0"/>
        <c:ser>
          <c:idx val="0"/>
          <c:order val="0"/>
          <c:tx>
            <c:v>Low Income</c:v>
          </c:tx>
          <c:spPr>
            <a:ln w="25400" cap="rnd">
              <a:noFill/>
              <a:round/>
            </a:ln>
            <a:effectLst/>
          </c:spPr>
          <c:marker>
            <c:symbol val="circle"/>
            <c:size val="5"/>
            <c:spPr>
              <a:solidFill>
                <a:schemeClr val="accent6">
                  <a:lumMod val="40000"/>
                  <a:lumOff val="60000"/>
                </a:schemeClr>
              </a:solidFill>
              <a:ln w="9525">
                <a:solidFill>
                  <a:schemeClr val="accent6">
                    <a:lumMod val="40000"/>
                    <a:lumOff val="60000"/>
                  </a:schemeClr>
                </a:solidFill>
              </a:ln>
              <a:effectLst/>
            </c:spPr>
          </c:marker>
          <c:dLbls>
            <c:dLbl>
              <c:idx val="0"/>
              <c:layout/>
              <c:tx>
                <c:rich>
                  <a:bodyPr/>
                  <a:lstStyle/>
                  <a:p>
                    <a:fld id="{E5B6782E-E17F-480C-8849-EB4D56315AAC}"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0-D6E8-413F-A6D7-8826624DF820}"/>
                </c:ext>
              </c:extLst>
            </c:dLbl>
            <c:dLbl>
              <c:idx val="1"/>
              <c:layout/>
              <c:tx>
                <c:rich>
                  <a:bodyPr/>
                  <a:lstStyle/>
                  <a:p>
                    <a:fld id="{8F96BDAB-0713-4B95-BB1E-DDB887517BC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6E8-413F-A6D7-8826624DF820}"/>
                </c:ext>
              </c:extLst>
            </c:dLbl>
            <c:dLbl>
              <c:idx val="2"/>
              <c:layout/>
              <c:tx>
                <c:rich>
                  <a:bodyPr/>
                  <a:lstStyle/>
                  <a:p>
                    <a:fld id="{77B23860-74CA-4ADF-A801-B4C7B200ADA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6E8-413F-A6D7-8826624DF820}"/>
                </c:ext>
              </c:extLst>
            </c:dLbl>
            <c:dLbl>
              <c:idx val="3"/>
              <c:layout/>
              <c:tx>
                <c:rich>
                  <a:bodyPr/>
                  <a:lstStyle/>
                  <a:p>
                    <a:fld id="{FB45AF98-CC14-4D15-8B91-01A83FF0430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6E8-413F-A6D7-8826624DF820}"/>
                </c:ext>
              </c:extLst>
            </c:dLbl>
            <c:dLbl>
              <c:idx val="4"/>
              <c:layout/>
              <c:tx>
                <c:rich>
                  <a:bodyPr/>
                  <a:lstStyle/>
                  <a:p>
                    <a:fld id="{F03D585E-78C0-45FB-A458-DA07F7D6EF4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D6E8-413F-A6D7-8826624DF820}"/>
                </c:ext>
              </c:extLst>
            </c:dLbl>
            <c:dLbl>
              <c:idx val="5"/>
              <c:layout/>
              <c:tx>
                <c:rich>
                  <a:bodyPr/>
                  <a:lstStyle/>
                  <a:p>
                    <a:fld id="{4BEBBD93-5A3D-410B-BF5D-14BBE10532F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D6E8-413F-A6D7-8826624DF820}"/>
                </c:ext>
              </c:extLst>
            </c:dLbl>
            <c:dLbl>
              <c:idx val="6"/>
              <c:layout/>
              <c:tx>
                <c:rich>
                  <a:bodyPr/>
                  <a:lstStyle/>
                  <a:p>
                    <a:fld id="{D69C834A-C30E-46A2-93C1-3026FAFCC9C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D6E8-413F-A6D7-8826624DF820}"/>
                </c:ext>
              </c:extLst>
            </c:dLbl>
            <c:dLbl>
              <c:idx val="7"/>
              <c:layout/>
              <c:tx>
                <c:rich>
                  <a:bodyPr/>
                  <a:lstStyle/>
                  <a:p>
                    <a:fld id="{70E218A6-9FCC-48D2-9951-28B5F63635F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D6E8-413F-A6D7-8826624DF820}"/>
                </c:ext>
              </c:extLst>
            </c:dLbl>
            <c:dLbl>
              <c:idx val="8"/>
              <c:layout/>
              <c:tx>
                <c:rich>
                  <a:bodyPr/>
                  <a:lstStyle/>
                  <a:p>
                    <a:fld id="{19F17146-2001-44F4-8E77-1ED1E976479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D6E8-413F-A6D7-8826624DF820}"/>
                </c:ext>
              </c:extLst>
            </c:dLbl>
            <c:dLbl>
              <c:idx val="9"/>
              <c:layout/>
              <c:tx>
                <c:rich>
                  <a:bodyPr/>
                  <a:lstStyle/>
                  <a:p>
                    <a:fld id="{DC33079F-B8E2-4695-A78C-EB6C0E19E9D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D6E8-413F-A6D7-8826624DF820}"/>
                </c:ext>
              </c:extLst>
            </c:dLbl>
            <c:dLbl>
              <c:idx val="10"/>
              <c:layout/>
              <c:tx>
                <c:rich>
                  <a:bodyPr/>
                  <a:lstStyle/>
                  <a:p>
                    <a:fld id="{3E73780C-F8B6-438A-AAA7-A157907ACF1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D6E8-413F-A6D7-8826624DF820}"/>
                </c:ext>
              </c:extLst>
            </c:dLbl>
            <c:dLbl>
              <c:idx val="11"/>
              <c:layout/>
              <c:tx>
                <c:rich>
                  <a:bodyPr/>
                  <a:lstStyle/>
                  <a:p>
                    <a:fld id="{951EE023-88D0-4C20-B114-5F67FEAAA7E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D6E8-413F-A6D7-8826624DF820}"/>
                </c:ext>
              </c:extLst>
            </c:dLbl>
            <c:dLbl>
              <c:idx val="12"/>
              <c:layout/>
              <c:tx>
                <c:rich>
                  <a:bodyPr/>
                  <a:lstStyle/>
                  <a:p>
                    <a:fld id="{1587240A-FFB4-40FE-80CA-0BE48E9E916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D6E8-413F-A6D7-8826624DF820}"/>
                </c:ext>
              </c:extLst>
            </c:dLbl>
            <c:dLbl>
              <c:idx val="13"/>
              <c:layout/>
              <c:tx>
                <c:rich>
                  <a:bodyPr/>
                  <a:lstStyle/>
                  <a:p>
                    <a:fld id="{82983561-30D0-4986-AB20-515BBF0BDDF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D6E8-413F-A6D7-8826624DF820}"/>
                </c:ext>
              </c:extLst>
            </c:dLbl>
            <c:dLbl>
              <c:idx val="14"/>
              <c:layout/>
              <c:tx>
                <c:rich>
                  <a:bodyPr/>
                  <a:lstStyle/>
                  <a:p>
                    <a:fld id="{9574A676-8269-4BFE-99F4-4B13A6D0B86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D6E8-413F-A6D7-8826624DF820}"/>
                </c:ext>
              </c:extLst>
            </c:dLbl>
            <c:dLbl>
              <c:idx val="15"/>
              <c:layout/>
              <c:tx>
                <c:rich>
                  <a:bodyPr/>
                  <a:lstStyle/>
                  <a:p>
                    <a:fld id="{BFCF2FEB-EB3C-4F68-9691-1DAA7422AE2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D6E8-413F-A6D7-8826624DF820}"/>
                </c:ext>
              </c:extLst>
            </c:dLbl>
            <c:dLbl>
              <c:idx val="16"/>
              <c:layout/>
              <c:tx>
                <c:rich>
                  <a:bodyPr/>
                  <a:lstStyle/>
                  <a:p>
                    <a:fld id="{BC972405-4C8D-4B09-89AB-AE20BE6D340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D6E8-413F-A6D7-8826624DF820}"/>
                </c:ext>
              </c:extLst>
            </c:dLbl>
            <c:dLbl>
              <c:idx val="17"/>
              <c:layout/>
              <c:tx>
                <c:rich>
                  <a:bodyPr/>
                  <a:lstStyle/>
                  <a:p>
                    <a:fld id="{4D2204A4-85EE-4097-B662-A4673AC51F6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D6E8-413F-A6D7-8826624DF820}"/>
                </c:ext>
              </c:extLst>
            </c:dLbl>
            <c:dLbl>
              <c:idx val="18"/>
              <c:layout/>
              <c:tx>
                <c:rich>
                  <a:bodyPr/>
                  <a:lstStyle/>
                  <a:p>
                    <a:fld id="{A3FE2214-0BCF-4917-9DEA-1C171F88EE1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D6E8-413F-A6D7-8826624DF820}"/>
                </c:ext>
              </c:extLst>
            </c:dLbl>
            <c:dLbl>
              <c:idx val="19"/>
              <c:layout/>
              <c:tx>
                <c:rich>
                  <a:bodyPr/>
                  <a:lstStyle/>
                  <a:p>
                    <a:fld id="{1EB4FB81-AD98-458F-B43D-F82A1425070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D6E8-413F-A6D7-8826624DF820}"/>
                </c:ext>
              </c:extLst>
            </c:dLbl>
            <c:dLbl>
              <c:idx val="20"/>
              <c:layout/>
              <c:tx>
                <c:rich>
                  <a:bodyPr/>
                  <a:lstStyle/>
                  <a:p>
                    <a:fld id="{861451DD-17F8-405C-BC40-2241FC94C83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D6E8-413F-A6D7-8826624DF820}"/>
                </c:ext>
              </c:extLst>
            </c:dLbl>
            <c:dLbl>
              <c:idx val="21"/>
              <c:layout/>
              <c:tx>
                <c:rich>
                  <a:bodyPr/>
                  <a:lstStyle/>
                  <a:p>
                    <a:fld id="{B2BFA5BB-893D-4073-AD5A-2D4434DE223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D6E8-413F-A6D7-8826624DF820}"/>
                </c:ext>
              </c:extLst>
            </c:dLbl>
            <c:dLbl>
              <c:idx val="22"/>
              <c:layout/>
              <c:tx>
                <c:rich>
                  <a:bodyPr/>
                  <a:lstStyle/>
                  <a:p>
                    <a:fld id="{F7C7FFC7-7434-4924-B287-851D9E597AE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D6E8-413F-A6D7-8826624DF820}"/>
                </c:ext>
              </c:extLst>
            </c:dLbl>
            <c:dLbl>
              <c:idx val="23"/>
              <c:layout/>
              <c:tx>
                <c:rich>
                  <a:bodyPr/>
                  <a:lstStyle/>
                  <a:p>
                    <a:fld id="{DC8BB07B-DAB3-4E2E-93BF-A0C20B83F05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D6E8-413F-A6D7-8826624DF820}"/>
                </c:ext>
              </c:extLst>
            </c:dLbl>
            <c:dLbl>
              <c:idx val="24"/>
              <c:layout/>
              <c:tx>
                <c:rich>
                  <a:bodyPr/>
                  <a:lstStyle/>
                  <a:p>
                    <a:fld id="{066CD80A-6324-424D-BB09-7DC944B9D14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D6E8-413F-A6D7-8826624DF820}"/>
                </c:ext>
              </c:extLst>
            </c:dLbl>
            <c:dLbl>
              <c:idx val="25"/>
              <c:layout/>
              <c:tx>
                <c:rich>
                  <a:bodyPr/>
                  <a:lstStyle/>
                  <a:p>
                    <a:fld id="{8F500EDA-1F08-4645-BEA3-551507A58DE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D6E8-413F-A6D7-8826624DF820}"/>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[1]HDI1!$C$3:$C$28</c:f>
              <c:numCache>
                <c:formatCode>General</c:formatCode>
                <c:ptCount val="26"/>
                <c:pt idx="0">
                  <c:v>-5.4422374684202114E-3</c:v>
                </c:pt>
                <c:pt idx="1">
                  <c:v>-3.0215220703380119E-3</c:v>
                </c:pt>
                <c:pt idx="2">
                  <c:v>-9.0966620639521007E-3</c:v>
                </c:pt>
                <c:pt idx="3">
                  <c:v>1.32630379368519E-2</c:v>
                </c:pt>
                <c:pt idx="4">
                  <c:v>-2.056334175303361E-2</c:v>
                </c:pt>
                <c:pt idx="5">
                  <c:v>-2.7057164020984528E-2</c:v>
                </c:pt>
                <c:pt idx="6">
                  <c:v>-1.1120160460654303E-2</c:v>
                </c:pt>
                <c:pt idx="7">
                  <c:v>8.6995085928744994E-3</c:v>
                </c:pt>
                <c:pt idx="8">
                  <c:v>5.7066627486250859E-3</c:v>
                </c:pt>
                <c:pt idx="9">
                  <c:v>-4.7389102541661732E-4</c:v>
                </c:pt>
                <c:pt idx="10">
                  <c:v>-2.4644079688574041E-2</c:v>
                </c:pt>
                <c:pt idx="11">
                  <c:v>-3.0667842882526147E-2</c:v>
                </c:pt>
                <c:pt idx="12">
                  <c:v>-1.8844832094944003E-2</c:v>
                </c:pt>
                <c:pt idx="13">
                  <c:v>-9.52784374359638E-3</c:v>
                </c:pt>
                <c:pt idx="14">
                  <c:v>-1.0831026057374498E-2</c:v>
                </c:pt>
                <c:pt idx="15">
                  <c:v>-1.9727141473113718E-3</c:v>
                </c:pt>
                <c:pt idx="16">
                  <c:v>-8.6104927296526482E-3</c:v>
                </c:pt>
                <c:pt idx="17">
                  <c:v>-1.0542596317695408E-2</c:v>
                </c:pt>
                <c:pt idx="18">
                  <c:v>-1.5763263949813505E-2</c:v>
                </c:pt>
                <c:pt idx="19">
                  <c:v>1.0357984350809896E-2</c:v>
                </c:pt>
                <c:pt idx="20">
                  <c:v>-7.0148463078581998E-3</c:v>
                </c:pt>
                <c:pt idx="21">
                  <c:v>-1.6862944753384109E-3</c:v>
                </c:pt>
                <c:pt idx="22">
                  <c:v>-5.0145675890315199E-3</c:v>
                </c:pt>
                <c:pt idx="23">
                  <c:v>-9.6585111957783205E-3</c:v>
                </c:pt>
                <c:pt idx="24">
                  <c:v>-3.2527498711902901E-3</c:v>
                </c:pt>
                <c:pt idx="25">
                  <c:v>-9.513589218873594E-3</c:v>
                </c:pt>
              </c:numCache>
            </c:numRef>
          </c:xVal>
          <c:yVal>
            <c:numRef>
              <c:f>[1]HDI1!$B$3:$B$28</c:f>
              <c:numCache>
                <c:formatCode>General</c:formatCode>
                <c:ptCount val="26"/>
                <c:pt idx="0">
                  <c:v>1.8854937207476899E-2</c:v>
                </c:pt>
                <c:pt idx="1">
                  <c:v>1.276787166542512E-2</c:v>
                </c:pt>
                <c:pt idx="2">
                  <c:v>1.3977807267335616E-2</c:v>
                </c:pt>
                <c:pt idx="3">
                  <c:v>1.6374236798497799E-2</c:v>
                </c:pt>
                <c:pt idx="4">
                  <c:v>4.5327489928292958E-3</c:v>
                </c:pt>
                <c:pt idx="5">
                  <c:v>8.3101701229644203E-3</c:v>
                </c:pt>
                <c:pt idx="6">
                  <c:v>1.2154616746161698E-2</c:v>
                </c:pt>
                <c:pt idx="7">
                  <c:v>6.140879691027834E-3</c:v>
                </c:pt>
                <c:pt idx="8">
                  <c:v>6.1513380181612599E-3</c:v>
                </c:pt>
                <c:pt idx="9">
                  <c:v>2.6289900756908419E-3</c:v>
                </c:pt>
                <c:pt idx="10">
                  <c:v>1.77309531772505E-2</c:v>
                </c:pt>
                <c:pt idx="11">
                  <c:v>7.5476249818848887E-3</c:v>
                </c:pt>
                <c:pt idx="12">
                  <c:v>2.475273850717372E-2</c:v>
                </c:pt>
                <c:pt idx="13">
                  <c:v>1.7675350090477805E-2</c:v>
                </c:pt>
                <c:pt idx="14">
                  <c:v>2.7290333482509442E-2</c:v>
                </c:pt>
                <c:pt idx="15">
                  <c:v>1.27876655154768E-2</c:v>
                </c:pt>
                <c:pt idx="16">
                  <c:v>1.8888677878437215E-2</c:v>
                </c:pt>
                <c:pt idx="17">
                  <c:v>2.046605134994257E-2</c:v>
                </c:pt>
                <c:pt idx="18">
                  <c:v>1.4928361904369599E-2</c:v>
                </c:pt>
                <c:pt idx="19">
                  <c:v>2.8860642702709802E-2</c:v>
                </c:pt>
                <c:pt idx="20">
                  <c:v>1.9143561202938929E-2</c:v>
                </c:pt>
                <c:pt idx="21">
                  <c:v>7.5563238731293269E-3</c:v>
                </c:pt>
                <c:pt idx="22">
                  <c:v>5.3778642345725424E-4</c:v>
                </c:pt>
                <c:pt idx="23">
                  <c:v>1.447684729883701E-2</c:v>
                </c:pt>
                <c:pt idx="24">
                  <c:v>1.8923355778967425E-2</c:v>
                </c:pt>
                <c:pt idx="25">
                  <c:v>8.2708854921254048E-4</c:v>
                </c:pt>
              </c:numCache>
            </c:numRef>
          </c:yVal>
          <c:smooth val="0"/>
          <c:extLst xmlns:c16r2="http://schemas.microsoft.com/office/drawing/2015/06/chart">
            <c:ext xmlns:c15="http://schemas.microsoft.com/office/drawing/2012/chart" uri="{02D57815-91ED-43cb-92C2-25804820EDAC}">
              <c15:datalabelsRange>
                <c15:f>'C:\Users\Moinul\Desktop\[IWR2017data_conv_fig12.xlsx]HDI1'!$A$3:$A$28</c15:f>
                <c15:dlblRangeCache>
                  <c:ptCount val="26"/>
                  <c:pt idx="0">
                    <c:v>AFG</c:v>
                  </c:pt>
                  <c:pt idx="1">
                    <c:v>BDI</c:v>
                  </c:pt>
                  <c:pt idx="2">
                    <c:v>BEN</c:v>
                  </c:pt>
                  <c:pt idx="3">
                    <c:v>BGD</c:v>
                  </c:pt>
                  <c:pt idx="4">
                    <c:v>CAF</c:v>
                  </c:pt>
                  <c:pt idx="5">
                    <c:v>COD</c:v>
                  </c:pt>
                  <c:pt idx="6">
                    <c:v>GMB</c:v>
                  </c:pt>
                  <c:pt idx="7">
                    <c:v>HTI</c:v>
                  </c:pt>
                  <c:pt idx="8">
                    <c:v>KEN</c:v>
                  </c:pt>
                  <c:pt idx="9">
                    <c:v>KGZ</c:v>
                  </c:pt>
                  <c:pt idx="10">
                    <c:v>KHM</c:v>
                  </c:pt>
                  <c:pt idx="11">
                    <c:v>LBR</c:v>
                  </c:pt>
                  <c:pt idx="12">
                    <c:v>MLI</c:v>
                  </c:pt>
                  <c:pt idx="13">
                    <c:v>MMR</c:v>
                  </c:pt>
                  <c:pt idx="14">
                    <c:v>MOZ</c:v>
                  </c:pt>
                  <c:pt idx="15">
                    <c:v>MRT</c:v>
                  </c:pt>
                  <c:pt idx="16">
                    <c:v>MWI</c:v>
                  </c:pt>
                  <c:pt idx="17">
                    <c:v>NER</c:v>
                  </c:pt>
                  <c:pt idx="18">
                    <c:v>NPL</c:v>
                  </c:pt>
                  <c:pt idx="19">
                    <c:v>RWA</c:v>
                  </c:pt>
                  <c:pt idx="20">
                    <c:v>SLE</c:v>
                  </c:pt>
                  <c:pt idx="21">
                    <c:v>TGO</c:v>
                  </c:pt>
                  <c:pt idx="22">
                    <c:v>TJK</c:v>
                  </c:pt>
                  <c:pt idx="23">
                    <c:v>TZA</c:v>
                  </c:pt>
                  <c:pt idx="24">
                    <c:v>UGA</c:v>
                  </c:pt>
                  <c:pt idx="25">
                    <c:v>ZWE</c:v>
                  </c:pt>
                </c15:dlblRangeCache>
              </c15:datalabelsRange>
            </c:ext>
            <c:ext xmlns:c16="http://schemas.microsoft.com/office/drawing/2014/chart" uri="{C3380CC4-5D6E-409C-BE32-E72D297353CC}">
              <c16:uniqueId val="{0000001A-D6E8-413F-A6D7-8826624DF820}"/>
            </c:ext>
          </c:extLst>
        </c:ser>
        <c:ser>
          <c:idx val="1"/>
          <c:order val="1"/>
          <c:tx>
            <c:v>Lower Middle Income</c:v>
          </c:tx>
          <c:spPr>
            <a:ln w="25400" cap="rnd">
              <a:no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dLbls>
            <c:dLbl>
              <c:idx val="0"/>
              <c:layout/>
              <c:tx>
                <c:rich>
                  <a:bodyPr/>
                  <a:lstStyle/>
                  <a:p>
                    <a:fld id="{7F4A6943-5EA3-4E31-B22F-702E0F80E740}"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B-D6E8-413F-A6D7-8826624DF820}"/>
                </c:ext>
              </c:extLst>
            </c:dLbl>
            <c:dLbl>
              <c:idx val="1"/>
              <c:layout/>
              <c:tx>
                <c:rich>
                  <a:bodyPr/>
                  <a:lstStyle/>
                  <a:p>
                    <a:fld id="{743D6E1B-4A62-4462-95D7-775FB321C21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D6E8-413F-A6D7-8826624DF820}"/>
                </c:ext>
              </c:extLst>
            </c:dLbl>
            <c:dLbl>
              <c:idx val="2"/>
              <c:layout/>
              <c:tx>
                <c:rich>
                  <a:bodyPr/>
                  <a:lstStyle/>
                  <a:p>
                    <a:fld id="{F082215C-9517-4864-9210-6102D692AA7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D6E8-413F-A6D7-8826624DF820}"/>
                </c:ext>
              </c:extLst>
            </c:dLbl>
            <c:dLbl>
              <c:idx val="3"/>
              <c:layout/>
              <c:tx>
                <c:rich>
                  <a:bodyPr/>
                  <a:lstStyle/>
                  <a:p>
                    <a:fld id="{D252449C-4D19-415B-8679-5CB3919E179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D6E8-413F-A6D7-8826624DF820}"/>
                </c:ext>
              </c:extLst>
            </c:dLbl>
            <c:dLbl>
              <c:idx val="4"/>
              <c:layout/>
              <c:tx>
                <c:rich>
                  <a:bodyPr/>
                  <a:lstStyle/>
                  <a:p>
                    <a:fld id="{5C6FA36F-A615-46C8-9ECE-49EDEA3EC75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D6E8-413F-A6D7-8826624DF820}"/>
                </c:ext>
              </c:extLst>
            </c:dLbl>
            <c:dLbl>
              <c:idx val="5"/>
              <c:layout/>
              <c:tx>
                <c:rich>
                  <a:bodyPr/>
                  <a:lstStyle/>
                  <a:p>
                    <a:fld id="{E58BAC28-7728-4A81-96BD-0E9D230B3EE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D6E8-413F-A6D7-8826624DF820}"/>
                </c:ext>
              </c:extLst>
            </c:dLbl>
            <c:dLbl>
              <c:idx val="6"/>
              <c:layout/>
              <c:tx>
                <c:rich>
                  <a:bodyPr/>
                  <a:lstStyle/>
                  <a:p>
                    <a:fld id="{8DAA0765-0875-46CD-BB6A-66A4BACEBEC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D6E8-413F-A6D7-8826624DF820}"/>
                </c:ext>
              </c:extLst>
            </c:dLbl>
            <c:dLbl>
              <c:idx val="7"/>
              <c:layout/>
              <c:tx>
                <c:rich>
                  <a:bodyPr/>
                  <a:lstStyle/>
                  <a:p>
                    <a:fld id="{96B5A5E7-5D8C-46E8-A6BA-02F29FCEE51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D6E8-413F-A6D7-8826624DF820}"/>
                </c:ext>
              </c:extLst>
            </c:dLbl>
            <c:dLbl>
              <c:idx val="8"/>
              <c:layout/>
              <c:tx>
                <c:rich>
                  <a:bodyPr/>
                  <a:lstStyle/>
                  <a:p>
                    <a:fld id="{BF9DE55D-9BB1-4BC9-A8CB-003924BEBEE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D6E8-413F-A6D7-8826624DF820}"/>
                </c:ext>
              </c:extLst>
            </c:dLbl>
            <c:dLbl>
              <c:idx val="9"/>
              <c:layout/>
              <c:tx>
                <c:rich>
                  <a:bodyPr/>
                  <a:lstStyle/>
                  <a:p>
                    <a:fld id="{48D4EF73-5152-428F-9AFE-A81E3F879D9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D6E8-413F-A6D7-8826624DF820}"/>
                </c:ext>
              </c:extLst>
            </c:dLbl>
            <c:dLbl>
              <c:idx val="10"/>
              <c:layout/>
              <c:tx>
                <c:rich>
                  <a:bodyPr/>
                  <a:lstStyle/>
                  <a:p>
                    <a:fld id="{AB515AC6-9327-4DDF-B095-BBB07D5C440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D6E8-413F-A6D7-8826624DF820}"/>
                </c:ext>
              </c:extLst>
            </c:dLbl>
            <c:dLbl>
              <c:idx val="11"/>
              <c:layout/>
              <c:tx>
                <c:rich>
                  <a:bodyPr/>
                  <a:lstStyle/>
                  <a:p>
                    <a:fld id="{00DB8BE6-266F-4680-BFC0-C9ED9ED4A59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D6E8-413F-A6D7-8826624DF820}"/>
                </c:ext>
              </c:extLst>
            </c:dLbl>
            <c:dLbl>
              <c:idx val="12"/>
              <c:layout/>
              <c:tx>
                <c:rich>
                  <a:bodyPr/>
                  <a:lstStyle/>
                  <a:p>
                    <a:fld id="{A5605B82-FD26-42AB-A980-56E401529B7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D6E8-413F-A6D7-8826624DF820}"/>
                </c:ext>
              </c:extLst>
            </c:dLbl>
            <c:dLbl>
              <c:idx val="13"/>
              <c:layout/>
              <c:tx>
                <c:rich>
                  <a:bodyPr/>
                  <a:lstStyle/>
                  <a:p>
                    <a:fld id="{81D88F1A-4FA7-4218-A587-011ABF8BA95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D6E8-413F-A6D7-8826624DF820}"/>
                </c:ext>
              </c:extLst>
            </c:dLbl>
            <c:dLbl>
              <c:idx val="14"/>
              <c:layout/>
              <c:tx>
                <c:rich>
                  <a:bodyPr/>
                  <a:lstStyle/>
                  <a:p>
                    <a:fld id="{8B02F9A5-2473-4031-A1E4-1E3FDFD221F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D6E8-413F-A6D7-8826624DF820}"/>
                </c:ext>
              </c:extLst>
            </c:dLbl>
            <c:dLbl>
              <c:idx val="15"/>
              <c:layout/>
              <c:tx>
                <c:rich>
                  <a:bodyPr/>
                  <a:lstStyle/>
                  <a:p>
                    <a:fld id="{0E73BCA9-3342-4B64-B6C0-A82A60AC57E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D6E8-413F-A6D7-8826624DF820}"/>
                </c:ext>
              </c:extLst>
            </c:dLbl>
            <c:dLbl>
              <c:idx val="16"/>
              <c:layout/>
              <c:tx>
                <c:rich>
                  <a:bodyPr/>
                  <a:lstStyle/>
                  <a:p>
                    <a:fld id="{380BFAD1-D03B-4AEB-B7CC-D2DF04C7714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D6E8-413F-A6D7-8826624DF820}"/>
                </c:ext>
              </c:extLst>
            </c:dLbl>
            <c:dLbl>
              <c:idx val="17"/>
              <c:layout/>
              <c:tx>
                <c:rich>
                  <a:bodyPr/>
                  <a:lstStyle/>
                  <a:p>
                    <a:fld id="{9B380A6A-7DFA-4BBF-8006-16480D23065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D6E8-413F-A6D7-8826624DF820}"/>
                </c:ext>
              </c:extLst>
            </c:dLbl>
            <c:dLbl>
              <c:idx val="18"/>
              <c:layout/>
              <c:tx>
                <c:rich>
                  <a:bodyPr/>
                  <a:lstStyle/>
                  <a:p>
                    <a:fld id="{B379FB12-1ADE-41BE-B187-9070CE1C4B6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D6E8-413F-A6D7-8826624DF820}"/>
                </c:ext>
              </c:extLst>
            </c:dLbl>
            <c:dLbl>
              <c:idx val="19"/>
              <c:layout/>
              <c:tx>
                <c:rich>
                  <a:bodyPr/>
                  <a:lstStyle/>
                  <a:p>
                    <a:fld id="{F7BEC637-AE8C-4468-8185-7957ECD60C3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D6E8-413F-A6D7-8826624DF820}"/>
                </c:ext>
              </c:extLst>
            </c:dLbl>
            <c:dLbl>
              <c:idx val="20"/>
              <c:layout/>
              <c:tx>
                <c:rich>
                  <a:bodyPr/>
                  <a:lstStyle/>
                  <a:p>
                    <a:fld id="{3A8BA1A7-017E-4A34-B987-1ED1BEC3C57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D6E8-413F-A6D7-8826624DF820}"/>
                </c:ext>
              </c:extLst>
            </c:dLbl>
            <c:dLbl>
              <c:idx val="21"/>
              <c:layout/>
              <c:tx>
                <c:rich>
                  <a:bodyPr/>
                  <a:lstStyle/>
                  <a:p>
                    <a:fld id="{AF578555-7E89-4ADD-877D-109648721C8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D6E8-413F-A6D7-8826624DF820}"/>
                </c:ext>
              </c:extLst>
            </c:dLbl>
            <c:dLbl>
              <c:idx val="22"/>
              <c:layout/>
              <c:tx>
                <c:rich>
                  <a:bodyPr/>
                  <a:lstStyle/>
                  <a:p>
                    <a:fld id="{2B2D0A49-4610-4663-9BAA-40B3D472EAA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D6E8-413F-A6D7-8826624DF820}"/>
                </c:ext>
              </c:extLst>
            </c:dLbl>
            <c:dLbl>
              <c:idx val="23"/>
              <c:layout/>
              <c:tx>
                <c:rich>
                  <a:bodyPr/>
                  <a:lstStyle/>
                  <a:p>
                    <a:fld id="{D2DFE39D-8E35-48DC-BC88-C09A15742D7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D6E8-413F-A6D7-8826624DF820}"/>
                </c:ext>
              </c:extLst>
            </c:dLbl>
            <c:dLbl>
              <c:idx val="24"/>
              <c:layout/>
              <c:tx>
                <c:rich>
                  <a:bodyPr/>
                  <a:lstStyle/>
                  <a:p>
                    <a:fld id="{3D2E5DDC-D44D-4443-A14E-C8AC1545C6E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D6E8-413F-A6D7-8826624DF820}"/>
                </c:ext>
              </c:extLst>
            </c:dLbl>
            <c:dLbl>
              <c:idx val="25"/>
              <c:layout/>
              <c:tx>
                <c:rich>
                  <a:bodyPr/>
                  <a:lstStyle/>
                  <a:p>
                    <a:fld id="{C1539763-80FC-4C38-BA96-9A95062FFFA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D6E8-413F-A6D7-8826624DF820}"/>
                </c:ext>
              </c:extLst>
            </c:dLbl>
            <c:dLbl>
              <c:idx val="26"/>
              <c:layout/>
              <c:tx>
                <c:rich>
                  <a:bodyPr/>
                  <a:lstStyle/>
                  <a:p>
                    <a:fld id="{BBF7F7CD-D3AE-4394-AFCD-6B4DA2200E6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D6E8-413F-A6D7-8826624DF820}"/>
                </c:ext>
              </c:extLst>
            </c:dLbl>
            <c:dLbl>
              <c:idx val="27"/>
              <c:layout/>
              <c:tx>
                <c:rich>
                  <a:bodyPr/>
                  <a:lstStyle/>
                  <a:p>
                    <a:fld id="{CEDE9E38-C88B-46AB-B254-514CFF05E25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D6E8-413F-A6D7-8826624DF820}"/>
                </c:ext>
              </c:extLst>
            </c:dLbl>
            <c:dLbl>
              <c:idx val="28"/>
              <c:layout/>
              <c:tx>
                <c:rich>
                  <a:bodyPr/>
                  <a:lstStyle/>
                  <a:p>
                    <a:fld id="{508657D3-93EE-421F-9786-9D8CF2975CD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D6E8-413F-A6D7-8826624DF820}"/>
                </c:ext>
              </c:extLst>
            </c:dLbl>
            <c:dLbl>
              <c:idx val="29"/>
              <c:layout/>
              <c:tx>
                <c:rich>
                  <a:bodyPr/>
                  <a:lstStyle/>
                  <a:p>
                    <a:fld id="{2A40AF61-E7F5-45EA-8AEB-8E1123A6037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D6E8-413F-A6D7-8826624DF820}"/>
                </c:ext>
              </c:extLst>
            </c:dLbl>
            <c:dLbl>
              <c:idx val="30"/>
              <c:layout/>
              <c:tx>
                <c:rich>
                  <a:bodyPr/>
                  <a:lstStyle/>
                  <a:p>
                    <a:fld id="{2BBD47BD-0337-47E8-A457-DE6A79F8959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D6E8-413F-A6D7-8826624DF820}"/>
                </c:ext>
              </c:extLst>
            </c:dLbl>
            <c:dLbl>
              <c:idx val="31"/>
              <c:layout/>
              <c:tx>
                <c:rich>
                  <a:bodyPr/>
                  <a:lstStyle/>
                  <a:p>
                    <a:fld id="{8A8250E7-3C02-4F0B-8320-466BA1D4E03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D6E8-413F-A6D7-8826624DF820}"/>
                </c:ext>
              </c:extLst>
            </c:dLbl>
            <c:dLbl>
              <c:idx val="32"/>
              <c:layout/>
              <c:tx>
                <c:rich>
                  <a:bodyPr/>
                  <a:lstStyle/>
                  <a:p>
                    <a:fld id="{E2EF8686-7F5D-40CA-9056-489106531CF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D6E8-413F-A6D7-8826624DF820}"/>
                </c:ext>
              </c:extLst>
            </c:dLbl>
            <c:dLbl>
              <c:idx val="33"/>
              <c:layout/>
              <c:tx>
                <c:rich>
                  <a:bodyPr/>
                  <a:lstStyle/>
                  <a:p>
                    <a:fld id="{9F21A9BE-6245-4E27-B849-C417823A9A1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D6E8-413F-A6D7-8826624DF820}"/>
                </c:ext>
              </c:extLst>
            </c:dLbl>
            <c:dLbl>
              <c:idx val="34"/>
              <c:layout/>
              <c:tx>
                <c:rich>
                  <a:bodyPr/>
                  <a:lstStyle/>
                  <a:p>
                    <a:fld id="{55D14093-3F2B-417F-9A8A-9AF30A1688E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D6E8-413F-A6D7-8826624DF820}"/>
                </c:ext>
              </c:extLst>
            </c:dLbl>
            <c:dLbl>
              <c:idx val="35"/>
              <c:layout/>
              <c:tx>
                <c:rich>
                  <a:bodyPr/>
                  <a:lstStyle/>
                  <a:p>
                    <a:fld id="{3B475CA4-9462-4A9A-8E56-814AE42E816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D6E8-413F-A6D7-8826624DF820}"/>
                </c:ext>
              </c:extLst>
            </c:dLbl>
            <c:dLbl>
              <c:idx val="36"/>
              <c:layout/>
              <c:tx>
                <c:rich>
                  <a:bodyPr/>
                  <a:lstStyle/>
                  <a:p>
                    <a:fld id="{AF0CB2BA-D1EA-472C-9E1D-CC701047F96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F-D6E8-413F-A6D7-8826624DF820}"/>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[1]HDI1!$G$3:$G$39</c:f>
              <c:numCache>
                <c:formatCode>General</c:formatCode>
                <c:ptCount val="37"/>
                <c:pt idx="0">
                  <c:v>1.534226138535221E-2</c:v>
                </c:pt>
                <c:pt idx="1">
                  <c:v>1.371996012122139E-2</c:v>
                </c:pt>
                <c:pt idx="2">
                  <c:v>-1.9747168408500913E-2</c:v>
                </c:pt>
                <c:pt idx="3">
                  <c:v>-1.7590080967183602E-2</c:v>
                </c:pt>
                <c:pt idx="4">
                  <c:v>2.0748136768688999E-3</c:v>
                </c:pt>
                <c:pt idx="5">
                  <c:v>-2.831674124063488E-2</c:v>
                </c:pt>
                <c:pt idx="6">
                  <c:v>-1.9853955621779707E-2</c:v>
                </c:pt>
                <c:pt idx="7">
                  <c:v>6.6279542564666649E-3</c:v>
                </c:pt>
                <c:pt idx="8">
                  <c:v>1.0230361728627201E-2</c:v>
                </c:pt>
                <c:pt idx="9">
                  <c:v>-2.81442848889979E-4</c:v>
                </c:pt>
                <c:pt idx="10">
                  <c:v>-7.0613014188292144E-4</c:v>
                </c:pt>
                <c:pt idx="11">
                  <c:v>3.8920610536832302E-3</c:v>
                </c:pt>
                <c:pt idx="12">
                  <c:v>-6.3608972561077764E-3</c:v>
                </c:pt>
                <c:pt idx="13">
                  <c:v>-4.7903784524994136E-4</c:v>
                </c:pt>
                <c:pt idx="14">
                  <c:v>9.2830236342462766E-3</c:v>
                </c:pt>
                <c:pt idx="15">
                  <c:v>-2.5147161429185924E-2</c:v>
                </c:pt>
                <c:pt idx="16">
                  <c:v>-1.1842856815097412E-2</c:v>
                </c:pt>
                <c:pt idx="17">
                  <c:v>1.0535327194022301E-2</c:v>
                </c:pt>
                <c:pt idx="18">
                  <c:v>1.9125302691904301E-2</c:v>
                </c:pt>
                <c:pt idx="19">
                  <c:v>1.0977162103789299E-2</c:v>
                </c:pt>
                <c:pt idx="20">
                  <c:v>-1.28659118238391E-2</c:v>
                </c:pt>
                <c:pt idx="21">
                  <c:v>-1.0731562686111501E-2</c:v>
                </c:pt>
                <c:pt idx="22">
                  <c:v>-1.9320841651512922E-2</c:v>
                </c:pt>
                <c:pt idx="23">
                  <c:v>-1.23420691691944E-3</c:v>
                </c:pt>
                <c:pt idx="24">
                  <c:v>-1.3342383180992901E-2</c:v>
                </c:pt>
                <c:pt idx="25">
                  <c:v>7.0208438119356833E-3</c:v>
                </c:pt>
                <c:pt idx="26">
                  <c:v>-1.3763388393520513E-2</c:v>
                </c:pt>
                <c:pt idx="27">
                  <c:v>-6.3055955314013099E-3</c:v>
                </c:pt>
                <c:pt idx="28">
                  <c:v>-3.0503179520507729E-2</c:v>
                </c:pt>
                <c:pt idx="29">
                  <c:v>-9.7713128250999093E-3</c:v>
                </c:pt>
                <c:pt idx="30">
                  <c:v>1.3218304716903701E-2</c:v>
                </c:pt>
                <c:pt idx="31">
                  <c:v>1.50646147819389E-2</c:v>
                </c:pt>
                <c:pt idx="32">
                  <c:v>2.4804195078329547E-3</c:v>
                </c:pt>
                <c:pt idx="33">
                  <c:v>5.8847306264346901E-3</c:v>
                </c:pt>
                <c:pt idx="34">
                  <c:v>8.7323363387499485E-3</c:v>
                </c:pt>
                <c:pt idx="35">
                  <c:v>1.7141788416994408E-3</c:v>
                </c:pt>
                <c:pt idx="36">
                  <c:v>-1.9456911973979599E-2</c:v>
                </c:pt>
              </c:numCache>
            </c:numRef>
          </c:xVal>
          <c:yVal>
            <c:numRef>
              <c:f>[1]HDI1!$F$3:$F$39</c:f>
              <c:numCache>
                <c:formatCode>General</c:formatCode>
                <c:ptCount val="37"/>
                <c:pt idx="0">
                  <c:v>6.7306888548299736E-3</c:v>
                </c:pt>
                <c:pt idx="1">
                  <c:v>6.1964653068526934E-3</c:v>
                </c:pt>
                <c:pt idx="2">
                  <c:v>4.3671674270979698E-3</c:v>
                </c:pt>
                <c:pt idx="3">
                  <c:v>8.8359500196364543E-3</c:v>
                </c:pt>
                <c:pt idx="4">
                  <c:v>7.1918021602523936E-3</c:v>
                </c:pt>
                <c:pt idx="5">
                  <c:v>6.0496781241261713E-3</c:v>
                </c:pt>
                <c:pt idx="6">
                  <c:v>4.2347822242994014E-3</c:v>
                </c:pt>
                <c:pt idx="7">
                  <c:v>9.8007416656431586E-3</c:v>
                </c:pt>
                <c:pt idx="8">
                  <c:v>5.9183033215977135E-3</c:v>
                </c:pt>
                <c:pt idx="9">
                  <c:v>1.0000072702436101E-2</c:v>
                </c:pt>
                <c:pt idx="10">
                  <c:v>1.0931394438152603E-2</c:v>
                </c:pt>
                <c:pt idx="11">
                  <c:v>6.6861096417929504E-3</c:v>
                </c:pt>
                <c:pt idx="12">
                  <c:v>7.4597270985599156E-3</c:v>
                </c:pt>
                <c:pt idx="13">
                  <c:v>1.0605674676605708E-2</c:v>
                </c:pt>
                <c:pt idx="14">
                  <c:v>1.4804139643873813E-2</c:v>
                </c:pt>
                <c:pt idx="15">
                  <c:v>5.597623477704876E-3</c:v>
                </c:pt>
                <c:pt idx="16">
                  <c:v>1.5554470815603901E-2</c:v>
                </c:pt>
                <c:pt idx="17">
                  <c:v>8.3531854208802724E-3</c:v>
                </c:pt>
                <c:pt idx="18">
                  <c:v>3.3675885945183624E-4</c:v>
                </c:pt>
                <c:pt idx="19">
                  <c:v>1.3332122973826098E-2</c:v>
                </c:pt>
                <c:pt idx="20">
                  <c:v>2.544291114976672E-3</c:v>
                </c:pt>
                <c:pt idx="21">
                  <c:v>9.6021665006787021E-3</c:v>
                </c:pt>
                <c:pt idx="22">
                  <c:v>4.0035766441472997E-3</c:v>
                </c:pt>
                <c:pt idx="23">
                  <c:v>1.0165828657424703E-2</c:v>
                </c:pt>
                <c:pt idx="24">
                  <c:v>1.25319222364588E-2</c:v>
                </c:pt>
                <c:pt idx="25">
                  <c:v>5.471932631212267E-3</c:v>
                </c:pt>
                <c:pt idx="26">
                  <c:v>1.5032297496321498E-2</c:v>
                </c:pt>
                <c:pt idx="27">
                  <c:v>6.6603592795892964E-3</c:v>
                </c:pt>
                <c:pt idx="28">
                  <c:v>1.55184388173095E-2</c:v>
                </c:pt>
                <c:pt idx="29">
                  <c:v>1.0000666835678199E-2</c:v>
                </c:pt>
                <c:pt idx="30">
                  <c:v>1.02026154707113E-2</c:v>
                </c:pt>
                <c:pt idx="31">
                  <c:v>-3.904295887264822E-4</c:v>
                </c:pt>
                <c:pt idx="32">
                  <c:v>2.9844996877768119E-3</c:v>
                </c:pt>
                <c:pt idx="33">
                  <c:v>2.4140500679590299E-3</c:v>
                </c:pt>
                <c:pt idx="34">
                  <c:v>1.41819085834887E-2</c:v>
                </c:pt>
                <c:pt idx="35">
                  <c:v>9.1724585964243661E-3</c:v>
                </c:pt>
                <c:pt idx="36">
                  <c:v>1.5721605375381312E-2</c:v>
                </c:pt>
              </c:numCache>
            </c:numRef>
          </c:yVal>
          <c:smooth val="0"/>
          <c:extLst xmlns:c16r2="http://schemas.microsoft.com/office/drawing/2015/06/chart">
            <c:ext xmlns:c15="http://schemas.microsoft.com/office/drawing/2012/chart" uri="{02D57815-91ED-43cb-92C2-25804820EDAC}">
              <c15:datalabelsRange>
                <c15:f>'C:\Users\Moinul\Desktop\[IWR2017data_conv_fig12.xlsx]HDI1'!$E$3:$E$39</c15:f>
                <c15:dlblRangeCache>
                  <c:ptCount val="37"/>
                  <c:pt idx="0">
                    <c:v>ALB</c:v>
                  </c:pt>
                  <c:pt idx="1">
                    <c:v>ARM</c:v>
                  </c:pt>
                  <c:pt idx="2">
                    <c:v>BLZ</c:v>
                  </c:pt>
                  <c:pt idx="3">
                    <c:v>BOL</c:v>
                  </c:pt>
                  <c:pt idx="4">
                    <c:v>CIV</c:v>
                  </c:pt>
                  <c:pt idx="5">
                    <c:v>CMR</c:v>
                  </c:pt>
                  <c:pt idx="6">
                    <c:v>COG</c:v>
                  </c:pt>
                  <c:pt idx="7">
                    <c:v>EGY</c:v>
                  </c:pt>
                  <c:pt idx="8">
                    <c:v>FJI</c:v>
                  </c:pt>
                  <c:pt idx="9">
                    <c:v>GHA</c:v>
                  </c:pt>
                  <c:pt idx="10">
                    <c:v>GTM</c:v>
                  </c:pt>
                  <c:pt idx="11">
                    <c:v>GUY</c:v>
                  </c:pt>
                  <c:pt idx="12">
                    <c:v>HND</c:v>
                  </c:pt>
                  <c:pt idx="13">
                    <c:v>IDN</c:v>
                  </c:pt>
                  <c:pt idx="14">
                    <c:v>IND</c:v>
                  </c:pt>
                  <c:pt idx="15">
                    <c:v>IRQ</c:v>
                  </c:pt>
                  <c:pt idx="16">
                    <c:v>LAO</c:v>
                  </c:pt>
                  <c:pt idx="17">
                    <c:v>LKA</c:v>
                  </c:pt>
                  <c:pt idx="18">
                    <c:v>LSO</c:v>
                  </c:pt>
                  <c:pt idx="19">
                    <c:v>MAR</c:v>
                  </c:pt>
                  <c:pt idx="20">
                    <c:v>MDA</c:v>
                  </c:pt>
                  <c:pt idx="21">
                    <c:v>MNG</c:v>
                  </c:pt>
                  <c:pt idx="22">
                    <c:v>NGA</c:v>
                  </c:pt>
                  <c:pt idx="23">
                    <c:v>NIC</c:v>
                  </c:pt>
                  <c:pt idx="24">
                    <c:v>PAK</c:v>
                  </c:pt>
                  <c:pt idx="25">
                    <c:v>PHL</c:v>
                  </c:pt>
                  <c:pt idx="26">
                    <c:v>PNG</c:v>
                  </c:pt>
                  <c:pt idx="27">
                    <c:v>PRY</c:v>
                  </c:pt>
                  <c:pt idx="28">
                    <c:v>SDN</c:v>
                  </c:pt>
                  <c:pt idx="29">
                    <c:v>SEN</c:v>
                  </c:pt>
                  <c:pt idx="30">
                    <c:v>SLV</c:v>
                  </c:pt>
                  <c:pt idx="31">
                    <c:v>SWZ</c:v>
                  </c:pt>
                  <c:pt idx="32">
                    <c:v>SYR</c:v>
                  </c:pt>
                  <c:pt idx="33">
                    <c:v>UKR</c:v>
                  </c:pt>
                  <c:pt idx="34">
                    <c:v>VNM</c:v>
                  </c:pt>
                  <c:pt idx="35">
                    <c:v>YEM</c:v>
                  </c:pt>
                  <c:pt idx="36">
                    <c:v>ZMB</c:v>
                  </c:pt>
                </c15:dlblRangeCache>
              </c15:datalabelsRange>
            </c:ext>
            <c:ext xmlns:c16="http://schemas.microsoft.com/office/drawing/2014/chart" uri="{C3380CC4-5D6E-409C-BE32-E72D297353CC}">
              <c16:uniqueId val="{00000040-D6E8-413F-A6D7-8826624DF820}"/>
            </c:ext>
          </c:extLst>
        </c:ser>
        <c:ser>
          <c:idx val="2"/>
          <c:order val="2"/>
          <c:tx>
            <c:v>Upper Middle Income</c:v>
          </c:tx>
          <c:spPr>
            <a:ln w="25400" cap="rnd">
              <a:noFill/>
              <a:round/>
            </a:ln>
            <a:effectLst/>
          </c:spPr>
          <c:marker>
            <c:symbol val="circle"/>
            <c:size val="5"/>
            <c:spPr>
              <a:solidFill>
                <a:schemeClr val="accent6">
                  <a:lumMod val="75000"/>
                </a:schemeClr>
              </a:solidFill>
              <a:ln w="9525">
                <a:solidFill>
                  <a:schemeClr val="accent6">
                    <a:lumMod val="75000"/>
                  </a:schemeClr>
                </a:solidFill>
              </a:ln>
              <a:effectLst/>
            </c:spPr>
          </c:marker>
          <c:dLbls>
            <c:dLbl>
              <c:idx val="0"/>
              <c:layout/>
              <c:tx>
                <c:rich>
                  <a:bodyPr/>
                  <a:lstStyle/>
                  <a:p>
                    <a:fld id="{252F6D8D-4D16-4EEF-AC1C-18307E813748}"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41-D6E8-413F-A6D7-8826624DF820}"/>
                </c:ext>
              </c:extLst>
            </c:dLbl>
            <c:dLbl>
              <c:idx val="1"/>
              <c:layout/>
              <c:tx>
                <c:rich>
                  <a:bodyPr/>
                  <a:lstStyle/>
                  <a:p>
                    <a:fld id="{21B8DD0E-6CE0-44BD-8BAF-F5273416F97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D6E8-413F-A6D7-8826624DF820}"/>
                </c:ext>
              </c:extLst>
            </c:dLbl>
            <c:dLbl>
              <c:idx val="2"/>
              <c:layout/>
              <c:tx>
                <c:rich>
                  <a:bodyPr/>
                  <a:lstStyle/>
                  <a:p>
                    <a:fld id="{B6BAC1C3-2956-427D-AD55-B9605EFB9A6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D6E8-413F-A6D7-8826624DF820}"/>
                </c:ext>
              </c:extLst>
            </c:dLbl>
            <c:dLbl>
              <c:idx val="3"/>
              <c:layout/>
              <c:tx>
                <c:rich>
                  <a:bodyPr/>
                  <a:lstStyle/>
                  <a:p>
                    <a:fld id="{757EF993-9EA9-4D97-A17A-4E7E5177330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D6E8-413F-A6D7-8826624DF820}"/>
                </c:ext>
              </c:extLst>
            </c:dLbl>
            <c:dLbl>
              <c:idx val="4"/>
              <c:layout/>
              <c:tx>
                <c:rich>
                  <a:bodyPr/>
                  <a:lstStyle/>
                  <a:p>
                    <a:fld id="{0D2E913F-9DF8-44E0-92F8-D3F1E757FAB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D6E8-413F-A6D7-8826624DF820}"/>
                </c:ext>
              </c:extLst>
            </c:dLbl>
            <c:dLbl>
              <c:idx val="5"/>
              <c:layout/>
              <c:tx>
                <c:rich>
                  <a:bodyPr/>
                  <a:lstStyle/>
                  <a:p>
                    <a:fld id="{83859126-FDC4-4452-9060-0C53FEAE9B0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D6E8-413F-A6D7-8826624DF820}"/>
                </c:ext>
              </c:extLst>
            </c:dLbl>
            <c:dLbl>
              <c:idx val="6"/>
              <c:layout/>
              <c:tx>
                <c:rich>
                  <a:bodyPr/>
                  <a:lstStyle/>
                  <a:p>
                    <a:fld id="{4DB6FF88-E6BA-4FBA-B9D6-21B7E06CE74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D6E8-413F-A6D7-8826624DF820}"/>
                </c:ext>
              </c:extLst>
            </c:dLbl>
            <c:dLbl>
              <c:idx val="7"/>
              <c:layout/>
              <c:tx>
                <c:rich>
                  <a:bodyPr/>
                  <a:lstStyle/>
                  <a:p>
                    <a:fld id="{B0236370-93C8-4123-B26C-19C514E20B5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D6E8-413F-A6D7-8826624DF820}"/>
                </c:ext>
              </c:extLst>
            </c:dLbl>
            <c:dLbl>
              <c:idx val="8"/>
              <c:layout/>
              <c:tx>
                <c:rich>
                  <a:bodyPr/>
                  <a:lstStyle/>
                  <a:p>
                    <a:fld id="{4F307C48-9A57-4EF9-B729-7B98807C2E3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D6E8-413F-A6D7-8826624DF820}"/>
                </c:ext>
              </c:extLst>
            </c:dLbl>
            <c:dLbl>
              <c:idx val="9"/>
              <c:layout/>
              <c:tx>
                <c:rich>
                  <a:bodyPr/>
                  <a:lstStyle/>
                  <a:p>
                    <a:fld id="{A95A714F-D4D2-4F91-B0B7-407D179071B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D6E8-413F-A6D7-8826624DF820}"/>
                </c:ext>
              </c:extLst>
            </c:dLbl>
            <c:dLbl>
              <c:idx val="10"/>
              <c:layout/>
              <c:tx>
                <c:rich>
                  <a:bodyPr/>
                  <a:lstStyle/>
                  <a:p>
                    <a:fld id="{C650F7D4-5CDD-4EBB-BD83-4F5E2ABE2CA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D6E8-413F-A6D7-8826624DF820}"/>
                </c:ext>
              </c:extLst>
            </c:dLbl>
            <c:dLbl>
              <c:idx val="11"/>
              <c:layout/>
              <c:tx>
                <c:rich>
                  <a:bodyPr/>
                  <a:lstStyle/>
                  <a:p>
                    <a:fld id="{6698C664-33E5-4295-97D2-6910C473A5D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D6E8-413F-A6D7-8826624DF820}"/>
                </c:ext>
              </c:extLst>
            </c:dLbl>
            <c:dLbl>
              <c:idx val="12"/>
              <c:layout/>
              <c:tx>
                <c:rich>
                  <a:bodyPr/>
                  <a:lstStyle/>
                  <a:p>
                    <a:fld id="{E5DB99E6-0BB6-41DB-95F1-7BF6A95B1B4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D6E8-413F-A6D7-8826624DF820}"/>
                </c:ext>
              </c:extLst>
            </c:dLbl>
            <c:dLbl>
              <c:idx val="13"/>
              <c:layout/>
              <c:tx>
                <c:rich>
                  <a:bodyPr/>
                  <a:lstStyle/>
                  <a:p>
                    <a:fld id="{A85D0FED-4B62-4A05-978B-5C39193D9B6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D6E8-413F-A6D7-8826624DF820}"/>
                </c:ext>
              </c:extLst>
            </c:dLbl>
            <c:dLbl>
              <c:idx val="14"/>
              <c:layout/>
              <c:tx>
                <c:rich>
                  <a:bodyPr/>
                  <a:lstStyle/>
                  <a:p>
                    <a:fld id="{A0E6E922-7A3C-414E-947F-79C82C38C2A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D6E8-413F-A6D7-8826624DF820}"/>
                </c:ext>
              </c:extLst>
            </c:dLbl>
            <c:dLbl>
              <c:idx val="15"/>
              <c:layout/>
              <c:tx>
                <c:rich>
                  <a:bodyPr/>
                  <a:lstStyle/>
                  <a:p>
                    <a:fld id="{270B9C25-16DB-4A2D-B6C1-D64230E135E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D6E8-413F-A6D7-8826624DF820}"/>
                </c:ext>
              </c:extLst>
            </c:dLbl>
            <c:dLbl>
              <c:idx val="16"/>
              <c:layout/>
              <c:tx>
                <c:rich>
                  <a:bodyPr/>
                  <a:lstStyle/>
                  <a:p>
                    <a:fld id="{3C275A8F-45F1-4CAA-9DAE-61F1AEF6ACD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D6E8-413F-A6D7-8826624DF820}"/>
                </c:ext>
              </c:extLst>
            </c:dLbl>
            <c:dLbl>
              <c:idx val="17"/>
              <c:layout/>
              <c:tx>
                <c:rich>
                  <a:bodyPr/>
                  <a:lstStyle/>
                  <a:p>
                    <a:fld id="{F9DE82D8-CF28-43E2-9D55-90F121E5FB7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D6E8-413F-A6D7-8826624DF820}"/>
                </c:ext>
              </c:extLst>
            </c:dLbl>
            <c:dLbl>
              <c:idx val="18"/>
              <c:layout/>
              <c:tx>
                <c:rich>
                  <a:bodyPr/>
                  <a:lstStyle/>
                  <a:p>
                    <a:fld id="{230F812F-9C0C-4532-AD43-4ADB712911D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3-D6E8-413F-A6D7-8826624DF820}"/>
                </c:ext>
              </c:extLst>
            </c:dLbl>
            <c:dLbl>
              <c:idx val="19"/>
              <c:layout/>
              <c:tx>
                <c:rich>
                  <a:bodyPr/>
                  <a:lstStyle/>
                  <a:p>
                    <a:fld id="{E7507B27-3EBD-4376-A9C4-017028593E8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D6E8-413F-A6D7-8826624DF820}"/>
                </c:ext>
              </c:extLst>
            </c:dLbl>
            <c:dLbl>
              <c:idx val="20"/>
              <c:layout/>
              <c:tx>
                <c:rich>
                  <a:bodyPr/>
                  <a:lstStyle/>
                  <a:p>
                    <a:fld id="{CB256C68-E571-4991-B287-D14FBC1FB2C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D6E8-413F-A6D7-8826624DF820}"/>
                </c:ext>
              </c:extLst>
            </c:dLbl>
            <c:dLbl>
              <c:idx val="21"/>
              <c:layout/>
              <c:tx>
                <c:rich>
                  <a:bodyPr/>
                  <a:lstStyle/>
                  <a:p>
                    <a:fld id="{D724F9FA-A204-47A4-AC1B-0EAEB5DB9AB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6-D6E8-413F-A6D7-8826624DF820}"/>
                </c:ext>
              </c:extLst>
            </c:dLbl>
            <c:dLbl>
              <c:idx val="22"/>
              <c:layout/>
              <c:tx>
                <c:rich>
                  <a:bodyPr/>
                  <a:lstStyle/>
                  <a:p>
                    <a:fld id="{0666EEEC-7110-41D3-AC21-15A211A837A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7-D6E8-413F-A6D7-8826624DF820}"/>
                </c:ext>
              </c:extLst>
            </c:dLbl>
            <c:dLbl>
              <c:idx val="23"/>
              <c:layout/>
              <c:tx>
                <c:rich>
                  <a:bodyPr/>
                  <a:lstStyle/>
                  <a:p>
                    <a:fld id="{0B62007A-423E-471B-BD4A-403E263FDE0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8-D6E8-413F-A6D7-8826624DF820}"/>
                </c:ext>
              </c:extLst>
            </c:dLbl>
            <c:dLbl>
              <c:idx val="24"/>
              <c:layout/>
              <c:tx>
                <c:rich>
                  <a:bodyPr/>
                  <a:lstStyle/>
                  <a:p>
                    <a:fld id="{870BF3FC-F3C3-4536-849E-E8266AB5796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9-D6E8-413F-A6D7-8826624DF820}"/>
                </c:ext>
              </c:extLst>
            </c:dLbl>
            <c:dLbl>
              <c:idx val="25"/>
              <c:layout/>
              <c:tx>
                <c:rich>
                  <a:bodyPr/>
                  <a:lstStyle/>
                  <a:p>
                    <a:fld id="{96688AA5-BABF-4754-8C1C-E96B4C9E0DE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A-D6E8-413F-A6D7-8826624DF820}"/>
                </c:ext>
              </c:extLst>
            </c:dLbl>
            <c:dLbl>
              <c:idx val="26"/>
              <c:layout/>
              <c:tx>
                <c:rich>
                  <a:bodyPr/>
                  <a:lstStyle/>
                  <a:p>
                    <a:fld id="{07C769C2-8AA5-47AF-94E0-4D18CA89B5D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B-D6E8-413F-A6D7-8826624DF820}"/>
                </c:ext>
              </c:extLst>
            </c:dLbl>
            <c:dLbl>
              <c:idx val="27"/>
              <c:layout/>
              <c:tx>
                <c:rich>
                  <a:bodyPr/>
                  <a:lstStyle/>
                  <a:p>
                    <a:fld id="{4D256123-E3A2-4803-9B54-9D03BDD890C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C-D6E8-413F-A6D7-8826624DF820}"/>
                </c:ext>
              </c:extLst>
            </c:dLbl>
            <c:dLbl>
              <c:idx val="28"/>
              <c:layout/>
              <c:tx>
                <c:rich>
                  <a:bodyPr/>
                  <a:lstStyle/>
                  <a:p>
                    <a:fld id="{E1BB150E-D268-4928-80D7-2473DAB0CBA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D-D6E8-413F-A6D7-8826624DF820}"/>
                </c:ext>
              </c:extLst>
            </c:dLbl>
            <c:dLbl>
              <c:idx val="29"/>
              <c:layout/>
              <c:tx>
                <c:rich>
                  <a:bodyPr/>
                  <a:lstStyle/>
                  <a:p>
                    <a:fld id="{316CE9C5-07BE-4690-A73F-2AF0D05DF7F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E-D6E8-413F-A6D7-8826624DF820}"/>
                </c:ext>
              </c:extLst>
            </c:dLbl>
            <c:dLbl>
              <c:idx val="30"/>
              <c:layout/>
              <c:tx>
                <c:rich>
                  <a:bodyPr/>
                  <a:lstStyle/>
                  <a:p>
                    <a:fld id="{5DE1BBAA-727C-479C-BCB5-5309707CFF5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F-D6E8-413F-A6D7-8826624DF820}"/>
                </c:ext>
              </c:extLst>
            </c:dLbl>
            <c:dLbl>
              <c:idx val="31"/>
              <c:layout/>
              <c:tx>
                <c:rich>
                  <a:bodyPr/>
                  <a:lstStyle/>
                  <a:p>
                    <a:fld id="{554D160D-1AFE-4459-93B5-B486B411090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0-D6E8-413F-A6D7-8826624DF820}"/>
                </c:ext>
              </c:extLst>
            </c:dLbl>
            <c:dLbl>
              <c:idx val="32"/>
              <c:layout/>
              <c:tx>
                <c:rich>
                  <a:bodyPr/>
                  <a:lstStyle/>
                  <a:p>
                    <a:fld id="{A8321E8D-BE32-4A20-A639-0D9FBF763DB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1-D6E8-413F-A6D7-8826624DF820}"/>
                </c:ext>
              </c:extLst>
            </c:dLbl>
            <c:dLbl>
              <c:idx val="33"/>
              <c:layout/>
              <c:tx>
                <c:rich>
                  <a:bodyPr/>
                  <a:lstStyle/>
                  <a:p>
                    <a:fld id="{C6A5D426-178A-4171-950A-A018F601F3F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2-D6E8-413F-A6D7-8826624DF820}"/>
                </c:ext>
              </c:extLst>
            </c:dLbl>
            <c:dLbl>
              <c:idx val="34"/>
              <c:layout/>
              <c:tx>
                <c:rich>
                  <a:bodyPr/>
                  <a:lstStyle/>
                  <a:p>
                    <a:fld id="{1C8F3334-5E2A-4440-A460-E41F8A9A9B9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3-D6E8-413F-A6D7-8826624DF820}"/>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[1]HDI1!$K$3:$K$37</c:f>
              <c:numCache>
                <c:formatCode>General</c:formatCode>
                <c:ptCount val="35"/>
                <c:pt idx="0">
                  <c:v>3.7277383381690834E-3</c:v>
                </c:pt>
                <c:pt idx="1">
                  <c:v>1.0873664292038008E-2</c:v>
                </c:pt>
                <c:pt idx="2">
                  <c:v>-1.4661890299549912E-4</c:v>
                </c:pt>
                <c:pt idx="3">
                  <c:v>1.1896723982158801E-3</c:v>
                </c:pt>
                <c:pt idx="4">
                  <c:v>9.7522690427922568E-3</c:v>
                </c:pt>
                <c:pt idx="5">
                  <c:v>1.84856499569661E-2</c:v>
                </c:pt>
                <c:pt idx="6">
                  <c:v>-1.2133306259287701E-3</c:v>
                </c:pt>
                <c:pt idx="7">
                  <c:v>1.2022037907804199E-2</c:v>
                </c:pt>
                <c:pt idx="8">
                  <c:v>5.6996203197985434E-3</c:v>
                </c:pt>
                <c:pt idx="9">
                  <c:v>1.1590492165288501E-2</c:v>
                </c:pt>
                <c:pt idx="10">
                  <c:v>4.0593864621822923E-3</c:v>
                </c:pt>
                <c:pt idx="11">
                  <c:v>-3.7514634200300802E-3</c:v>
                </c:pt>
                <c:pt idx="12">
                  <c:v>-2.2038355522866437E-2</c:v>
                </c:pt>
                <c:pt idx="13">
                  <c:v>-6.1017352910626241E-3</c:v>
                </c:pt>
                <c:pt idx="14">
                  <c:v>9.9628354615573077E-3</c:v>
                </c:pt>
                <c:pt idx="15">
                  <c:v>1.2909164419284009E-2</c:v>
                </c:pt>
                <c:pt idx="16">
                  <c:v>2.7444943482111154E-3</c:v>
                </c:pt>
                <c:pt idx="17">
                  <c:v>1.5814853083319105E-2</c:v>
                </c:pt>
                <c:pt idx="18">
                  <c:v>1.6997773119139113E-2</c:v>
                </c:pt>
                <c:pt idx="19">
                  <c:v>1.1842438202266617E-2</c:v>
                </c:pt>
                <c:pt idx="20">
                  <c:v>8.8430143551803224E-3</c:v>
                </c:pt>
                <c:pt idx="21">
                  <c:v>2.1075946082861841E-2</c:v>
                </c:pt>
                <c:pt idx="22">
                  <c:v>7.5717629638125819E-3</c:v>
                </c:pt>
                <c:pt idx="23">
                  <c:v>6.6251706862063796E-3</c:v>
                </c:pt>
                <c:pt idx="24">
                  <c:v>1.14961561593361E-2</c:v>
                </c:pt>
                <c:pt idx="25">
                  <c:v>-4.926562155386234E-3</c:v>
                </c:pt>
                <c:pt idx="26">
                  <c:v>1.31330158037934E-2</c:v>
                </c:pt>
                <c:pt idx="27">
                  <c:v>6.2118697419706404E-3</c:v>
                </c:pt>
                <c:pt idx="28">
                  <c:v>1.2508677935497E-2</c:v>
                </c:pt>
                <c:pt idx="29">
                  <c:v>1.4628484057274299E-2</c:v>
                </c:pt>
                <c:pt idx="30">
                  <c:v>1.4524795592841099E-2</c:v>
                </c:pt>
                <c:pt idx="31">
                  <c:v>1.052801503996831E-2</c:v>
                </c:pt>
                <c:pt idx="32">
                  <c:v>8.6868568467883961E-3</c:v>
                </c:pt>
                <c:pt idx="33">
                  <c:v>-1.3671885864663218E-2</c:v>
                </c:pt>
                <c:pt idx="34">
                  <c:v>1.2844179758231319E-3</c:v>
                </c:pt>
              </c:numCache>
            </c:numRef>
          </c:xVal>
          <c:yVal>
            <c:numRef>
              <c:f>[1]HDI1!$J$3:$J$37</c:f>
              <c:numCache>
                <c:formatCode>General</c:formatCode>
                <c:ptCount val="35"/>
                <c:pt idx="0">
                  <c:v>7.1265576671866162E-3</c:v>
                </c:pt>
                <c:pt idx="1">
                  <c:v>4.9263822051550735E-3</c:v>
                </c:pt>
                <c:pt idx="2">
                  <c:v>9.063445996195808E-3</c:v>
                </c:pt>
                <c:pt idx="3">
                  <c:v>7.457592018960354E-3</c:v>
                </c:pt>
                <c:pt idx="4">
                  <c:v>7.2839707692131783E-3</c:v>
                </c:pt>
                <c:pt idx="5">
                  <c:v>1.5692476568349299E-2</c:v>
                </c:pt>
                <c:pt idx="6">
                  <c:v>7.906532215022917E-3</c:v>
                </c:pt>
                <c:pt idx="7">
                  <c:v>6.7366568683835436E-3</c:v>
                </c:pt>
                <c:pt idx="8">
                  <c:v>5.4472106708456404E-3</c:v>
                </c:pt>
                <c:pt idx="9">
                  <c:v>7.61391772717323E-3</c:v>
                </c:pt>
                <c:pt idx="10">
                  <c:v>1.0412196995541698E-2</c:v>
                </c:pt>
                <c:pt idx="11">
                  <c:v>5.2860134783558914E-3</c:v>
                </c:pt>
                <c:pt idx="12">
                  <c:v>4.1016571807817081E-3</c:v>
                </c:pt>
                <c:pt idx="13">
                  <c:v>1.26131694855149E-2</c:v>
                </c:pt>
                <c:pt idx="14">
                  <c:v>2.8829903777605219E-3</c:v>
                </c:pt>
                <c:pt idx="15">
                  <c:v>7.648117713000566E-3</c:v>
                </c:pt>
                <c:pt idx="16">
                  <c:v>5.5489425098418435E-3</c:v>
                </c:pt>
                <c:pt idx="17">
                  <c:v>5.8154348816297202E-3</c:v>
                </c:pt>
                <c:pt idx="18">
                  <c:v>7.0454586239934247E-3</c:v>
                </c:pt>
                <c:pt idx="19">
                  <c:v>6.5923864470902602E-3</c:v>
                </c:pt>
                <c:pt idx="20">
                  <c:v>6.4436163372636537E-3</c:v>
                </c:pt>
                <c:pt idx="21">
                  <c:v>9.5172990741851978E-3</c:v>
                </c:pt>
                <c:pt idx="22">
                  <c:v>8.1573240054593227E-3</c:v>
                </c:pt>
                <c:pt idx="23">
                  <c:v>3.4629111453516924E-3</c:v>
                </c:pt>
                <c:pt idx="24">
                  <c:v>7.2399631645150408E-3</c:v>
                </c:pt>
                <c:pt idx="25">
                  <c:v>7.534244522532374E-3</c:v>
                </c:pt>
                <c:pt idx="26">
                  <c:v>5.0320488537920535E-3</c:v>
                </c:pt>
                <c:pt idx="27">
                  <c:v>3.775227680750112E-3</c:v>
                </c:pt>
                <c:pt idx="28">
                  <c:v>3.2053516560388612E-3</c:v>
                </c:pt>
                <c:pt idx="29">
                  <c:v>9.9832965464001881E-3</c:v>
                </c:pt>
                <c:pt idx="30">
                  <c:v>1.00619440666263E-2</c:v>
                </c:pt>
                <c:pt idx="31">
                  <c:v>1.1672839408670909E-2</c:v>
                </c:pt>
                <c:pt idx="32">
                  <c:v>5.6926949057589703E-3</c:v>
                </c:pt>
                <c:pt idx="33">
                  <c:v>7.6256599053694503E-3</c:v>
                </c:pt>
                <c:pt idx="34">
                  <c:v>2.9191937640260525E-3</c:v>
                </c:pt>
              </c:numCache>
            </c:numRef>
          </c:yVal>
          <c:smooth val="0"/>
          <c:extLst xmlns:c16r2="http://schemas.microsoft.com/office/drawing/2015/06/chart">
            <c:ext xmlns:c15="http://schemas.microsoft.com/office/drawing/2012/chart" uri="{02D57815-91ED-43cb-92C2-25804820EDAC}">
              <c15:datalabelsRange>
                <c15:f>'C:\Users\Moinul\Desktop\[IWR2017data_conv_fig12.xlsx]HDI1'!$I$3:$I$37</c15:f>
                <c15:dlblRangeCache>
                  <c:ptCount val="35"/>
                  <c:pt idx="0">
                    <c:v>ARG</c:v>
                  </c:pt>
                  <c:pt idx="1">
                    <c:v>BGR</c:v>
                  </c:pt>
                  <c:pt idx="2">
                    <c:v>BRA</c:v>
                  </c:pt>
                  <c:pt idx="3">
                    <c:v>BWA</c:v>
                  </c:pt>
                  <c:pt idx="4">
                    <c:v>CHL</c:v>
                  </c:pt>
                  <c:pt idx="5">
                    <c:v>CHN</c:v>
                  </c:pt>
                  <c:pt idx="6">
                    <c:v>COL</c:v>
                  </c:pt>
                  <c:pt idx="7">
                    <c:v>CRI</c:v>
                  </c:pt>
                  <c:pt idx="8">
                    <c:v>CUB</c:v>
                  </c:pt>
                  <c:pt idx="9">
                    <c:v>DOM</c:v>
                  </c:pt>
                  <c:pt idx="10">
                    <c:v>DZA</c:v>
                  </c:pt>
                  <c:pt idx="11">
                    <c:v>ECU</c:v>
                  </c:pt>
                  <c:pt idx="12">
                    <c:v>GAB</c:v>
                  </c:pt>
                  <c:pt idx="13">
                    <c:v>IRN</c:v>
                  </c:pt>
                  <c:pt idx="14">
                    <c:v>JAM</c:v>
                  </c:pt>
                  <c:pt idx="15">
                    <c:v>JOR</c:v>
                  </c:pt>
                  <c:pt idx="16">
                    <c:v>KAZ</c:v>
                  </c:pt>
                  <c:pt idx="17">
                    <c:v>LTU</c:v>
                  </c:pt>
                  <c:pt idx="18">
                    <c:v>LVA</c:v>
                  </c:pt>
                  <c:pt idx="19">
                    <c:v>MDV</c:v>
                  </c:pt>
                  <c:pt idx="20">
                    <c:v>MEX</c:v>
                  </c:pt>
                  <c:pt idx="21">
                    <c:v>MUS</c:v>
                  </c:pt>
                  <c:pt idx="22">
                    <c:v>MYS</c:v>
                  </c:pt>
                  <c:pt idx="23">
                    <c:v>NAM</c:v>
                  </c:pt>
                  <c:pt idx="24">
                    <c:v>PAN</c:v>
                  </c:pt>
                  <c:pt idx="25">
                    <c:v>PER</c:v>
                  </c:pt>
                  <c:pt idx="26">
                    <c:v>ROU</c:v>
                  </c:pt>
                  <c:pt idx="27">
                    <c:v>RUS</c:v>
                  </c:pt>
                  <c:pt idx="28">
                    <c:v>SRB</c:v>
                  </c:pt>
                  <c:pt idx="29">
                    <c:v>THA</c:v>
                  </c:pt>
                  <c:pt idx="30">
                    <c:v>TUN</c:v>
                  </c:pt>
                  <c:pt idx="31">
                    <c:v>TUR</c:v>
                  </c:pt>
                  <c:pt idx="32">
                    <c:v>URY</c:v>
                  </c:pt>
                  <c:pt idx="33">
                    <c:v>VEN</c:v>
                  </c:pt>
                  <c:pt idx="34">
                    <c:v>ZAF</c:v>
                  </c:pt>
                </c15:dlblRangeCache>
              </c15:datalabelsRange>
            </c:ext>
            <c:ext xmlns:c16="http://schemas.microsoft.com/office/drawing/2014/chart" uri="{C3380CC4-5D6E-409C-BE32-E72D297353CC}">
              <c16:uniqueId val="{00000064-D6E8-413F-A6D7-8826624DF820}"/>
            </c:ext>
          </c:extLst>
        </c:ser>
        <c:ser>
          <c:idx val="3"/>
          <c:order val="3"/>
          <c:tx>
            <c:v>High Income</c:v>
          </c:tx>
          <c:spPr>
            <a:ln w="25400" cap="rnd">
              <a:noFill/>
              <a:round/>
            </a:ln>
            <a:effectLst/>
          </c:spPr>
          <c:marker>
            <c:symbol val="circle"/>
            <c:size val="5"/>
            <c:spPr>
              <a:solidFill>
                <a:schemeClr val="tx1"/>
              </a:solidFill>
              <a:ln w="9525">
                <a:solidFill>
                  <a:schemeClr val="tx1"/>
                </a:solidFill>
              </a:ln>
              <a:effectLst/>
            </c:spPr>
          </c:marker>
          <c:dLbls>
            <c:dLbl>
              <c:idx val="0"/>
              <c:layout/>
              <c:tx>
                <c:rich>
                  <a:bodyPr/>
                  <a:lstStyle/>
                  <a:p>
                    <a:fld id="{2E418DE2-3BED-44C2-A928-902BA68C75F3}"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65-D6E8-413F-A6D7-8826624DF820}"/>
                </c:ext>
              </c:extLst>
            </c:dLbl>
            <c:dLbl>
              <c:idx val="1"/>
              <c:layout/>
              <c:tx>
                <c:rich>
                  <a:bodyPr/>
                  <a:lstStyle/>
                  <a:p>
                    <a:fld id="{986CE8B2-5883-4D66-9F40-BD083DCA530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6-D6E8-413F-A6D7-8826624DF820}"/>
                </c:ext>
              </c:extLst>
            </c:dLbl>
            <c:dLbl>
              <c:idx val="2"/>
              <c:layout/>
              <c:tx>
                <c:rich>
                  <a:bodyPr/>
                  <a:lstStyle/>
                  <a:p>
                    <a:fld id="{A5ECA329-ADAA-46FD-B07E-6BA41F0F445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7-D6E8-413F-A6D7-8826624DF820}"/>
                </c:ext>
              </c:extLst>
            </c:dLbl>
            <c:dLbl>
              <c:idx val="3"/>
              <c:layout/>
              <c:tx>
                <c:rich>
                  <a:bodyPr/>
                  <a:lstStyle/>
                  <a:p>
                    <a:fld id="{834D3952-55D2-4129-B29D-C4D54EA12E1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8-D6E8-413F-A6D7-8826624DF820}"/>
                </c:ext>
              </c:extLst>
            </c:dLbl>
            <c:dLbl>
              <c:idx val="4"/>
              <c:layout/>
              <c:tx>
                <c:rich>
                  <a:bodyPr/>
                  <a:lstStyle/>
                  <a:p>
                    <a:fld id="{E4905D14-FA11-4100-83B5-F634E5041A0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9-D6E8-413F-A6D7-8826624DF820}"/>
                </c:ext>
              </c:extLst>
            </c:dLbl>
            <c:dLbl>
              <c:idx val="5"/>
              <c:layout/>
              <c:tx>
                <c:rich>
                  <a:bodyPr/>
                  <a:lstStyle/>
                  <a:p>
                    <a:fld id="{45600627-6494-4554-851A-CBD8C347732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A-D6E8-413F-A6D7-8826624DF820}"/>
                </c:ext>
              </c:extLst>
            </c:dLbl>
            <c:dLbl>
              <c:idx val="6"/>
              <c:layout/>
              <c:tx>
                <c:rich>
                  <a:bodyPr/>
                  <a:lstStyle/>
                  <a:p>
                    <a:fld id="{27A8BD98-2E3A-4B38-878E-F9B4EE2A7B1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B-D6E8-413F-A6D7-8826624DF820}"/>
                </c:ext>
              </c:extLst>
            </c:dLbl>
            <c:dLbl>
              <c:idx val="7"/>
              <c:layout/>
              <c:tx>
                <c:rich>
                  <a:bodyPr/>
                  <a:lstStyle/>
                  <a:p>
                    <a:fld id="{81DB4203-B5FA-4B64-8F42-8C113D0FB86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C-D6E8-413F-A6D7-8826624DF820}"/>
                </c:ext>
              </c:extLst>
            </c:dLbl>
            <c:dLbl>
              <c:idx val="8"/>
              <c:layout/>
              <c:tx>
                <c:rich>
                  <a:bodyPr/>
                  <a:lstStyle/>
                  <a:p>
                    <a:fld id="{AA978A8A-CEC6-4776-B24F-54E601BA1E9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D-D6E8-413F-A6D7-8826624DF820}"/>
                </c:ext>
              </c:extLst>
            </c:dLbl>
            <c:dLbl>
              <c:idx val="9"/>
              <c:layout/>
              <c:tx>
                <c:rich>
                  <a:bodyPr/>
                  <a:lstStyle/>
                  <a:p>
                    <a:fld id="{74C29A6B-1C54-4DB8-A5E2-D4D5E539244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E-D6E8-413F-A6D7-8826624DF820}"/>
                </c:ext>
              </c:extLst>
            </c:dLbl>
            <c:dLbl>
              <c:idx val="10"/>
              <c:layout/>
              <c:tx>
                <c:rich>
                  <a:bodyPr/>
                  <a:lstStyle/>
                  <a:p>
                    <a:fld id="{41C5AC59-6AAA-4924-BCC4-76F8A26E85A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F-D6E8-413F-A6D7-8826624DF820}"/>
                </c:ext>
              </c:extLst>
            </c:dLbl>
            <c:dLbl>
              <c:idx val="11"/>
              <c:layout/>
              <c:tx>
                <c:rich>
                  <a:bodyPr/>
                  <a:lstStyle/>
                  <a:p>
                    <a:fld id="{762E01E8-42CB-45D2-9CA3-07A233F9E79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0-D6E8-413F-A6D7-8826624DF820}"/>
                </c:ext>
              </c:extLst>
            </c:dLbl>
            <c:dLbl>
              <c:idx val="12"/>
              <c:layout/>
              <c:tx>
                <c:rich>
                  <a:bodyPr/>
                  <a:lstStyle/>
                  <a:p>
                    <a:fld id="{B8CA20E8-00D3-4AC2-8C31-1C27BD149FB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1-D6E8-413F-A6D7-8826624DF820}"/>
                </c:ext>
              </c:extLst>
            </c:dLbl>
            <c:dLbl>
              <c:idx val="13"/>
              <c:layout/>
              <c:tx>
                <c:rich>
                  <a:bodyPr/>
                  <a:lstStyle/>
                  <a:p>
                    <a:fld id="{4A08539B-AF1B-4FCD-BCE1-03858B41B02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2-D6E8-413F-A6D7-8826624DF820}"/>
                </c:ext>
              </c:extLst>
            </c:dLbl>
            <c:dLbl>
              <c:idx val="14"/>
              <c:layout/>
              <c:tx>
                <c:rich>
                  <a:bodyPr/>
                  <a:lstStyle/>
                  <a:p>
                    <a:fld id="{3F861B19-79E7-4AEA-A283-09828812821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3-D6E8-413F-A6D7-8826624DF820}"/>
                </c:ext>
              </c:extLst>
            </c:dLbl>
            <c:dLbl>
              <c:idx val="15"/>
              <c:layout/>
              <c:tx>
                <c:rich>
                  <a:bodyPr/>
                  <a:lstStyle/>
                  <a:p>
                    <a:fld id="{0A436C68-5D75-471F-B67A-DA8853ECFA8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4-D6E8-413F-A6D7-8826624DF820}"/>
                </c:ext>
              </c:extLst>
            </c:dLbl>
            <c:dLbl>
              <c:idx val="16"/>
              <c:layout/>
              <c:tx>
                <c:rich>
                  <a:bodyPr/>
                  <a:lstStyle/>
                  <a:p>
                    <a:fld id="{155D5FEE-04CC-4EB4-9B4F-EB9C1A7E3CB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5-D6E8-413F-A6D7-8826624DF820}"/>
                </c:ext>
              </c:extLst>
            </c:dLbl>
            <c:dLbl>
              <c:idx val="17"/>
              <c:layout/>
              <c:tx>
                <c:rich>
                  <a:bodyPr/>
                  <a:lstStyle/>
                  <a:p>
                    <a:fld id="{FA9C2230-C276-4F5E-BF9B-B763419E791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6-D6E8-413F-A6D7-8826624DF820}"/>
                </c:ext>
              </c:extLst>
            </c:dLbl>
            <c:dLbl>
              <c:idx val="18"/>
              <c:layout/>
              <c:tx>
                <c:rich>
                  <a:bodyPr/>
                  <a:lstStyle/>
                  <a:p>
                    <a:fld id="{94C09671-BCC6-4182-95CE-1CF84DF988E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7-D6E8-413F-A6D7-8826624DF820}"/>
                </c:ext>
              </c:extLst>
            </c:dLbl>
            <c:dLbl>
              <c:idx val="19"/>
              <c:layout/>
              <c:tx>
                <c:rich>
                  <a:bodyPr/>
                  <a:lstStyle/>
                  <a:p>
                    <a:fld id="{0D7B2E96-B6C2-4B11-BA09-61EC194DCDA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8-D6E8-413F-A6D7-8826624DF820}"/>
                </c:ext>
              </c:extLst>
            </c:dLbl>
            <c:dLbl>
              <c:idx val="20"/>
              <c:layout/>
              <c:tx>
                <c:rich>
                  <a:bodyPr/>
                  <a:lstStyle/>
                  <a:p>
                    <a:fld id="{A0B7A48A-7DA2-4553-92F4-1C6C78EAF29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9-D6E8-413F-A6D7-8826624DF820}"/>
                </c:ext>
              </c:extLst>
            </c:dLbl>
            <c:dLbl>
              <c:idx val="21"/>
              <c:layout/>
              <c:tx>
                <c:rich>
                  <a:bodyPr/>
                  <a:lstStyle/>
                  <a:p>
                    <a:fld id="{61785984-A655-40D1-9E31-EA7492C9245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A-D6E8-413F-A6D7-8826624DF820}"/>
                </c:ext>
              </c:extLst>
            </c:dLbl>
            <c:dLbl>
              <c:idx val="22"/>
              <c:layout/>
              <c:tx>
                <c:rich>
                  <a:bodyPr/>
                  <a:lstStyle/>
                  <a:p>
                    <a:fld id="{21D98EC5-51E1-4BFE-B423-C0971FAC70B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B-D6E8-413F-A6D7-8826624DF820}"/>
                </c:ext>
              </c:extLst>
            </c:dLbl>
            <c:dLbl>
              <c:idx val="23"/>
              <c:layout/>
              <c:tx>
                <c:rich>
                  <a:bodyPr/>
                  <a:lstStyle/>
                  <a:p>
                    <a:fld id="{3FBD92F2-8012-40C0-80E6-A59A77D9117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C-D6E8-413F-A6D7-8826624DF820}"/>
                </c:ext>
              </c:extLst>
            </c:dLbl>
            <c:dLbl>
              <c:idx val="24"/>
              <c:layout/>
              <c:tx>
                <c:rich>
                  <a:bodyPr/>
                  <a:lstStyle/>
                  <a:p>
                    <a:fld id="{5D208D08-63DE-45B8-93C5-FD8697707F7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D-D6E8-413F-A6D7-8826624DF820}"/>
                </c:ext>
              </c:extLst>
            </c:dLbl>
            <c:dLbl>
              <c:idx val="25"/>
              <c:layout/>
              <c:tx>
                <c:rich>
                  <a:bodyPr/>
                  <a:lstStyle/>
                  <a:p>
                    <a:fld id="{8388471C-A11F-4E09-B13E-996C44010B9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E-D6E8-413F-A6D7-8826624DF820}"/>
                </c:ext>
              </c:extLst>
            </c:dLbl>
            <c:dLbl>
              <c:idx val="26"/>
              <c:layout/>
              <c:tx>
                <c:rich>
                  <a:bodyPr/>
                  <a:lstStyle/>
                  <a:p>
                    <a:fld id="{EFF8987C-F043-495D-9884-A555CDA9720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F-D6E8-413F-A6D7-8826624DF820}"/>
                </c:ext>
              </c:extLst>
            </c:dLbl>
            <c:dLbl>
              <c:idx val="27"/>
              <c:layout/>
              <c:tx>
                <c:rich>
                  <a:bodyPr/>
                  <a:lstStyle/>
                  <a:p>
                    <a:fld id="{CC806A49-7692-4C45-B58E-10230FAD812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0-D6E8-413F-A6D7-8826624DF820}"/>
                </c:ext>
              </c:extLst>
            </c:dLbl>
            <c:dLbl>
              <c:idx val="28"/>
              <c:layout/>
              <c:tx>
                <c:rich>
                  <a:bodyPr/>
                  <a:lstStyle/>
                  <a:p>
                    <a:fld id="{D548B528-1835-4FB1-870C-B7169F889AD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1-D6E8-413F-A6D7-8826624DF820}"/>
                </c:ext>
              </c:extLst>
            </c:dLbl>
            <c:dLbl>
              <c:idx val="29"/>
              <c:layout/>
              <c:tx>
                <c:rich>
                  <a:bodyPr/>
                  <a:lstStyle/>
                  <a:p>
                    <a:fld id="{4ECF4AA2-E6A1-49DD-9A07-847CA5E6C69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2-D6E8-413F-A6D7-8826624DF820}"/>
                </c:ext>
              </c:extLst>
            </c:dLbl>
            <c:dLbl>
              <c:idx val="30"/>
              <c:layout/>
              <c:tx>
                <c:rich>
                  <a:bodyPr/>
                  <a:lstStyle/>
                  <a:p>
                    <a:fld id="{EBB02F67-1155-485C-A7BD-8A28AFB0C10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3-D6E8-413F-A6D7-8826624DF820}"/>
                </c:ext>
              </c:extLst>
            </c:dLbl>
            <c:dLbl>
              <c:idx val="31"/>
              <c:layout/>
              <c:tx>
                <c:rich>
                  <a:bodyPr/>
                  <a:lstStyle/>
                  <a:p>
                    <a:fld id="{5BA1C773-24FA-4AB2-844D-1DDB9511A0D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4-D6E8-413F-A6D7-8826624DF820}"/>
                </c:ext>
              </c:extLst>
            </c:dLbl>
            <c:dLbl>
              <c:idx val="32"/>
              <c:layout/>
              <c:tx>
                <c:rich>
                  <a:bodyPr/>
                  <a:lstStyle/>
                  <a:p>
                    <a:fld id="{E05EA605-D871-416E-B6BA-4BB1F281719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5-D6E8-413F-A6D7-8826624DF820}"/>
                </c:ext>
              </c:extLst>
            </c:dLbl>
            <c:dLbl>
              <c:idx val="33"/>
              <c:layout/>
              <c:tx>
                <c:rich>
                  <a:bodyPr/>
                  <a:lstStyle/>
                  <a:p>
                    <a:fld id="{366A94A1-47E1-41FC-BBAE-0FA4F54AF69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6-D6E8-413F-A6D7-8826624DF820}"/>
                </c:ext>
              </c:extLst>
            </c:dLbl>
            <c:dLbl>
              <c:idx val="34"/>
              <c:layout/>
              <c:tx>
                <c:rich>
                  <a:bodyPr/>
                  <a:lstStyle/>
                  <a:p>
                    <a:fld id="{345FE360-2CED-4404-9709-3966C4FC15E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7-D6E8-413F-A6D7-8826624DF820}"/>
                </c:ext>
              </c:extLst>
            </c:dLbl>
            <c:dLbl>
              <c:idx val="35"/>
              <c:layout/>
              <c:tx>
                <c:rich>
                  <a:bodyPr/>
                  <a:lstStyle/>
                  <a:p>
                    <a:fld id="{94FCF962-5427-4EB4-8982-01C5CD33AF7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8-D6E8-413F-A6D7-8826624DF820}"/>
                </c:ext>
              </c:extLst>
            </c:dLbl>
            <c:dLbl>
              <c:idx val="36"/>
              <c:layout/>
              <c:tx>
                <c:rich>
                  <a:bodyPr/>
                  <a:lstStyle/>
                  <a:p>
                    <a:fld id="{D4DC122D-FDFA-4B19-990E-6668AC95825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9-D6E8-413F-A6D7-8826624DF820}"/>
                </c:ext>
              </c:extLst>
            </c:dLbl>
            <c:dLbl>
              <c:idx val="37"/>
              <c:layout/>
              <c:tx>
                <c:rich>
                  <a:bodyPr/>
                  <a:lstStyle/>
                  <a:p>
                    <a:fld id="{3CFE039C-5FE0-469A-A5FE-C2C43656687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A-D6E8-413F-A6D7-8826624DF820}"/>
                </c:ext>
              </c:extLst>
            </c:dLbl>
            <c:dLbl>
              <c:idx val="38"/>
              <c:layout/>
              <c:tx>
                <c:rich>
                  <a:bodyPr/>
                  <a:lstStyle/>
                  <a:p>
                    <a:fld id="{5EF2FD74-A9EC-442C-BD12-7084F6F12A0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B-D6E8-413F-A6D7-8826624DF820}"/>
                </c:ext>
              </c:extLst>
            </c:dLbl>
            <c:dLbl>
              <c:idx val="39"/>
              <c:layout/>
              <c:tx>
                <c:rich>
                  <a:bodyPr/>
                  <a:lstStyle/>
                  <a:p>
                    <a:fld id="{73EEF373-77AD-49FC-A98F-393A1899035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C-D6E8-413F-A6D7-8826624DF820}"/>
                </c:ext>
              </c:extLst>
            </c:dLbl>
            <c:dLbl>
              <c:idx val="40"/>
              <c:layout/>
              <c:tx>
                <c:rich>
                  <a:bodyPr/>
                  <a:lstStyle/>
                  <a:p>
                    <a:fld id="{B70B3BDB-B5F3-472A-A17B-6B4F7CD3B4A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D-D6E8-413F-A6D7-8826624DF820}"/>
                </c:ext>
              </c:extLst>
            </c:dLbl>
            <c:dLbl>
              <c:idx val="41"/>
              <c:layout/>
              <c:tx>
                <c:rich>
                  <a:bodyPr/>
                  <a:lstStyle/>
                  <a:p>
                    <a:fld id="{852A1DAE-441F-432D-B6AF-79B2553E821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E-D6E8-413F-A6D7-8826624DF820}"/>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[1]HDI1!$O$3:$O$44</c:f>
              <c:numCache>
                <c:formatCode>General</c:formatCode>
                <c:ptCount val="42"/>
                <c:pt idx="0">
                  <c:v>-2.7380657742969119E-2</c:v>
                </c:pt>
                <c:pt idx="1">
                  <c:v>4.8025426507694001E-3</c:v>
                </c:pt>
                <c:pt idx="2">
                  <c:v>8.2999885816754694E-3</c:v>
                </c:pt>
                <c:pt idx="3">
                  <c:v>9.4312836231369469E-3</c:v>
                </c:pt>
                <c:pt idx="4">
                  <c:v>1.7751232566971694E-2</c:v>
                </c:pt>
                <c:pt idx="5">
                  <c:v>9.7695724421069767E-3</c:v>
                </c:pt>
                <c:pt idx="6">
                  <c:v>1.51092698362487E-3</c:v>
                </c:pt>
                <c:pt idx="7">
                  <c:v>9.1397493282177073E-3</c:v>
                </c:pt>
                <c:pt idx="8">
                  <c:v>2.0843306308313631E-2</c:v>
                </c:pt>
                <c:pt idx="9">
                  <c:v>1.2121623667614503E-2</c:v>
                </c:pt>
                <c:pt idx="10">
                  <c:v>7.4284949767846635E-3</c:v>
                </c:pt>
                <c:pt idx="11">
                  <c:v>6.7106854296583637E-3</c:v>
                </c:pt>
                <c:pt idx="12">
                  <c:v>1.2970825894080417E-2</c:v>
                </c:pt>
                <c:pt idx="13">
                  <c:v>1.5970534555529901E-2</c:v>
                </c:pt>
                <c:pt idx="14">
                  <c:v>9.961207918808293E-3</c:v>
                </c:pt>
                <c:pt idx="15">
                  <c:v>8.963541597583077E-3</c:v>
                </c:pt>
                <c:pt idx="16">
                  <c:v>8.0021532319958268E-3</c:v>
                </c:pt>
                <c:pt idx="17">
                  <c:v>1.00811274928445E-2</c:v>
                </c:pt>
                <c:pt idx="18">
                  <c:v>1.2744237161689499E-2</c:v>
                </c:pt>
                <c:pt idx="19">
                  <c:v>1.1194841936817112E-2</c:v>
                </c:pt>
                <c:pt idx="20">
                  <c:v>1.6689943046223499E-2</c:v>
                </c:pt>
                <c:pt idx="21">
                  <c:v>-1.0588302825362801E-3</c:v>
                </c:pt>
                <c:pt idx="22">
                  <c:v>1.0124575849918027E-2</c:v>
                </c:pt>
                <c:pt idx="23">
                  <c:v>8.9727496482936639E-3</c:v>
                </c:pt>
                <c:pt idx="24">
                  <c:v>1.0759794450994098E-2</c:v>
                </c:pt>
                <c:pt idx="25">
                  <c:v>2.4071693665941519E-2</c:v>
                </c:pt>
                <c:pt idx="26">
                  <c:v>-2.1565613838697081E-2</c:v>
                </c:pt>
                <c:pt idx="27">
                  <c:v>2.2718036080859406E-2</c:v>
                </c:pt>
                <c:pt idx="28">
                  <c:v>2.6815706061674337E-2</c:v>
                </c:pt>
                <c:pt idx="29">
                  <c:v>7.7190792979897668E-3</c:v>
                </c:pt>
                <c:pt idx="30">
                  <c:v>2.0840115986466841E-3</c:v>
                </c:pt>
                <c:pt idx="31">
                  <c:v>-2.8151992327450919E-3</c:v>
                </c:pt>
                <c:pt idx="32">
                  <c:v>1.3287157746103312E-2</c:v>
                </c:pt>
                <c:pt idx="33">
                  <c:v>1.41128477619386E-2</c:v>
                </c:pt>
                <c:pt idx="34">
                  <c:v>-3.0962825955895397E-2</c:v>
                </c:pt>
                <c:pt idx="35">
                  <c:v>-1.1420446728572007E-2</c:v>
                </c:pt>
                <c:pt idx="36">
                  <c:v>2.1472153727817724E-2</c:v>
                </c:pt>
                <c:pt idx="37">
                  <c:v>1.3588819177574599E-2</c:v>
                </c:pt>
                <c:pt idx="38">
                  <c:v>1.4194369456347999E-2</c:v>
                </c:pt>
                <c:pt idx="39">
                  <c:v>8.2649174886535379E-3</c:v>
                </c:pt>
                <c:pt idx="40">
                  <c:v>-7.5908390404185724E-3</c:v>
                </c:pt>
                <c:pt idx="41">
                  <c:v>6.1011429412534124E-3</c:v>
                </c:pt>
              </c:numCache>
            </c:numRef>
          </c:xVal>
          <c:yVal>
            <c:numRef>
              <c:f>[1]HDI1!$N$3:$N$44</c:f>
              <c:numCache>
                <c:formatCode>General</c:formatCode>
                <c:ptCount val="42"/>
                <c:pt idx="0">
                  <c:v>5.845422781332937E-3</c:v>
                </c:pt>
                <c:pt idx="1">
                  <c:v>3.2476381181663154E-3</c:v>
                </c:pt>
                <c:pt idx="2">
                  <c:v>4.5312428304358282E-3</c:v>
                </c:pt>
                <c:pt idx="3">
                  <c:v>4.1392816013805537E-3</c:v>
                </c:pt>
                <c:pt idx="4">
                  <c:v>4.152135063341997E-3</c:v>
                </c:pt>
                <c:pt idx="5">
                  <c:v>3.8408384718280298E-3</c:v>
                </c:pt>
                <c:pt idx="6">
                  <c:v>3.0327852110143519E-3</c:v>
                </c:pt>
                <c:pt idx="7">
                  <c:v>4.7007972140551439E-3</c:v>
                </c:pt>
                <c:pt idx="8">
                  <c:v>6.1895200537640535E-3</c:v>
                </c:pt>
                <c:pt idx="9">
                  <c:v>5.5930770851564436E-3</c:v>
                </c:pt>
                <c:pt idx="10">
                  <c:v>5.6054612001645914E-3</c:v>
                </c:pt>
                <c:pt idx="11">
                  <c:v>6.029282088083847E-3</c:v>
                </c:pt>
                <c:pt idx="12">
                  <c:v>6.1574091662610596E-3</c:v>
                </c:pt>
                <c:pt idx="13">
                  <c:v>7.131328073184849E-3</c:v>
                </c:pt>
                <c:pt idx="14">
                  <c:v>5.0205821228368501E-3</c:v>
                </c:pt>
                <c:pt idx="15">
                  <c:v>5.4716105937608981E-3</c:v>
                </c:pt>
                <c:pt idx="16">
                  <c:v>6.6832086965311682E-3</c:v>
                </c:pt>
                <c:pt idx="17">
                  <c:v>5.4618505455863433E-3</c:v>
                </c:pt>
                <c:pt idx="18">
                  <c:v>8.3507002038865231E-3</c:v>
                </c:pt>
                <c:pt idx="19">
                  <c:v>6.8423133320210114E-3</c:v>
                </c:pt>
                <c:pt idx="20">
                  <c:v>7.260641974902394E-3</c:v>
                </c:pt>
                <c:pt idx="21">
                  <c:v>4.7686015390111533E-3</c:v>
                </c:pt>
                <c:pt idx="22">
                  <c:v>5.4322873793391036E-3</c:v>
                </c:pt>
                <c:pt idx="23">
                  <c:v>5.4629254084554964E-3</c:v>
                </c:pt>
                <c:pt idx="24">
                  <c:v>3.773102859272244E-3</c:v>
                </c:pt>
                <c:pt idx="25">
                  <c:v>8.6100470802885597E-3</c:v>
                </c:pt>
                <c:pt idx="26">
                  <c:v>5.5206752506225002E-3</c:v>
                </c:pt>
                <c:pt idx="27">
                  <c:v>5.6599191058535137E-3</c:v>
                </c:pt>
                <c:pt idx="28">
                  <c:v>5.8728854366554275E-3</c:v>
                </c:pt>
                <c:pt idx="29">
                  <c:v>4.4400390776440134E-3</c:v>
                </c:pt>
                <c:pt idx="30">
                  <c:v>4.429237697781474E-3</c:v>
                </c:pt>
                <c:pt idx="31">
                  <c:v>4.5321656365819897E-3</c:v>
                </c:pt>
                <c:pt idx="32">
                  <c:v>7.0029709864138914E-3</c:v>
                </c:pt>
                <c:pt idx="33">
                  <c:v>6.5279116557128702E-3</c:v>
                </c:pt>
                <c:pt idx="34">
                  <c:v>5.0059875235661799E-3</c:v>
                </c:pt>
                <c:pt idx="35">
                  <c:v>8.0796520022314994E-3</c:v>
                </c:pt>
                <c:pt idx="36">
                  <c:v>1.00152545050125E-2</c:v>
                </c:pt>
                <c:pt idx="37">
                  <c:v>5.6076924898866938E-3</c:v>
                </c:pt>
                <c:pt idx="38">
                  <c:v>5.7975636030780436E-3</c:v>
                </c:pt>
                <c:pt idx="39">
                  <c:v>4.4663753574671903E-3</c:v>
                </c:pt>
                <c:pt idx="40">
                  <c:v>5.7346815398242636E-3</c:v>
                </c:pt>
                <c:pt idx="41">
                  <c:v>2.6349296449677019E-3</c:v>
                </c:pt>
              </c:numCache>
            </c:numRef>
          </c:yVal>
          <c:smooth val="0"/>
          <c:extLst xmlns:c16r2="http://schemas.microsoft.com/office/drawing/2015/06/chart">
            <c:ext xmlns:c15="http://schemas.microsoft.com/office/drawing/2012/chart" uri="{02D57815-91ED-43cb-92C2-25804820EDAC}">
              <c15:datalabelsRange>
                <c15:f>'C:\Users\Moinul\Desktop\[IWR2017data_conv_fig12.xlsx]HDI1'!$M$3:$M$44</c15:f>
                <c15:dlblRangeCache>
                  <c:ptCount val="42"/>
                  <c:pt idx="0">
                    <c:v>ARE</c:v>
                  </c:pt>
                  <c:pt idx="1">
                    <c:v>AUS</c:v>
                  </c:pt>
                  <c:pt idx="2">
                    <c:v>AUT</c:v>
                  </c:pt>
                  <c:pt idx="3">
                    <c:v>BEL</c:v>
                  </c:pt>
                  <c:pt idx="4">
                    <c:v>BHR</c:v>
                  </c:pt>
                  <c:pt idx="5">
                    <c:v>BRB</c:v>
                  </c:pt>
                  <c:pt idx="6">
                    <c:v>CAN</c:v>
                  </c:pt>
                  <c:pt idx="7">
                    <c:v>CHE</c:v>
                  </c:pt>
                  <c:pt idx="8">
                    <c:v>CYP</c:v>
                  </c:pt>
                  <c:pt idx="9">
                    <c:v>CZE</c:v>
                  </c:pt>
                  <c:pt idx="10">
                    <c:v>DEU</c:v>
                  </c:pt>
                  <c:pt idx="11">
                    <c:v>DNK</c:v>
                  </c:pt>
                  <c:pt idx="12">
                    <c:v>ESP</c:v>
                  </c:pt>
                  <c:pt idx="13">
                    <c:v>EST</c:v>
                  </c:pt>
                  <c:pt idx="14">
                    <c:v>FIN</c:v>
                  </c:pt>
                  <c:pt idx="15">
                    <c:v>FRA</c:v>
                  </c:pt>
                  <c:pt idx="16">
                    <c:v>GBR</c:v>
                  </c:pt>
                  <c:pt idx="17">
                    <c:v>GRC</c:v>
                  </c:pt>
                  <c:pt idx="18">
                    <c:v>HRV</c:v>
                  </c:pt>
                  <c:pt idx="19">
                    <c:v>HUN</c:v>
                  </c:pt>
                  <c:pt idx="20">
                    <c:v>IRL</c:v>
                  </c:pt>
                  <c:pt idx="21">
                    <c:v>ISL</c:v>
                  </c:pt>
                  <c:pt idx="22">
                    <c:v>ISR</c:v>
                  </c:pt>
                  <c:pt idx="23">
                    <c:v>ITA</c:v>
                  </c:pt>
                  <c:pt idx="24">
                    <c:v>JPN</c:v>
                  </c:pt>
                  <c:pt idx="25">
                    <c:v>KOR</c:v>
                  </c:pt>
                  <c:pt idx="26">
                    <c:v>KWT</c:v>
                  </c:pt>
                  <c:pt idx="27">
                    <c:v>LUX</c:v>
                  </c:pt>
                  <c:pt idx="28">
                    <c:v>MLT</c:v>
                  </c:pt>
                  <c:pt idx="29">
                    <c:v>NLD</c:v>
                  </c:pt>
                  <c:pt idx="30">
                    <c:v>NOR</c:v>
                  </c:pt>
                  <c:pt idx="31">
                    <c:v>NZL</c:v>
                  </c:pt>
                  <c:pt idx="32">
                    <c:v>POL</c:v>
                  </c:pt>
                  <c:pt idx="33">
                    <c:v>PRT</c:v>
                  </c:pt>
                  <c:pt idx="34">
                    <c:v>QAT</c:v>
                  </c:pt>
                  <c:pt idx="35">
                    <c:v>SAU</c:v>
                  </c:pt>
                  <c:pt idx="36">
                    <c:v>SGP</c:v>
                  </c:pt>
                  <c:pt idx="37">
                    <c:v>SVK</c:v>
                  </c:pt>
                  <c:pt idx="38">
                    <c:v>SVN</c:v>
                  </c:pt>
                  <c:pt idx="39">
                    <c:v>SWE</c:v>
                  </c:pt>
                  <c:pt idx="40">
                    <c:v>TTO</c:v>
                  </c:pt>
                  <c:pt idx="41">
                    <c:v>USA</c:v>
                  </c:pt>
                </c15:dlblRangeCache>
              </c15:datalabelsRange>
            </c:ext>
            <c:ext xmlns:c16="http://schemas.microsoft.com/office/drawing/2014/chart" uri="{C3380CC4-5D6E-409C-BE32-E72D297353CC}">
              <c16:uniqueId val="{0000008F-D6E8-413F-A6D7-8826624DF820}"/>
            </c:ext>
          </c:extLst>
        </c:ser>
        <c:dLbls>
          <c:showLegendKey val="0"/>
          <c:showVal val="0"/>
          <c:showCatName val="0"/>
          <c:showSerName val="0"/>
          <c:showPercent val="0"/>
          <c:showBubbleSize val="0"/>
        </c:dLbls>
        <c:axId val="145133952"/>
        <c:axId val="145135872"/>
      </c:scatterChart>
      <c:valAx>
        <c:axId val="145133952"/>
        <c:scaling>
          <c:orientation val="minMax"/>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ltLang="ja-JP" sz="1000" b="0" i="0" u="none" strike="noStrike" baseline="0">
                    <a:effectLst/>
                  </a:rPr>
                  <a:t>Growth rates in </a:t>
                </a:r>
                <a:r>
                  <a:rPr lang="en-US"/>
                  <a:t>IWI</a:t>
                </a:r>
                <a:r>
                  <a:rPr lang="en-US" baseline="0"/>
                  <a:t> per capita (before adjustment)</a:t>
                </a:r>
                <a:endParaRPr lang="en-US"/>
              </a:p>
            </c:rich>
          </c:tx>
          <c:layout/>
          <c:overlay val="0"/>
          <c:spPr>
            <a:noFill/>
            <a:ln>
              <a:noFill/>
            </a:ln>
            <a:effectLst/>
          </c:spPr>
        </c:title>
        <c:numFmt formatCode="0%" sourceLinked="0"/>
        <c:majorTickMark val="out"/>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145135872"/>
        <c:crosses val="autoZero"/>
        <c:crossBetween val="midCat"/>
      </c:valAx>
      <c:valAx>
        <c:axId val="145135872"/>
        <c:scaling>
          <c:orientation val="minMax"/>
          <c:max val="3.0000000000000002E-2"/>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lang="ja-JP" sz="1100" b="0" i="0" u="none" strike="noStrike" kern="1200" baseline="0">
                    <a:solidFill>
                      <a:schemeClr val="tx1">
                        <a:lumMod val="65000"/>
                        <a:lumOff val="35000"/>
                      </a:schemeClr>
                    </a:solidFill>
                    <a:latin typeface="+mn-lt"/>
                    <a:ea typeface="+mn-ea"/>
                    <a:cs typeface="+mn-cs"/>
                  </a:defRPr>
                </a:pPr>
                <a:r>
                  <a:rPr lang="en-US" sz="1100"/>
                  <a:t>Growth rates in HDI</a:t>
                </a:r>
              </a:p>
            </c:rich>
          </c:tx>
          <c:layout/>
          <c:overlay val="0"/>
          <c:spPr>
            <a:noFill/>
            <a:ln>
              <a:noFill/>
            </a:ln>
            <a:effectLst/>
          </c:spPr>
        </c:title>
        <c:numFmt formatCode="0%" sourceLinked="0"/>
        <c:majorTickMark val="out"/>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145133952"/>
        <c:crosses val="autoZero"/>
        <c:crossBetween val="midCat"/>
        <c:majorUnit val="1.0000000000000005E-2"/>
      </c:valAx>
      <c:spPr>
        <a:noFill/>
        <a:ln>
          <a:noFill/>
        </a:ln>
        <a:effectLst/>
      </c:spPr>
    </c:plotArea>
    <c:legend>
      <c:legendPos val="r"/>
      <c:layout>
        <c:manualLayout>
          <c:xMode val="edge"/>
          <c:yMode val="edge"/>
          <c:x val="5.9104562188428224E-2"/>
          <c:y val="1.7494495652498401E-3"/>
          <c:w val="0.24945611513988811"/>
          <c:h val="0.25337284024331108"/>
        </c:manualLayout>
      </c:layout>
      <c:overlay val="0"/>
      <c:spPr>
        <a:noFill/>
        <a:ln>
          <a:solidFill>
            <a:schemeClr val="tx1"/>
          </a:solidFill>
        </a:ln>
        <a:effectLst/>
      </c:spPr>
      <c:txPr>
        <a:bodyPr rot="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206583654935913E-2"/>
          <c:y val="3.9483129935391201E-2"/>
          <c:w val="0.90746994466707698"/>
          <c:h val="0.80166270045390009"/>
        </c:manualLayout>
      </c:layout>
      <c:scatterChart>
        <c:scatterStyle val="lineMarker"/>
        <c:varyColors val="0"/>
        <c:ser>
          <c:idx val="0"/>
          <c:order val="0"/>
          <c:tx>
            <c:v>Low Income</c:v>
          </c:tx>
          <c:spPr>
            <a:ln w="19050" cap="rnd">
              <a:noFill/>
              <a:round/>
            </a:ln>
            <a:effectLst/>
          </c:spPr>
          <c:marker>
            <c:symbol val="circle"/>
            <c:size val="5"/>
            <c:spPr>
              <a:solidFill>
                <a:schemeClr val="accent6">
                  <a:lumMod val="60000"/>
                  <a:lumOff val="40000"/>
                </a:schemeClr>
              </a:solidFill>
              <a:ln w="25400">
                <a:solidFill>
                  <a:schemeClr val="accent6">
                    <a:lumMod val="60000"/>
                    <a:lumOff val="40000"/>
                  </a:schemeClr>
                </a:solidFill>
              </a:ln>
              <a:effectLst/>
            </c:spPr>
          </c:marker>
          <c:dLbls>
            <c:dLbl>
              <c:idx val="0"/>
              <c:layout/>
              <c:tx>
                <c:rich>
                  <a:bodyPr/>
                  <a:lstStyle/>
                  <a:p>
                    <a:fld id="{84413EF7-8967-452F-9219-6A0C5F0F1F16}"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0-4D2D-403D-9210-9FA08E39973A}"/>
                </c:ext>
              </c:extLst>
            </c:dLbl>
            <c:dLbl>
              <c:idx val="1"/>
              <c:layout/>
              <c:tx>
                <c:rich>
                  <a:bodyPr/>
                  <a:lstStyle/>
                  <a:p>
                    <a:fld id="{4E15555F-90D1-4541-9E3B-9FB2D3E959D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4D2D-403D-9210-9FA08E39973A}"/>
                </c:ext>
              </c:extLst>
            </c:dLbl>
            <c:dLbl>
              <c:idx val="2"/>
              <c:layout/>
              <c:tx>
                <c:rich>
                  <a:bodyPr/>
                  <a:lstStyle/>
                  <a:p>
                    <a:fld id="{18E7B875-7198-4EEA-AE48-9FF1A608305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4D2D-403D-9210-9FA08E39973A}"/>
                </c:ext>
              </c:extLst>
            </c:dLbl>
            <c:dLbl>
              <c:idx val="3"/>
              <c:layout/>
              <c:tx>
                <c:rich>
                  <a:bodyPr/>
                  <a:lstStyle/>
                  <a:p>
                    <a:fld id="{A166F06B-31E0-4321-959A-03B4B153DB3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4D2D-403D-9210-9FA08E39973A}"/>
                </c:ext>
              </c:extLst>
            </c:dLbl>
            <c:dLbl>
              <c:idx val="4"/>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D2D-403D-9210-9FA08E39973A}"/>
                </c:ext>
              </c:extLst>
            </c:dLbl>
            <c:dLbl>
              <c:idx val="5"/>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D2D-403D-9210-9FA08E39973A}"/>
                </c:ext>
              </c:extLst>
            </c:dLbl>
            <c:dLbl>
              <c:idx val="6"/>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D2D-403D-9210-9FA08E39973A}"/>
                </c:ext>
              </c:extLst>
            </c:dLbl>
            <c:dLbl>
              <c:idx val="7"/>
              <c:layout/>
              <c:tx>
                <c:rich>
                  <a:bodyPr/>
                  <a:lstStyle/>
                  <a:p>
                    <a:fld id="{2A3C4FFD-9578-4C53-B1D8-E6D2FF9A8CA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4D2D-403D-9210-9FA08E39973A}"/>
                </c:ext>
              </c:extLst>
            </c:dLbl>
            <c:dLbl>
              <c:idx val="8"/>
              <c:layout/>
              <c:tx>
                <c:rich>
                  <a:bodyPr/>
                  <a:lstStyle/>
                  <a:p>
                    <a:fld id="{AF55B5AB-39AE-4012-BA81-4232D2EE25E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4D2D-403D-9210-9FA08E39973A}"/>
                </c:ext>
              </c:extLst>
            </c:dLbl>
            <c:dLbl>
              <c:idx val="9"/>
              <c:layout/>
              <c:tx>
                <c:rich>
                  <a:bodyPr/>
                  <a:lstStyle/>
                  <a:p>
                    <a:fld id="{EC616198-2C94-481A-80F5-B2796D40F6A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4D2D-403D-9210-9FA08E39973A}"/>
                </c:ext>
              </c:extLst>
            </c:dLbl>
            <c:dLbl>
              <c:idx val="10"/>
              <c:layout/>
              <c:tx>
                <c:rich>
                  <a:bodyPr/>
                  <a:lstStyle/>
                  <a:p>
                    <a:fld id="{64E6CECB-93A0-48B8-9B24-422D7ECB114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4D2D-403D-9210-9FA08E39973A}"/>
                </c:ext>
              </c:extLst>
            </c:dLbl>
            <c:dLbl>
              <c:idx val="11"/>
              <c:layout/>
              <c:tx>
                <c:rich>
                  <a:bodyPr/>
                  <a:lstStyle/>
                  <a:p>
                    <a:fld id="{8BE5ABB2-948F-4F71-BBA5-203C65E4F23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4D2D-403D-9210-9FA08E39973A}"/>
                </c:ext>
              </c:extLst>
            </c:dLbl>
            <c:dLbl>
              <c:idx val="12"/>
              <c:layout/>
              <c:tx>
                <c:rich>
                  <a:bodyPr/>
                  <a:lstStyle/>
                  <a:p>
                    <a:fld id="{A106B4B1-D6EF-4E5A-8635-5619CC26959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4D2D-403D-9210-9FA08E39973A}"/>
                </c:ext>
              </c:extLst>
            </c:dLbl>
            <c:dLbl>
              <c:idx val="13"/>
              <c:layout/>
              <c:tx>
                <c:rich>
                  <a:bodyPr/>
                  <a:lstStyle/>
                  <a:p>
                    <a:fld id="{3B9211B7-2C40-4F00-9355-9E6A8815458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4D2D-403D-9210-9FA08E39973A}"/>
                </c:ext>
              </c:extLst>
            </c:dLbl>
            <c:dLbl>
              <c:idx val="14"/>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4D2D-403D-9210-9FA08E39973A}"/>
                </c:ext>
              </c:extLst>
            </c:dLbl>
            <c:dLbl>
              <c:idx val="15"/>
              <c:layout/>
              <c:tx>
                <c:rich>
                  <a:bodyPr/>
                  <a:lstStyle/>
                  <a:p>
                    <a:fld id="{3E9C60D8-5D71-406E-BC52-2E4A9FCD58D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4D2D-403D-9210-9FA08E39973A}"/>
                </c:ext>
              </c:extLst>
            </c:dLbl>
            <c:dLbl>
              <c:idx val="16"/>
              <c:layout/>
              <c:tx>
                <c:rich>
                  <a:bodyPr/>
                  <a:lstStyle/>
                  <a:p>
                    <a:fld id="{9E95A651-096D-4873-A353-F4336403FC7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4D2D-403D-9210-9FA08E39973A}"/>
                </c:ext>
              </c:extLst>
            </c:dLbl>
            <c:dLbl>
              <c:idx val="17"/>
              <c:layout/>
              <c:tx>
                <c:rich>
                  <a:bodyPr/>
                  <a:lstStyle/>
                  <a:p>
                    <a:fld id="{9349085E-2826-4880-BD5A-D5739AE706E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4D2D-403D-9210-9FA08E39973A}"/>
                </c:ext>
              </c:extLst>
            </c:dLbl>
            <c:dLbl>
              <c:idx val="18"/>
              <c:layout/>
              <c:tx>
                <c:rich>
                  <a:bodyPr/>
                  <a:lstStyle/>
                  <a:p>
                    <a:fld id="{2E727585-1ABE-44E0-ABD6-6D906933A66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4D2D-403D-9210-9FA08E39973A}"/>
                </c:ext>
              </c:extLst>
            </c:dLbl>
            <c:dLbl>
              <c:idx val="19"/>
              <c:layout/>
              <c:tx>
                <c:rich>
                  <a:bodyPr/>
                  <a:lstStyle/>
                  <a:p>
                    <a:fld id="{3D34B6D8-64D9-4C15-A63B-605F7D8BA33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4D2D-403D-9210-9FA08E39973A}"/>
                </c:ext>
              </c:extLst>
            </c:dLbl>
            <c:dLbl>
              <c:idx val="20"/>
              <c:layout/>
              <c:tx>
                <c:rich>
                  <a:bodyPr/>
                  <a:lstStyle/>
                  <a:p>
                    <a:fld id="{E4258F69-B23D-4A85-8237-2E5C1C0753F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4D2D-403D-9210-9FA08E39973A}"/>
                </c:ext>
              </c:extLst>
            </c:dLbl>
            <c:dLbl>
              <c:idx val="21"/>
              <c:layout/>
              <c:tx>
                <c:rich>
                  <a:bodyPr/>
                  <a:lstStyle/>
                  <a:p>
                    <a:fld id="{8ECBF629-8E69-470A-853F-B03396B67F8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4D2D-403D-9210-9FA08E39973A}"/>
                </c:ext>
              </c:extLst>
            </c:dLbl>
            <c:dLbl>
              <c:idx val="22"/>
              <c:layout/>
              <c:tx>
                <c:rich>
                  <a:bodyPr/>
                  <a:lstStyle/>
                  <a:p>
                    <a:fld id="{F5B2BAA9-E0BA-4199-9DD3-FA5CB4FF360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4D2D-403D-9210-9FA08E39973A}"/>
                </c:ext>
              </c:extLst>
            </c:dLbl>
            <c:dLbl>
              <c:idx val="23"/>
              <c:layout/>
              <c:tx>
                <c:rich>
                  <a:bodyPr/>
                  <a:lstStyle/>
                  <a:p>
                    <a:fld id="{CF5B9803-4F2D-4359-92C9-39911D35522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4D2D-403D-9210-9FA08E39973A}"/>
                </c:ext>
              </c:extLst>
            </c:dLbl>
            <c:dLbl>
              <c:idx val="24"/>
              <c:layout/>
              <c:tx>
                <c:rich>
                  <a:bodyPr/>
                  <a:lstStyle/>
                  <a:p>
                    <a:fld id="{24D42818-CDDF-4AE2-9667-6BBEDE63A79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4D2D-403D-9210-9FA08E39973A}"/>
                </c:ext>
              </c:extLst>
            </c:dLbl>
            <c:dLbl>
              <c:idx val="25"/>
              <c:layout/>
              <c:tx>
                <c:rich>
                  <a:bodyPr/>
                  <a:lstStyle/>
                  <a:p>
                    <a:fld id="{31C21541-97BA-4E3A-830A-8C3454E6F64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4D2D-403D-9210-9FA08E39973A}"/>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[1]Happy!$B$3:$B$28</c:f>
              <c:numCache>
                <c:formatCode>General</c:formatCode>
                <c:ptCount val="26"/>
                <c:pt idx="0">
                  <c:v>-5.4422374684202114E-3</c:v>
                </c:pt>
                <c:pt idx="1">
                  <c:v>-3.0215220703380119E-3</c:v>
                </c:pt>
                <c:pt idx="2">
                  <c:v>-9.0966620639521007E-3</c:v>
                </c:pt>
                <c:pt idx="3">
                  <c:v>1.32630379368519E-2</c:v>
                </c:pt>
                <c:pt idx="4">
                  <c:v>-2.056334175303361E-2</c:v>
                </c:pt>
                <c:pt idx="5">
                  <c:v>-2.7057164020984528E-2</c:v>
                </c:pt>
                <c:pt idx="6">
                  <c:v>-1.1120160460654303E-2</c:v>
                </c:pt>
                <c:pt idx="7">
                  <c:v>8.6995085928744994E-3</c:v>
                </c:pt>
                <c:pt idx="8">
                  <c:v>5.7066627486250859E-3</c:v>
                </c:pt>
                <c:pt idx="9">
                  <c:v>-4.7389102541661732E-4</c:v>
                </c:pt>
                <c:pt idx="10">
                  <c:v>-2.4644079688574041E-2</c:v>
                </c:pt>
                <c:pt idx="11">
                  <c:v>-3.0667842882526147E-2</c:v>
                </c:pt>
                <c:pt idx="12">
                  <c:v>-1.8844832094944003E-2</c:v>
                </c:pt>
                <c:pt idx="13">
                  <c:v>-9.52784374359638E-3</c:v>
                </c:pt>
                <c:pt idx="14">
                  <c:v>-1.0831026057374498E-2</c:v>
                </c:pt>
                <c:pt idx="15">
                  <c:v>-1.9727141473113718E-3</c:v>
                </c:pt>
                <c:pt idx="16">
                  <c:v>-8.6104927296526482E-3</c:v>
                </c:pt>
                <c:pt idx="17">
                  <c:v>-1.0542596317695408E-2</c:v>
                </c:pt>
                <c:pt idx="18">
                  <c:v>-1.5763263949813505E-2</c:v>
                </c:pt>
                <c:pt idx="19">
                  <c:v>1.0357984350809896E-2</c:v>
                </c:pt>
                <c:pt idx="20">
                  <c:v>-7.0148463078581998E-3</c:v>
                </c:pt>
                <c:pt idx="21">
                  <c:v>-1.6862944753384109E-3</c:v>
                </c:pt>
                <c:pt idx="22">
                  <c:v>-5.0145675890315199E-3</c:v>
                </c:pt>
                <c:pt idx="23">
                  <c:v>-9.6585111957783205E-3</c:v>
                </c:pt>
                <c:pt idx="24">
                  <c:v>-3.2527498711902901E-3</c:v>
                </c:pt>
                <c:pt idx="25">
                  <c:v>-9.513589218873594E-3</c:v>
                </c:pt>
              </c:numCache>
            </c:numRef>
          </c:xVal>
          <c:yVal>
            <c:numRef>
              <c:f>[1]Happy!$C$3:$C$28</c:f>
              <c:numCache>
                <c:formatCode>General</c:formatCode>
                <c:ptCount val="26"/>
                <c:pt idx="0">
                  <c:v>3.3599998950958199</c:v>
                </c:pt>
                <c:pt idx="1">
                  <c:v>2.9049999713897701</c:v>
                </c:pt>
                <c:pt idx="2">
                  <c:v>3.4839999675750755</c:v>
                </c:pt>
                <c:pt idx="3">
                  <c:v>4.6430001258850098</c:v>
                </c:pt>
                <c:pt idx="4">
                  <c:v>#N/A</c:v>
                </c:pt>
                <c:pt idx="5">
                  <c:v>#N/A</c:v>
                </c:pt>
                <c:pt idx="6">
                  <c:v>#N/A</c:v>
                </c:pt>
                <c:pt idx="7">
                  <c:v>4.0279998779296751</c:v>
                </c:pt>
                <c:pt idx="8">
                  <c:v>4.3559999465942356</c:v>
                </c:pt>
                <c:pt idx="9">
                  <c:v>5.1849999427795366</c:v>
                </c:pt>
                <c:pt idx="10">
                  <c:v>3.9070000648498531</c:v>
                </c:pt>
                <c:pt idx="11">
                  <c:v>3.6219999790191637</c:v>
                </c:pt>
                <c:pt idx="12">
                  <c:v>4.0729999542236373</c:v>
                </c:pt>
                <c:pt idx="13">
                  <c:v>4.3949999809265057</c:v>
                </c:pt>
                <c:pt idx="14">
                  <c:v>#N/A</c:v>
                </c:pt>
                <c:pt idx="15">
                  <c:v>4.2010002136230504</c:v>
                </c:pt>
                <c:pt idx="16">
                  <c:v>4.1560001373291016</c:v>
                </c:pt>
                <c:pt idx="17">
                  <c:v>3.8559999465942378</c:v>
                </c:pt>
                <c:pt idx="18">
                  <c:v>4.7930002212524396</c:v>
                </c:pt>
                <c:pt idx="19">
                  <c:v>3.5150001049041713</c:v>
                </c:pt>
                <c:pt idx="20">
                  <c:v>4.6350002288818359</c:v>
                </c:pt>
                <c:pt idx="21">
                  <c:v>3.3029999732971187</c:v>
                </c:pt>
                <c:pt idx="22">
                  <c:v>4.9959998130798375</c:v>
                </c:pt>
                <c:pt idx="23">
                  <c:v>3.6659998893737789</c:v>
                </c:pt>
                <c:pt idx="24">
                  <c:v>3.7390000820159912</c:v>
                </c:pt>
                <c:pt idx="25">
                  <c:v>4.1929998397827006</c:v>
                </c:pt>
              </c:numCache>
            </c:numRef>
          </c:yVal>
          <c:smooth val="0"/>
          <c:extLst xmlns:c16r2="http://schemas.microsoft.com/office/drawing/2015/06/chart">
            <c:ext xmlns:c15="http://schemas.microsoft.com/office/drawing/2012/chart" uri="{02D57815-91ED-43cb-92C2-25804820EDAC}">
              <c15:datalabelsRange>
                <c15:f>'C:\Users\Moinul\Desktop\[IWR2017data_conv_fig12.xlsx]GDPHDI'!$A$3:$A$28</c15:f>
                <c15:dlblRangeCache>
                  <c:ptCount val="26"/>
                  <c:pt idx="0">
                    <c:v>AFG</c:v>
                  </c:pt>
                  <c:pt idx="1">
                    <c:v>BDI</c:v>
                  </c:pt>
                  <c:pt idx="2">
                    <c:v>BEN</c:v>
                  </c:pt>
                  <c:pt idx="3">
                    <c:v>BGD</c:v>
                  </c:pt>
                  <c:pt idx="4">
                    <c:v>CAF</c:v>
                  </c:pt>
                  <c:pt idx="5">
                    <c:v>COD</c:v>
                  </c:pt>
                  <c:pt idx="6">
                    <c:v>GMB</c:v>
                  </c:pt>
                  <c:pt idx="7">
                    <c:v>HTI</c:v>
                  </c:pt>
                  <c:pt idx="8">
                    <c:v>KEN</c:v>
                  </c:pt>
                  <c:pt idx="9">
                    <c:v>KGZ</c:v>
                  </c:pt>
                  <c:pt idx="10">
                    <c:v>KHM</c:v>
                  </c:pt>
                  <c:pt idx="11">
                    <c:v>LBR</c:v>
                  </c:pt>
                  <c:pt idx="12">
                    <c:v>MLI</c:v>
                  </c:pt>
                  <c:pt idx="13">
                    <c:v>MMR</c:v>
                  </c:pt>
                  <c:pt idx="14">
                    <c:v>MOZ</c:v>
                  </c:pt>
                  <c:pt idx="15">
                    <c:v>MRT</c:v>
                  </c:pt>
                  <c:pt idx="16">
                    <c:v>MWI</c:v>
                  </c:pt>
                  <c:pt idx="17">
                    <c:v>NER</c:v>
                  </c:pt>
                  <c:pt idx="18">
                    <c:v>NPL</c:v>
                  </c:pt>
                  <c:pt idx="19">
                    <c:v>RWA</c:v>
                  </c:pt>
                  <c:pt idx="20">
                    <c:v>SLE</c:v>
                  </c:pt>
                  <c:pt idx="21">
                    <c:v>TGO</c:v>
                  </c:pt>
                  <c:pt idx="22">
                    <c:v>TJK</c:v>
                  </c:pt>
                  <c:pt idx="23">
                    <c:v>TZA</c:v>
                  </c:pt>
                  <c:pt idx="24">
                    <c:v>UGA</c:v>
                  </c:pt>
                  <c:pt idx="25">
                    <c:v>ZWE</c:v>
                  </c:pt>
                </c15:dlblRangeCache>
              </c15:datalabelsRange>
            </c:ext>
            <c:ext xmlns:c16="http://schemas.microsoft.com/office/drawing/2014/chart" uri="{C3380CC4-5D6E-409C-BE32-E72D297353CC}">
              <c16:uniqueId val="{0000001A-4D2D-403D-9210-9FA08E39973A}"/>
            </c:ext>
          </c:extLst>
        </c:ser>
        <c:ser>
          <c:idx val="1"/>
          <c:order val="1"/>
          <c:tx>
            <c:v>Lower Middle Income</c:v>
          </c:tx>
          <c:spPr>
            <a:ln w="25400" cap="rnd">
              <a:noFill/>
              <a:round/>
            </a:ln>
            <a:effectLst/>
          </c:spPr>
          <c:marker>
            <c:symbol val="circle"/>
            <c:size val="5"/>
            <c:spPr>
              <a:solidFill>
                <a:schemeClr val="bg1">
                  <a:lumMod val="75000"/>
                </a:schemeClr>
              </a:solidFill>
              <a:ln w="25400">
                <a:solidFill>
                  <a:schemeClr val="bg1">
                    <a:lumMod val="75000"/>
                  </a:schemeClr>
                </a:solidFill>
              </a:ln>
              <a:effectLst/>
            </c:spPr>
          </c:marker>
          <c:dLbls>
            <c:dLbl>
              <c:idx val="0"/>
              <c:layout/>
              <c:tx>
                <c:rich>
                  <a:bodyPr/>
                  <a:lstStyle/>
                  <a:p>
                    <a:fld id="{4620B0B3-325F-4421-8FDB-9AA27E5E8B69}"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B-4D2D-403D-9210-9FA08E39973A}"/>
                </c:ext>
              </c:extLst>
            </c:dLbl>
            <c:dLbl>
              <c:idx val="1"/>
              <c:layout/>
              <c:tx>
                <c:rich>
                  <a:bodyPr/>
                  <a:lstStyle/>
                  <a:p>
                    <a:fld id="{30CF1297-9C7F-4ED2-9986-959C6D2BD4A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4D2D-403D-9210-9FA08E39973A}"/>
                </c:ext>
              </c:extLst>
            </c:dLbl>
            <c:dLbl>
              <c:idx val="2"/>
              <c:layout/>
              <c:tx>
                <c:rich>
                  <a:bodyPr/>
                  <a:lstStyle/>
                  <a:p>
                    <a:fld id="{70F44B87-43FF-40C3-84AD-814CF5D91DF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4D2D-403D-9210-9FA08E39973A}"/>
                </c:ext>
              </c:extLst>
            </c:dLbl>
            <c:dLbl>
              <c:idx val="3"/>
              <c:layout/>
              <c:tx>
                <c:rich>
                  <a:bodyPr/>
                  <a:lstStyle/>
                  <a:p>
                    <a:fld id="{81353E4C-A2D5-414B-AE24-A77AE5D4E3D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4D2D-403D-9210-9FA08E39973A}"/>
                </c:ext>
              </c:extLst>
            </c:dLbl>
            <c:dLbl>
              <c:idx val="4"/>
              <c:layout/>
              <c:tx>
                <c:rich>
                  <a:bodyPr/>
                  <a:lstStyle/>
                  <a:p>
                    <a:fld id="{462D1483-926E-46EF-8C36-A1E7B11DCBD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4D2D-403D-9210-9FA08E39973A}"/>
                </c:ext>
              </c:extLst>
            </c:dLbl>
            <c:dLbl>
              <c:idx val="5"/>
              <c:layout/>
              <c:tx>
                <c:rich>
                  <a:bodyPr/>
                  <a:lstStyle/>
                  <a:p>
                    <a:fld id="{A4A823CA-33B5-412B-AB6B-782202596CF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4D2D-403D-9210-9FA08E39973A}"/>
                </c:ext>
              </c:extLst>
            </c:dLbl>
            <c:dLbl>
              <c:idx val="6"/>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4D2D-403D-9210-9FA08E39973A}"/>
                </c:ext>
              </c:extLst>
            </c:dLbl>
            <c:dLbl>
              <c:idx val="7"/>
              <c:layout/>
              <c:tx>
                <c:rich>
                  <a:bodyPr/>
                  <a:lstStyle/>
                  <a:p>
                    <a:fld id="{CA8369F2-094C-4D7C-BBDF-DF9777DAE61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4D2D-403D-9210-9FA08E39973A}"/>
                </c:ext>
              </c:extLst>
            </c:dLbl>
            <c:dLbl>
              <c:idx val="8"/>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4D2D-403D-9210-9FA08E39973A}"/>
                </c:ext>
              </c:extLst>
            </c:dLbl>
            <c:dLbl>
              <c:idx val="9"/>
              <c:layout/>
              <c:tx>
                <c:rich>
                  <a:bodyPr/>
                  <a:lstStyle/>
                  <a:p>
                    <a:fld id="{829013EC-8B39-4214-81B9-52E6481FEFB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4D2D-403D-9210-9FA08E39973A}"/>
                </c:ext>
              </c:extLst>
            </c:dLbl>
            <c:dLbl>
              <c:idx val="10"/>
              <c:layout/>
              <c:tx>
                <c:rich>
                  <a:bodyPr/>
                  <a:lstStyle/>
                  <a:p>
                    <a:fld id="{D937DFA5-C4E1-4AA3-A6E2-3F2D85789B2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4D2D-403D-9210-9FA08E39973A}"/>
                </c:ext>
              </c:extLst>
            </c:dLbl>
            <c:dLbl>
              <c:idx val="11"/>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6-4D2D-403D-9210-9FA08E39973A}"/>
                </c:ext>
              </c:extLst>
            </c:dLbl>
            <c:dLbl>
              <c:idx val="12"/>
              <c:layout/>
              <c:tx>
                <c:rich>
                  <a:bodyPr/>
                  <a:lstStyle/>
                  <a:p>
                    <a:fld id="{A8D7A26E-DFBC-4113-BE6A-1FD65741C96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4D2D-403D-9210-9FA08E39973A}"/>
                </c:ext>
              </c:extLst>
            </c:dLbl>
            <c:dLbl>
              <c:idx val="13"/>
              <c:layout/>
              <c:tx>
                <c:rich>
                  <a:bodyPr/>
                  <a:lstStyle/>
                  <a:p>
                    <a:fld id="{1EC56DD1-BE25-4594-B15C-AF07CADFA1B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4D2D-403D-9210-9FA08E39973A}"/>
                </c:ext>
              </c:extLst>
            </c:dLbl>
            <c:dLbl>
              <c:idx val="14"/>
              <c:layout/>
              <c:tx>
                <c:rich>
                  <a:bodyPr/>
                  <a:lstStyle/>
                  <a:p>
                    <a:fld id="{BBA7D1D5-53D1-4DF5-88D3-E778D9316AD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4D2D-403D-9210-9FA08E39973A}"/>
                </c:ext>
              </c:extLst>
            </c:dLbl>
            <c:dLbl>
              <c:idx val="15"/>
              <c:layout/>
              <c:tx>
                <c:rich>
                  <a:bodyPr/>
                  <a:lstStyle/>
                  <a:p>
                    <a:fld id="{985854D4-8B09-410E-8C52-7FD58D05405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4D2D-403D-9210-9FA08E39973A}"/>
                </c:ext>
              </c:extLst>
            </c:dLbl>
            <c:dLbl>
              <c:idx val="16"/>
              <c:layout/>
              <c:tx>
                <c:rich>
                  <a:bodyPr/>
                  <a:lstStyle/>
                  <a:p>
                    <a:fld id="{F1AF1202-D118-4CFD-92A4-D01D1F4357B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4D2D-403D-9210-9FA08E39973A}"/>
                </c:ext>
              </c:extLst>
            </c:dLbl>
            <c:dLbl>
              <c:idx val="17"/>
              <c:layout/>
              <c:tx>
                <c:rich>
                  <a:bodyPr/>
                  <a:lstStyle/>
                  <a:p>
                    <a:fld id="{2E99D505-954A-4D59-B354-37BD0EEA9A7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4D2D-403D-9210-9FA08E39973A}"/>
                </c:ext>
              </c:extLst>
            </c:dLbl>
            <c:dLbl>
              <c:idx val="18"/>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D-4D2D-403D-9210-9FA08E39973A}"/>
                </c:ext>
              </c:extLst>
            </c:dLbl>
            <c:dLbl>
              <c:idx val="19"/>
              <c:layout/>
              <c:tx>
                <c:rich>
                  <a:bodyPr/>
                  <a:lstStyle/>
                  <a:p>
                    <a:fld id="{068B9218-023A-4B46-9882-82578242A8B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4D2D-403D-9210-9FA08E39973A}"/>
                </c:ext>
              </c:extLst>
            </c:dLbl>
            <c:dLbl>
              <c:idx val="20"/>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F-4D2D-403D-9210-9FA08E39973A}"/>
                </c:ext>
              </c:extLst>
            </c:dLbl>
            <c:dLbl>
              <c:idx val="21"/>
              <c:layout/>
              <c:tx>
                <c:rich>
                  <a:bodyPr/>
                  <a:lstStyle/>
                  <a:p>
                    <a:fld id="{37F87E17-B315-4A61-BA7B-3146EFA5F1B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4D2D-403D-9210-9FA08E39973A}"/>
                </c:ext>
              </c:extLst>
            </c:dLbl>
            <c:dLbl>
              <c:idx val="22"/>
              <c:layout/>
              <c:tx>
                <c:rich>
                  <a:bodyPr/>
                  <a:lstStyle/>
                  <a:p>
                    <a:fld id="{2DA2BE41-DD1A-4C13-9CFB-52F33CC7923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4D2D-403D-9210-9FA08E39973A}"/>
                </c:ext>
              </c:extLst>
            </c:dLbl>
            <c:dLbl>
              <c:idx val="23"/>
              <c:layout/>
              <c:tx>
                <c:rich>
                  <a:bodyPr/>
                  <a:lstStyle/>
                  <a:p>
                    <a:fld id="{2C35E540-FBD8-4D5B-AFE7-7D932732897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4D2D-403D-9210-9FA08E39973A}"/>
                </c:ext>
              </c:extLst>
            </c:dLbl>
            <c:dLbl>
              <c:idx val="24"/>
              <c:layout/>
              <c:tx>
                <c:rich>
                  <a:bodyPr/>
                  <a:lstStyle/>
                  <a:p>
                    <a:fld id="{A2859CB8-17ED-4BE8-A584-84C1BC69BB6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4D2D-403D-9210-9FA08E39973A}"/>
                </c:ext>
              </c:extLst>
            </c:dLbl>
            <c:dLbl>
              <c:idx val="25"/>
              <c:layout/>
              <c:tx>
                <c:rich>
                  <a:bodyPr/>
                  <a:lstStyle/>
                  <a:p>
                    <a:fld id="{EC4111B9-2D36-4A2C-93A7-8F87A0FBE0A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4D2D-403D-9210-9FA08E39973A}"/>
                </c:ext>
              </c:extLst>
            </c:dLbl>
            <c:dLbl>
              <c:idx val="26"/>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5-4D2D-403D-9210-9FA08E39973A}"/>
                </c:ext>
              </c:extLst>
            </c:dLbl>
            <c:dLbl>
              <c:idx val="27"/>
              <c:layout/>
              <c:tx>
                <c:rich>
                  <a:bodyPr/>
                  <a:lstStyle/>
                  <a:p>
                    <a:fld id="{A82376E3-AA9C-45A8-AF96-779DAEAF53F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4D2D-403D-9210-9FA08E39973A}"/>
                </c:ext>
              </c:extLst>
            </c:dLbl>
            <c:dLbl>
              <c:idx val="28"/>
              <c:layout/>
              <c:tx>
                <c:rich>
                  <a:bodyPr/>
                  <a:lstStyle/>
                  <a:p>
                    <a:fld id="{110F0FB5-14C1-4B6D-A4BF-2B4B6575132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4D2D-403D-9210-9FA08E39973A}"/>
                </c:ext>
              </c:extLst>
            </c:dLbl>
            <c:dLbl>
              <c:idx val="29"/>
              <c:layout/>
              <c:tx>
                <c:rich>
                  <a:bodyPr/>
                  <a:lstStyle/>
                  <a:p>
                    <a:fld id="{59FD18C3-8105-4BA2-B9E1-3F79B1E987C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4D2D-403D-9210-9FA08E39973A}"/>
                </c:ext>
              </c:extLst>
            </c:dLbl>
            <c:dLbl>
              <c:idx val="30"/>
              <c:layout/>
              <c:tx>
                <c:rich>
                  <a:bodyPr/>
                  <a:lstStyle/>
                  <a:p>
                    <a:fld id="{AE502306-5FD1-466E-B42F-5901987E31C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4D2D-403D-9210-9FA08E39973A}"/>
                </c:ext>
              </c:extLst>
            </c:dLbl>
            <c:dLbl>
              <c:idx val="31"/>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3A-4D2D-403D-9210-9FA08E39973A}"/>
                </c:ext>
              </c:extLst>
            </c:dLbl>
            <c:dLbl>
              <c:idx val="32"/>
              <c:layout/>
              <c:tx>
                <c:rich>
                  <a:bodyPr/>
                  <a:lstStyle/>
                  <a:p>
                    <a:fld id="{2661E019-5D03-47CD-A61F-AD2A2F381A4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4D2D-403D-9210-9FA08E39973A}"/>
                </c:ext>
              </c:extLst>
            </c:dLbl>
            <c:dLbl>
              <c:idx val="33"/>
              <c:layout/>
              <c:tx>
                <c:rich>
                  <a:bodyPr/>
                  <a:lstStyle/>
                  <a:p>
                    <a:fld id="{E64EB37C-019B-41CF-B9BF-0C53B1A6297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4D2D-403D-9210-9FA08E39973A}"/>
                </c:ext>
              </c:extLst>
            </c:dLbl>
            <c:dLbl>
              <c:idx val="34"/>
              <c:layout/>
              <c:tx>
                <c:rich>
                  <a:bodyPr/>
                  <a:lstStyle/>
                  <a:p>
                    <a:fld id="{FC922338-F4B6-4FD3-AB49-351AE753BA1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4D2D-403D-9210-9FA08E39973A}"/>
                </c:ext>
              </c:extLst>
            </c:dLbl>
            <c:dLbl>
              <c:idx val="35"/>
              <c:layout/>
              <c:tx>
                <c:rich>
                  <a:bodyPr/>
                  <a:lstStyle/>
                  <a:p>
                    <a:fld id="{79C7E710-762B-494B-927E-ED85768076E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4D2D-403D-9210-9FA08E39973A}"/>
                </c:ext>
              </c:extLst>
            </c:dLbl>
            <c:dLbl>
              <c:idx val="36"/>
              <c:layout/>
              <c:tx>
                <c:rich>
                  <a:bodyPr/>
                  <a:lstStyle/>
                  <a:p>
                    <a:fld id="{894E8E04-68B9-4FDD-8A0E-3E1DC3A6F15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F-4D2D-403D-9210-9FA08E39973A}"/>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[1]Happy!$F$3:$F$39</c:f>
              <c:numCache>
                <c:formatCode>General</c:formatCode>
                <c:ptCount val="37"/>
                <c:pt idx="0">
                  <c:v>1.534226138535221E-2</c:v>
                </c:pt>
                <c:pt idx="1">
                  <c:v>1.371996012122139E-2</c:v>
                </c:pt>
                <c:pt idx="2">
                  <c:v>-1.9747168408500913E-2</c:v>
                </c:pt>
                <c:pt idx="3">
                  <c:v>-1.7590080967183602E-2</c:v>
                </c:pt>
                <c:pt idx="4">
                  <c:v>2.0748136768688999E-3</c:v>
                </c:pt>
                <c:pt idx="5">
                  <c:v>-2.831674124063488E-2</c:v>
                </c:pt>
                <c:pt idx="6">
                  <c:v>-1.9853955621779707E-2</c:v>
                </c:pt>
                <c:pt idx="7">
                  <c:v>6.6279542564666649E-3</c:v>
                </c:pt>
                <c:pt idx="8">
                  <c:v>1.0230361728627201E-2</c:v>
                </c:pt>
                <c:pt idx="9">
                  <c:v>-2.81442848889979E-4</c:v>
                </c:pt>
                <c:pt idx="10">
                  <c:v>-7.0613014188292144E-4</c:v>
                </c:pt>
                <c:pt idx="11">
                  <c:v>3.8920610536832302E-3</c:v>
                </c:pt>
                <c:pt idx="12">
                  <c:v>-6.3608972561077764E-3</c:v>
                </c:pt>
                <c:pt idx="13">
                  <c:v>-4.7903784524994136E-4</c:v>
                </c:pt>
                <c:pt idx="14">
                  <c:v>9.2830236342462766E-3</c:v>
                </c:pt>
                <c:pt idx="15">
                  <c:v>-2.5147161429185924E-2</c:v>
                </c:pt>
                <c:pt idx="16">
                  <c:v>-1.1842856815097412E-2</c:v>
                </c:pt>
                <c:pt idx="17">
                  <c:v>1.0535327194022301E-2</c:v>
                </c:pt>
                <c:pt idx="18">
                  <c:v>1.9125302691904301E-2</c:v>
                </c:pt>
                <c:pt idx="19">
                  <c:v>1.0977162103789299E-2</c:v>
                </c:pt>
                <c:pt idx="20">
                  <c:v>-1.28659118238391E-2</c:v>
                </c:pt>
                <c:pt idx="21">
                  <c:v>-1.0731562686111501E-2</c:v>
                </c:pt>
                <c:pt idx="22">
                  <c:v>-1.9320841651512922E-2</c:v>
                </c:pt>
                <c:pt idx="23">
                  <c:v>-1.23420691691944E-3</c:v>
                </c:pt>
                <c:pt idx="24">
                  <c:v>-1.3342383180992901E-2</c:v>
                </c:pt>
                <c:pt idx="25">
                  <c:v>7.0208438119356833E-3</c:v>
                </c:pt>
                <c:pt idx="26">
                  <c:v>-1.3763388393520513E-2</c:v>
                </c:pt>
                <c:pt idx="27">
                  <c:v>-6.3055955314013099E-3</c:v>
                </c:pt>
                <c:pt idx="28">
                  <c:v>-3.0503179520507729E-2</c:v>
                </c:pt>
                <c:pt idx="29">
                  <c:v>-9.7713128250999093E-3</c:v>
                </c:pt>
                <c:pt idx="30">
                  <c:v>1.3218304716903701E-2</c:v>
                </c:pt>
                <c:pt idx="31">
                  <c:v>1.50646147819389E-2</c:v>
                </c:pt>
                <c:pt idx="32">
                  <c:v>2.4804195078329547E-3</c:v>
                </c:pt>
                <c:pt idx="33">
                  <c:v>5.8847306264346901E-3</c:v>
                </c:pt>
                <c:pt idx="34">
                  <c:v>8.7323363387499485E-3</c:v>
                </c:pt>
                <c:pt idx="35">
                  <c:v>1.7141788416994408E-3</c:v>
                </c:pt>
                <c:pt idx="36">
                  <c:v>-1.9456911973979599E-2</c:v>
                </c:pt>
              </c:numCache>
            </c:numRef>
          </c:xVal>
          <c:yVal>
            <c:numRef>
              <c:f>[1]Happy!$G$3:$G$39</c:f>
              <c:numCache>
                <c:formatCode>General</c:formatCode>
                <c:ptCount val="37"/>
                <c:pt idx="0">
                  <c:v>4.6550002098083381</c:v>
                </c:pt>
                <c:pt idx="1">
                  <c:v>4.3600001335144043</c:v>
                </c:pt>
                <c:pt idx="2">
                  <c:v>5.9559998512268066</c:v>
                </c:pt>
                <c:pt idx="3">
                  <c:v>5.8220000267028746</c:v>
                </c:pt>
                <c:pt idx="4">
                  <c:v>3.9159998893737753</c:v>
                </c:pt>
                <c:pt idx="5">
                  <c:v>4.5130000114440918</c:v>
                </c:pt>
                <c:pt idx="6">
                  <c:v>#N/A</c:v>
                </c:pt>
                <c:pt idx="7">
                  <c:v>4.3619999885559047</c:v>
                </c:pt>
                <c:pt idx="8">
                  <c:v>#N/A</c:v>
                </c:pt>
                <c:pt idx="9">
                  <c:v>4.2760000228881916</c:v>
                </c:pt>
                <c:pt idx="10">
                  <c:v>6.3239998817443874</c:v>
                </c:pt>
                <c:pt idx="11">
                  <c:v>#N/A</c:v>
                </c:pt>
                <c:pt idx="12">
                  <c:v>4.8709998130798375</c:v>
                </c:pt>
                <c:pt idx="13">
                  <c:v>5.3140001296996955</c:v>
                </c:pt>
                <c:pt idx="14">
                  <c:v>4.4039998054504403</c:v>
                </c:pt>
                <c:pt idx="15">
                  <c:v>4.5749998092651367</c:v>
                </c:pt>
                <c:pt idx="16">
                  <c:v>4.8759999275207466</c:v>
                </c:pt>
                <c:pt idx="17">
                  <c:v>4.4149999618530273</c:v>
                </c:pt>
                <c:pt idx="18">
                  <c:v>#N/A</c:v>
                </c:pt>
                <c:pt idx="19">
                  <c:v>5.1510000228881836</c:v>
                </c:pt>
                <c:pt idx="20">
                  <c:v>#N/A</c:v>
                </c:pt>
                <c:pt idx="21">
                  <c:v>4.9070000648498526</c:v>
                </c:pt>
                <c:pt idx="22">
                  <c:v>4.875</c:v>
                </c:pt>
                <c:pt idx="23">
                  <c:v>5.9920001029968306</c:v>
                </c:pt>
                <c:pt idx="24">
                  <c:v>5.1319999694824219</c:v>
                </c:pt>
                <c:pt idx="25">
                  <c:v>5.2789998054504403</c:v>
                </c:pt>
                <c:pt idx="26">
                  <c:v>#N/A</c:v>
                </c:pt>
                <c:pt idx="27">
                  <c:v>5.5380001068115234</c:v>
                </c:pt>
                <c:pt idx="28">
                  <c:v>4.1389999389648437</c:v>
                </c:pt>
                <c:pt idx="29">
                  <c:v>4.2189998626708975</c:v>
                </c:pt>
                <c:pt idx="30">
                  <c:v>6.0679998397827015</c:v>
                </c:pt>
                <c:pt idx="31">
                  <c:v>#N/A</c:v>
                </c:pt>
                <c:pt idx="32">
                  <c:v>3.0690000057220459</c:v>
                </c:pt>
                <c:pt idx="33">
                  <c:v>4.3239998817443874</c:v>
                </c:pt>
                <c:pt idx="34">
                  <c:v>5.0609998703002779</c:v>
                </c:pt>
                <c:pt idx="35">
                  <c:v>3.7239999771118195</c:v>
                </c:pt>
                <c:pt idx="36">
                  <c:v>4.7950000762939355</c:v>
                </c:pt>
              </c:numCache>
            </c:numRef>
          </c:yVal>
          <c:smooth val="0"/>
          <c:extLst xmlns:c16r2="http://schemas.microsoft.com/office/drawing/2015/06/chart">
            <c:ext xmlns:c15="http://schemas.microsoft.com/office/drawing/2012/chart" uri="{02D57815-91ED-43cb-92C2-25804820EDAC}">
              <c15:datalabelsRange>
                <c15:f>'C:\Users\Moinul\Desktop\[IWR2017data_conv_fig12.xlsx]GDPHDI'!$E$3:$E$39</c15:f>
                <c15:dlblRangeCache>
                  <c:ptCount val="37"/>
                  <c:pt idx="0">
                    <c:v>ALB</c:v>
                  </c:pt>
                  <c:pt idx="1">
                    <c:v>ARM</c:v>
                  </c:pt>
                  <c:pt idx="2">
                    <c:v>BLZ</c:v>
                  </c:pt>
                  <c:pt idx="3">
                    <c:v>BOL</c:v>
                  </c:pt>
                  <c:pt idx="4">
                    <c:v>CIV</c:v>
                  </c:pt>
                  <c:pt idx="5">
                    <c:v>CMR</c:v>
                  </c:pt>
                  <c:pt idx="6">
                    <c:v>COG</c:v>
                  </c:pt>
                  <c:pt idx="7">
                    <c:v>EGY</c:v>
                  </c:pt>
                  <c:pt idx="8">
                    <c:v>FJI</c:v>
                  </c:pt>
                  <c:pt idx="9">
                    <c:v>GHA</c:v>
                  </c:pt>
                  <c:pt idx="10">
                    <c:v>GTM</c:v>
                  </c:pt>
                  <c:pt idx="11">
                    <c:v>GUY</c:v>
                  </c:pt>
                  <c:pt idx="12">
                    <c:v>HND</c:v>
                  </c:pt>
                  <c:pt idx="13">
                    <c:v>IDN</c:v>
                  </c:pt>
                  <c:pt idx="14">
                    <c:v>IND</c:v>
                  </c:pt>
                  <c:pt idx="15">
                    <c:v>IRQ</c:v>
                  </c:pt>
                  <c:pt idx="16">
                    <c:v>LAO</c:v>
                  </c:pt>
                  <c:pt idx="17">
                    <c:v>LKA</c:v>
                  </c:pt>
                  <c:pt idx="18">
                    <c:v>LSO</c:v>
                  </c:pt>
                  <c:pt idx="19">
                    <c:v>MAR</c:v>
                  </c:pt>
                  <c:pt idx="20">
                    <c:v>MDA</c:v>
                  </c:pt>
                  <c:pt idx="21">
                    <c:v>MNG</c:v>
                  </c:pt>
                  <c:pt idx="22">
                    <c:v>NGA</c:v>
                  </c:pt>
                  <c:pt idx="23">
                    <c:v>NIC</c:v>
                  </c:pt>
                  <c:pt idx="24">
                    <c:v>PAK</c:v>
                  </c:pt>
                  <c:pt idx="25">
                    <c:v>PHL</c:v>
                  </c:pt>
                  <c:pt idx="26">
                    <c:v>PNG</c:v>
                  </c:pt>
                  <c:pt idx="27">
                    <c:v>PRY</c:v>
                  </c:pt>
                  <c:pt idx="28">
                    <c:v>SDN</c:v>
                  </c:pt>
                  <c:pt idx="29">
                    <c:v>SEN</c:v>
                  </c:pt>
                  <c:pt idx="30">
                    <c:v>SLV</c:v>
                  </c:pt>
                  <c:pt idx="31">
                    <c:v>SWZ</c:v>
                  </c:pt>
                  <c:pt idx="32">
                    <c:v>SYR</c:v>
                  </c:pt>
                  <c:pt idx="33">
                    <c:v>UKR</c:v>
                  </c:pt>
                  <c:pt idx="34">
                    <c:v>VNM</c:v>
                  </c:pt>
                  <c:pt idx="35">
                    <c:v>YEM</c:v>
                  </c:pt>
                  <c:pt idx="36">
                    <c:v>ZMB</c:v>
                  </c:pt>
                </c15:dlblRangeCache>
              </c15:datalabelsRange>
            </c:ext>
            <c:ext xmlns:c16="http://schemas.microsoft.com/office/drawing/2014/chart" uri="{C3380CC4-5D6E-409C-BE32-E72D297353CC}">
              <c16:uniqueId val="{00000040-4D2D-403D-9210-9FA08E39973A}"/>
            </c:ext>
          </c:extLst>
        </c:ser>
        <c:ser>
          <c:idx val="2"/>
          <c:order val="2"/>
          <c:tx>
            <c:v>Upper Middle Income</c:v>
          </c:tx>
          <c:spPr>
            <a:ln w="25400" cap="rnd">
              <a:noFill/>
              <a:round/>
            </a:ln>
            <a:effectLst/>
          </c:spPr>
          <c:marker>
            <c:symbol val="circle"/>
            <c:size val="5"/>
            <c:spPr>
              <a:solidFill>
                <a:schemeClr val="accent6">
                  <a:lumMod val="75000"/>
                </a:schemeClr>
              </a:solidFill>
              <a:ln w="25400">
                <a:solidFill>
                  <a:schemeClr val="accent6">
                    <a:lumMod val="75000"/>
                  </a:schemeClr>
                </a:solidFill>
              </a:ln>
              <a:effectLst/>
            </c:spPr>
          </c:marker>
          <c:dLbls>
            <c:dLbl>
              <c:idx val="0"/>
              <c:layout/>
              <c:tx>
                <c:rich>
                  <a:bodyPr/>
                  <a:lstStyle/>
                  <a:p>
                    <a:fld id="{3E3ECBE7-49BB-48D1-B0B3-55C8E25AD5AA}"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41-4D2D-403D-9210-9FA08E39973A}"/>
                </c:ext>
              </c:extLst>
            </c:dLbl>
            <c:dLbl>
              <c:idx val="1"/>
              <c:layout/>
              <c:tx>
                <c:rich>
                  <a:bodyPr/>
                  <a:lstStyle/>
                  <a:p>
                    <a:fld id="{3F4D0409-ED4D-47E7-9483-0C42A1F5CC6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4D2D-403D-9210-9FA08E39973A}"/>
                </c:ext>
              </c:extLst>
            </c:dLbl>
            <c:dLbl>
              <c:idx val="2"/>
              <c:layout/>
              <c:tx>
                <c:rich>
                  <a:bodyPr/>
                  <a:lstStyle/>
                  <a:p>
                    <a:fld id="{17B6B07B-8C26-4579-A46C-7F492A61748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4D2D-403D-9210-9FA08E39973A}"/>
                </c:ext>
              </c:extLst>
            </c:dLbl>
            <c:dLbl>
              <c:idx val="3"/>
              <c:layout/>
              <c:tx>
                <c:rich>
                  <a:bodyPr/>
                  <a:lstStyle/>
                  <a:p>
                    <a:fld id="{F677E6C1-4533-41CE-89BF-40E26AE23C9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4D2D-403D-9210-9FA08E39973A}"/>
                </c:ext>
              </c:extLst>
            </c:dLbl>
            <c:dLbl>
              <c:idx val="4"/>
              <c:layout/>
              <c:tx>
                <c:rich>
                  <a:bodyPr/>
                  <a:lstStyle/>
                  <a:p>
                    <a:fld id="{26A6E8FB-EF3A-4779-B5E9-8D4F03BAF90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4D2D-403D-9210-9FA08E39973A}"/>
                </c:ext>
              </c:extLst>
            </c:dLbl>
            <c:dLbl>
              <c:idx val="5"/>
              <c:layout/>
              <c:tx>
                <c:rich>
                  <a:bodyPr/>
                  <a:lstStyle/>
                  <a:p>
                    <a:fld id="{710AE380-2E87-4EC8-9D25-005592F8439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4D2D-403D-9210-9FA08E39973A}"/>
                </c:ext>
              </c:extLst>
            </c:dLbl>
            <c:dLbl>
              <c:idx val="6"/>
              <c:layout/>
              <c:tx>
                <c:rich>
                  <a:bodyPr/>
                  <a:lstStyle/>
                  <a:p>
                    <a:fld id="{E8AC809C-9BB0-4198-9C57-879500E21C3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4D2D-403D-9210-9FA08E39973A}"/>
                </c:ext>
              </c:extLst>
            </c:dLbl>
            <c:dLbl>
              <c:idx val="7"/>
              <c:layout/>
              <c:tx>
                <c:rich>
                  <a:bodyPr/>
                  <a:lstStyle/>
                  <a:p>
                    <a:fld id="{95887AED-F329-49E0-892C-3FA823671C5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4D2D-403D-9210-9FA08E39973A}"/>
                </c:ext>
              </c:extLst>
            </c:dLbl>
            <c:dLbl>
              <c:idx val="8"/>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49-4D2D-403D-9210-9FA08E39973A}"/>
                </c:ext>
              </c:extLst>
            </c:dLbl>
            <c:dLbl>
              <c:idx val="9"/>
              <c:layout/>
              <c:tx>
                <c:rich>
                  <a:bodyPr/>
                  <a:lstStyle/>
                  <a:p>
                    <a:fld id="{AF719B22-62A4-470B-9DE4-D10D727E319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4D2D-403D-9210-9FA08E39973A}"/>
                </c:ext>
              </c:extLst>
            </c:dLbl>
            <c:dLbl>
              <c:idx val="10"/>
              <c:layout/>
              <c:tx>
                <c:rich>
                  <a:bodyPr/>
                  <a:lstStyle/>
                  <a:p>
                    <a:fld id="{E0BEC031-D9E1-4820-9D4E-7151CE9CEC6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4D2D-403D-9210-9FA08E39973A}"/>
                </c:ext>
              </c:extLst>
            </c:dLbl>
            <c:dLbl>
              <c:idx val="11"/>
              <c:layout/>
              <c:tx>
                <c:rich>
                  <a:bodyPr/>
                  <a:lstStyle/>
                  <a:p>
                    <a:fld id="{02BA957E-4FFA-42B7-AA9F-3B5FC6220C2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4D2D-403D-9210-9FA08E39973A}"/>
                </c:ext>
              </c:extLst>
            </c:dLbl>
            <c:dLbl>
              <c:idx val="12"/>
              <c:layout/>
              <c:tx>
                <c:rich>
                  <a:bodyPr/>
                  <a:lstStyle/>
                  <a:p>
                    <a:fld id="{E98AB90B-2A6F-4BBB-9801-24806AC4E7A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4D2D-403D-9210-9FA08E39973A}"/>
                </c:ext>
              </c:extLst>
            </c:dLbl>
            <c:dLbl>
              <c:idx val="13"/>
              <c:layout/>
              <c:tx>
                <c:rich>
                  <a:bodyPr/>
                  <a:lstStyle/>
                  <a:p>
                    <a:fld id="{A4FCCCBC-E434-487D-9C41-95E696F945F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4D2D-403D-9210-9FA08E39973A}"/>
                </c:ext>
              </c:extLst>
            </c:dLbl>
            <c:dLbl>
              <c:idx val="14"/>
              <c:layout/>
              <c:tx>
                <c:rich>
                  <a:bodyPr/>
                  <a:lstStyle/>
                  <a:p>
                    <a:fld id="{538B6064-34CC-4612-B94D-DBF36279027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4D2D-403D-9210-9FA08E39973A}"/>
                </c:ext>
              </c:extLst>
            </c:dLbl>
            <c:dLbl>
              <c:idx val="15"/>
              <c:layout/>
              <c:tx>
                <c:rich>
                  <a:bodyPr/>
                  <a:lstStyle/>
                  <a:p>
                    <a:fld id="{E56D2FD2-EDA4-4ADE-8C29-B0048FF21D7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4D2D-403D-9210-9FA08E39973A}"/>
                </c:ext>
              </c:extLst>
            </c:dLbl>
            <c:dLbl>
              <c:idx val="16"/>
              <c:layout/>
              <c:tx>
                <c:rich>
                  <a:bodyPr/>
                  <a:lstStyle/>
                  <a:p>
                    <a:fld id="{F425E5DA-9CD4-4972-A219-405CECACCF5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4D2D-403D-9210-9FA08E39973A}"/>
                </c:ext>
              </c:extLst>
            </c:dLbl>
            <c:dLbl>
              <c:idx val="17"/>
              <c:layout/>
              <c:tx>
                <c:rich>
                  <a:bodyPr/>
                  <a:lstStyle/>
                  <a:p>
                    <a:fld id="{48600E9E-FC11-4973-8DE6-26DE4A34541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4D2D-403D-9210-9FA08E39973A}"/>
                </c:ext>
              </c:extLst>
            </c:dLbl>
            <c:dLbl>
              <c:idx val="18"/>
              <c:layout/>
              <c:tx>
                <c:rich>
                  <a:bodyPr/>
                  <a:lstStyle/>
                  <a:p>
                    <a:fld id="{A10FB761-7654-42B4-929F-27F3C9A1330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3-4D2D-403D-9210-9FA08E39973A}"/>
                </c:ext>
              </c:extLst>
            </c:dLbl>
            <c:dLbl>
              <c:idx val="19"/>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54-4D2D-403D-9210-9FA08E39973A}"/>
                </c:ext>
              </c:extLst>
            </c:dLbl>
            <c:dLbl>
              <c:idx val="20"/>
              <c:layout/>
              <c:tx>
                <c:rich>
                  <a:bodyPr/>
                  <a:lstStyle/>
                  <a:p>
                    <a:fld id="{786AA615-B0E5-461F-99A3-0140A7B942D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4D2D-403D-9210-9FA08E39973A}"/>
                </c:ext>
              </c:extLst>
            </c:dLbl>
            <c:dLbl>
              <c:idx val="21"/>
              <c:layout/>
              <c:tx>
                <c:rich>
                  <a:bodyPr/>
                  <a:lstStyle/>
                  <a:p>
                    <a:fld id="{4E49ACAC-E7A7-491F-A08D-FDE99D71756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6-4D2D-403D-9210-9FA08E39973A}"/>
                </c:ext>
              </c:extLst>
            </c:dLbl>
            <c:dLbl>
              <c:idx val="22"/>
              <c:layout/>
              <c:tx>
                <c:rich>
                  <a:bodyPr/>
                  <a:lstStyle/>
                  <a:p>
                    <a:fld id="{3CCCA5E3-79B4-492C-A190-38A9D818C94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7-4D2D-403D-9210-9FA08E39973A}"/>
                </c:ext>
              </c:extLst>
            </c:dLbl>
            <c:dLbl>
              <c:idx val="23"/>
              <c:layout/>
              <c:tx>
                <c:rich>
                  <a:bodyPr/>
                  <a:lstStyle/>
                  <a:p>
                    <a:fld id="{9121F3AF-EEB5-48AA-A30D-84E07DCBA34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8-4D2D-403D-9210-9FA08E39973A}"/>
                </c:ext>
              </c:extLst>
            </c:dLbl>
            <c:dLbl>
              <c:idx val="24"/>
              <c:layout/>
              <c:tx>
                <c:rich>
                  <a:bodyPr/>
                  <a:lstStyle/>
                  <a:p>
                    <a:fld id="{50A60748-D9B9-4AB9-82E8-73957380DBE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9-4D2D-403D-9210-9FA08E39973A}"/>
                </c:ext>
              </c:extLst>
            </c:dLbl>
            <c:dLbl>
              <c:idx val="25"/>
              <c:layout/>
              <c:tx>
                <c:rich>
                  <a:bodyPr/>
                  <a:lstStyle/>
                  <a:p>
                    <a:fld id="{C04D2E30-4101-40BF-B430-A51E9C3F45D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A-4D2D-403D-9210-9FA08E39973A}"/>
                </c:ext>
              </c:extLst>
            </c:dLbl>
            <c:dLbl>
              <c:idx val="26"/>
              <c:layout/>
              <c:tx>
                <c:rich>
                  <a:bodyPr/>
                  <a:lstStyle/>
                  <a:p>
                    <a:fld id="{3BF5D9DF-9893-40FC-A646-483D38E390E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B-4D2D-403D-9210-9FA08E39973A}"/>
                </c:ext>
              </c:extLst>
            </c:dLbl>
            <c:dLbl>
              <c:idx val="27"/>
              <c:layout/>
              <c:tx>
                <c:rich>
                  <a:bodyPr/>
                  <a:lstStyle/>
                  <a:p>
                    <a:fld id="{4D8EF22E-3757-4196-9170-7C6FD6F8466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C-4D2D-403D-9210-9FA08E39973A}"/>
                </c:ext>
              </c:extLst>
            </c:dLbl>
            <c:dLbl>
              <c:idx val="28"/>
              <c:layout/>
              <c:tx>
                <c:rich>
                  <a:bodyPr/>
                  <a:lstStyle/>
                  <a:p>
                    <a:fld id="{77A47781-4593-4BF3-8483-B670A143D6F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D-4D2D-403D-9210-9FA08E39973A}"/>
                </c:ext>
              </c:extLst>
            </c:dLbl>
            <c:dLbl>
              <c:idx val="29"/>
              <c:layout/>
              <c:tx>
                <c:rich>
                  <a:bodyPr/>
                  <a:lstStyle/>
                  <a:p>
                    <a:fld id="{350E7697-5727-4E9F-90B7-1DE10ADC1B5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E-4D2D-403D-9210-9FA08E39973A}"/>
                </c:ext>
              </c:extLst>
            </c:dLbl>
            <c:dLbl>
              <c:idx val="30"/>
              <c:layout/>
              <c:tx>
                <c:rich>
                  <a:bodyPr/>
                  <a:lstStyle/>
                  <a:p>
                    <a:fld id="{BEF1EEF3-0A80-412E-9BE9-13A43BF38EA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F-4D2D-403D-9210-9FA08E39973A}"/>
                </c:ext>
              </c:extLst>
            </c:dLbl>
            <c:dLbl>
              <c:idx val="31"/>
              <c:layout/>
              <c:tx>
                <c:rich>
                  <a:bodyPr/>
                  <a:lstStyle/>
                  <a:p>
                    <a:fld id="{9ABD43EE-176D-4255-B6F2-8EDC6253AE0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0-4D2D-403D-9210-9FA08E39973A}"/>
                </c:ext>
              </c:extLst>
            </c:dLbl>
            <c:dLbl>
              <c:idx val="32"/>
              <c:layout/>
              <c:tx>
                <c:rich>
                  <a:bodyPr/>
                  <a:lstStyle/>
                  <a:p>
                    <a:fld id="{E763C1BA-6A3A-45F5-9F01-0A908A9954E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1-4D2D-403D-9210-9FA08E39973A}"/>
                </c:ext>
              </c:extLst>
            </c:dLbl>
            <c:dLbl>
              <c:idx val="33"/>
              <c:layout/>
              <c:tx>
                <c:rich>
                  <a:bodyPr/>
                  <a:lstStyle/>
                  <a:p>
                    <a:fld id="{2A4021CF-6595-47A8-8485-FE1324BB0CB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2-4D2D-403D-9210-9FA08E39973A}"/>
                </c:ext>
              </c:extLst>
            </c:dLbl>
            <c:dLbl>
              <c:idx val="34"/>
              <c:layout/>
              <c:tx>
                <c:rich>
                  <a:bodyPr/>
                  <a:lstStyle/>
                  <a:p>
                    <a:fld id="{45C07FC7-C3D3-4263-BD4B-91BF9011E22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3-4D2D-403D-9210-9FA08E39973A}"/>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[1]Happy!$J$3:$J$37</c:f>
              <c:numCache>
                <c:formatCode>General</c:formatCode>
                <c:ptCount val="35"/>
                <c:pt idx="0">
                  <c:v>3.7277383381690834E-3</c:v>
                </c:pt>
                <c:pt idx="1">
                  <c:v>1.0873664292038008E-2</c:v>
                </c:pt>
                <c:pt idx="2">
                  <c:v>-1.4661890299549912E-4</c:v>
                </c:pt>
                <c:pt idx="3">
                  <c:v>1.1896723982158801E-3</c:v>
                </c:pt>
                <c:pt idx="4">
                  <c:v>9.7522690427922568E-3</c:v>
                </c:pt>
                <c:pt idx="5">
                  <c:v>1.84856499569661E-2</c:v>
                </c:pt>
                <c:pt idx="6">
                  <c:v>-1.2133306259287701E-3</c:v>
                </c:pt>
                <c:pt idx="7">
                  <c:v>1.2022037907804199E-2</c:v>
                </c:pt>
                <c:pt idx="8">
                  <c:v>5.6996203197985434E-3</c:v>
                </c:pt>
                <c:pt idx="9">
                  <c:v>1.1590492165288501E-2</c:v>
                </c:pt>
                <c:pt idx="10">
                  <c:v>4.0593864621822923E-3</c:v>
                </c:pt>
                <c:pt idx="11">
                  <c:v>-3.7514634200300802E-3</c:v>
                </c:pt>
                <c:pt idx="12">
                  <c:v>-2.2038355522866437E-2</c:v>
                </c:pt>
                <c:pt idx="13">
                  <c:v>-6.1017352910626241E-3</c:v>
                </c:pt>
                <c:pt idx="14">
                  <c:v>9.9628354615573077E-3</c:v>
                </c:pt>
                <c:pt idx="15">
                  <c:v>1.2909164419284009E-2</c:v>
                </c:pt>
                <c:pt idx="16">
                  <c:v>2.7444943482111154E-3</c:v>
                </c:pt>
                <c:pt idx="17">
                  <c:v>1.5814853083319105E-2</c:v>
                </c:pt>
                <c:pt idx="18">
                  <c:v>1.6997773119139113E-2</c:v>
                </c:pt>
                <c:pt idx="19">
                  <c:v>1.1842438202266617E-2</c:v>
                </c:pt>
                <c:pt idx="20">
                  <c:v>8.8430143551803224E-3</c:v>
                </c:pt>
                <c:pt idx="21">
                  <c:v>2.1075946082861841E-2</c:v>
                </c:pt>
                <c:pt idx="22">
                  <c:v>7.5717629638125819E-3</c:v>
                </c:pt>
                <c:pt idx="23">
                  <c:v>6.6251706862063796E-3</c:v>
                </c:pt>
                <c:pt idx="24">
                  <c:v>1.14961561593361E-2</c:v>
                </c:pt>
                <c:pt idx="25">
                  <c:v>-4.926562155386234E-3</c:v>
                </c:pt>
                <c:pt idx="26">
                  <c:v>1.31330158037934E-2</c:v>
                </c:pt>
                <c:pt idx="27">
                  <c:v>6.2118697419706404E-3</c:v>
                </c:pt>
                <c:pt idx="28">
                  <c:v>1.2508677935497E-2</c:v>
                </c:pt>
                <c:pt idx="29">
                  <c:v>1.4628484057274299E-2</c:v>
                </c:pt>
                <c:pt idx="30">
                  <c:v>1.4524795592841099E-2</c:v>
                </c:pt>
                <c:pt idx="31">
                  <c:v>1.052801503996831E-2</c:v>
                </c:pt>
                <c:pt idx="32">
                  <c:v>8.6868568467883961E-3</c:v>
                </c:pt>
                <c:pt idx="33">
                  <c:v>-1.3671885864663218E-2</c:v>
                </c:pt>
                <c:pt idx="34">
                  <c:v>1.2844179758231319E-3</c:v>
                </c:pt>
              </c:numCache>
            </c:numRef>
          </c:xVal>
          <c:yVal>
            <c:numRef>
              <c:f>[1]Happy!$K$3:$K$37</c:f>
              <c:numCache>
                <c:formatCode>General</c:formatCode>
                <c:ptCount val="35"/>
                <c:pt idx="0">
                  <c:v>6.6500000953674316</c:v>
                </c:pt>
                <c:pt idx="1">
                  <c:v>4.2170000076293945</c:v>
                </c:pt>
                <c:pt idx="2">
                  <c:v>6.9520001411437988</c:v>
                </c:pt>
                <c:pt idx="3">
                  <c:v>3.9739999771118182</c:v>
                </c:pt>
                <c:pt idx="4">
                  <c:v>6.7049999237060547</c:v>
                </c:pt>
                <c:pt idx="5">
                  <c:v>5.244999885559082</c:v>
                </c:pt>
                <c:pt idx="6">
                  <c:v>6.4809999465942383</c:v>
                </c:pt>
                <c:pt idx="7">
                  <c:v>7.0869998931884783</c:v>
                </c:pt>
                <c:pt idx="8">
                  <c:v>#N/A</c:v>
                </c:pt>
                <c:pt idx="9">
                  <c:v>5.1550002098083381</c:v>
                </c:pt>
                <c:pt idx="10">
                  <c:v>6.3550000190734801</c:v>
                </c:pt>
                <c:pt idx="11">
                  <c:v>5.9759998321533239</c:v>
                </c:pt>
                <c:pt idx="12">
                  <c:v>4.120999813079834</c:v>
                </c:pt>
                <c:pt idx="13">
                  <c:v>4.8130002021789426</c:v>
                </c:pt>
                <c:pt idx="14">
                  <c:v>5.5100002288818359</c:v>
                </c:pt>
                <c:pt idx="15">
                  <c:v>5.3029999732971156</c:v>
                </c:pt>
                <c:pt idx="16">
                  <c:v>5.9190001487731934</c:v>
                </c:pt>
                <c:pt idx="17">
                  <c:v>5.8130002021789426</c:v>
                </c:pt>
                <c:pt idx="18">
                  <c:v>5.559999942779541</c:v>
                </c:pt>
                <c:pt idx="19">
                  <c:v>#N/A</c:v>
                </c:pt>
                <c:pt idx="20">
                  <c:v>6.7779998779296866</c:v>
                </c:pt>
                <c:pt idx="21">
                  <c:v>5.6479997634887686</c:v>
                </c:pt>
                <c:pt idx="22">
                  <c:v>6.005000114440918</c:v>
                </c:pt>
                <c:pt idx="23">
                  <c:v>4.5739998817443936</c:v>
                </c:pt>
                <c:pt idx="24">
                  <c:v>6.7010002136230504</c:v>
                </c:pt>
                <c:pt idx="25">
                  <c:v>5.7430000305175781</c:v>
                </c:pt>
                <c:pt idx="26">
                  <c:v>5.5279998779296751</c:v>
                </c:pt>
                <c:pt idx="27">
                  <c:v>5.8559999465942356</c:v>
                </c:pt>
                <c:pt idx="28">
                  <c:v>5.1770000457763672</c:v>
                </c:pt>
                <c:pt idx="29">
                  <c:v>6.4739999771118164</c:v>
                </c:pt>
                <c:pt idx="30">
                  <c:v>5.0450000762939409</c:v>
                </c:pt>
                <c:pt idx="31">
                  <c:v>5.3889999389648437</c:v>
                </c:pt>
                <c:pt idx="32">
                  <c:v>6.5450000762939409</c:v>
                </c:pt>
                <c:pt idx="33">
                  <c:v>6.0840001106262207</c:v>
                </c:pt>
                <c:pt idx="34">
                  <c:v>4.4590001106262234</c:v>
                </c:pt>
              </c:numCache>
            </c:numRef>
          </c:yVal>
          <c:smooth val="0"/>
          <c:extLst xmlns:c16r2="http://schemas.microsoft.com/office/drawing/2015/06/chart">
            <c:ext xmlns:c15="http://schemas.microsoft.com/office/drawing/2012/chart" uri="{02D57815-91ED-43cb-92C2-25804820EDAC}">
              <c15:datalabelsRange>
                <c15:f>'C:\Users\Moinul\Desktop\[IWR2017data_conv_fig12.xlsx]Happy'!$I$3:$I$37</c15:f>
                <c15:dlblRangeCache>
                  <c:ptCount val="35"/>
                  <c:pt idx="0">
                    <c:v>ARG</c:v>
                  </c:pt>
                  <c:pt idx="1">
                    <c:v>BGR</c:v>
                  </c:pt>
                  <c:pt idx="2">
                    <c:v>BRA</c:v>
                  </c:pt>
                  <c:pt idx="3">
                    <c:v>BWA</c:v>
                  </c:pt>
                  <c:pt idx="4">
                    <c:v>CHL</c:v>
                  </c:pt>
                  <c:pt idx="5">
                    <c:v>CHN</c:v>
                  </c:pt>
                  <c:pt idx="6">
                    <c:v>COL</c:v>
                  </c:pt>
                  <c:pt idx="7">
                    <c:v>CRI</c:v>
                  </c:pt>
                  <c:pt idx="8">
                    <c:v>CUB</c:v>
                  </c:pt>
                  <c:pt idx="9">
                    <c:v>DOM</c:v>
                  </c:pt>
                  <c:pt idx="10">
                    <c:v>DZA</c:v>
                  </c:pt>
                  <c:pt idx="11">
                    <c:v>ECU</c:v>
                  </c:pt>
                  <c:pt idx="12">
                    <c:v>GAB</c:v>
                  </c:pt>
                  <c:pt idx="13">
                    <c:v>IRN</c:v>
                  </c:pt>
                  <c:pt idx="14">
                    <c:v>JAM</c:v>
                  </c:pt>
                  <c:pt idx="15">
                    <c:v>JOR</c:v>
                  </c:pt>
                  <c:pt idx="16">
                    <c:v>KAZ</c:v>
                  </c:pt>
                  <c:pt idx="17">
                    <c:v>LTU</c:v>
                  </c:pt>
                  <c:pt idx="18">
                    <c:v>LVA</c:v>
                  </c:pt>
                  <c:pt idx="19">
                    <c:v>MDV</c:v>
                  </c:pt>
                  <c:pt idx="20">
                    <c:v>MEX</c:v>
                  </c:pt>
                  <c:pt idx="21">
                    <c:v>MUS</c:v>
                  </c:pt>
                  <c:pt idx="22">
                    <c:v>MYS</c:v>
                  </c:pt>
                  <c:pt idx="23">
                    <c:v>NAM</c:v>
                  </c:pt>
                  <c:pt idx="24">
                    <c:v>PAN</c:v>
                  </c:pt>
                  <c:pt idx="25">
                    <c:v>PER</c:v>
                  </c:pt>
                  <c:pt idx="26">
                    <c:v>ROU</c:v>
                  </c:pt>
                  <c:pt idx="27">
                    <c:v>RUS</c:v>
                  </c:pt>
                  <c:pt idx="28">
                    <c:v>SRB</c:v>
                  </c:pt>
                  <c:pt idx="29">
                    <c:v>THA</c:v>
                  </c:pt>
                  <c:pt idx="30">
                    <c:v>TUN</c:v>
                  </c:pt>
                  <c:pt idx="31">
                    <c:v>TUR</c:v>
                  </c:pt>
                  <c:pt idx="32">
                    <c:v>URY</c:v>
                  </c:pt>
                  <c:pt idx="33">
                    <c:v>VEN</c:v>
                  </c:pt>
                  <c:pt idx="34">
                    <c:v>ZAF</c:v>
                  </c:pt>
                </c15:dlblRangeCache>
              </c15:datalabelsRange>
            </c:ext>
            <c:ext xmlns:c16="http://schemas.microsoft.com/office/drawing/2014/chart" uri="{C3380CC4-5D6E-409C-BE32-E72D297353CC}">
              <c16:uniqueId val="{00000064-4D2D-403D-9210-9FA08E39973A}"/>
            </c:ext>
          </c:extLst>
        </c:ser>
        <c:ser>
          <c:idx val="3"/>
          <c:order val="3"/>
          <c:tx>
            <c:v>High Income</c:v>
          </c:tx>
          <c:spPr>
            <a:ln w="25400" cap="rnd">
              <a:noFill/>
              <a:round/>
            </a:ln>
            <a:effectLst/>
          </c:spPr>
          <c:marker>
            <c:symbol val="circle"/>
            <c:size val="5"/>
            <c:spPr>
              <a:solidFill>
                <a:schemeClr val="tx1"/>
              </a:solidFill>
              <a:ln w="25400">
                <a:solidFill>
                  <a:schemeClr val="tx1"/>
                </a:solidFill>
              </a:ln>
              <a:effectLst/>
            </c:spPr>
          </c:marker>
          <c:dLbls>
            <c:dLbl>
              <c:idx val="0"/>
              <c:layout/>
              <c:tx>
                <c:rich>
                  <a:bodyPr/>
                  <a:lstStyle/>
                  <a:p>
                    <a:fld id="{315093D1-A8A0-4766-ACC1-A1665BA5A571}"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65-4D2D-403D-9210-9FA08E39973A}"/>
                </c:ext>
              </c:extLst>
            </c:dLbl>
            <c:dLbl>
              <c:idx val="1"/>
              <c:layout/>
              <c:tx>
                <c:rich>
                  <a:bodyPr/>
                  <a:lstStyle/>
                  <a:p>
                    <a:fld id="{9BE3599B-07F9-4A11-A85F-72B7B42CCCE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6-4D2D-403D-9210-9FA08E39973A}"/>
                </c:ext>
              </c:extLst>
            </c:dLbl>
            <c:dLbl>
              <c:idx val="2"/>
              <c:layout/>
              <c:tx>
                <c:rich>
                  <a:bodyPr/>
                  <a:lstStyle/>
                  <a:p>
                    <a:fld id="{58536399-4BA5-42CF-AF26-DCBF4EAB93F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7-4D2D-403D-9210-9FA08E39973A}"/>
                </c:ext>
              </c:extLst>
            </c:dLbl>
            <c:dLbl>
              <c:idx val="3"/>
              <c:layout/>
              <c:tx>
                <c:rich>
                  <a:bodyPr/>
                  <a:lstStyle/>
                  <a:p>
                    <a:fld id="{673C8638-2FFD-417E-9D87-4C1397B6234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8-4D2D-403D-9210-9FA08E39973A}"/>
                </c:ext>
              </c:extLst>
            </c:dLbl>
            <c:dLbl>
              <c:idx val="4"/>
              <c:layout/>
              <c:tx>
                <c:rich>
                  <a:bodyPr/>
                  <a:lstStyle/>
                  <a:p>
                    <a:fld id="{2EB2C58B-6F91-4D1D-84A9-B0B25619A56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9-4D2D-403D-9210-9FA08E39973A}"/>
                </c:ext>
              </c:extLst>
            </c:dLbl>
            <c:dLbl>
              <c:idx val="5"/>
              <c:layout/>
              <c:tx>
                <c:rich>
                  <a:bodyPr/>
                  <a:lstStyle/>
                  <a:p>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6A-4D2D-403D-9210-9FA08E39973A}"/>
                </c:ext>
              </c:extLst>
            </c:dLbl>
            <c:dLbl>
              <c:idx val="6"/>
              <c:layout/>
              <c:tx>
                <c:rich>
                  <a:bodyPr/>
                  <a:lstStyle/>
                  <a:p>
                    <a:fld id="{D6A1CFBE-8EDB-483F-AEF0-B338CE72247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B-4D2D-403D-9210-9FA08E39973A}"/>
                </c:ext>
              </c:extLst>
            </c:dLbl>
            <c:dLbl>
              <c:idx val="7"/>
              <c:layout/>
              <c:tx>
                <c:rich>
                  <a:bodyPr/>
                  <a:lstStyle/>
                  <a:p>
                    <a:fld id="{0197792F-42EC-44C7-9C4E-8408D8D22B5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C-4D2D-403D-9210-9FA08E39973A}"/>
                </c:ext>
              </c:extLst>
            </c:dLbl>
            <c:dLbl>
              <c:idx val="8"/>
              <c:layout/>
              <c:tx>
                <c:rich>
                  <a:bodyPr/>
                  <a:lstStyle/>
                  <a:p>
                    <a:fld id="{56B2D128-A5F8-4525-AE3D-699F096D4D2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D-4D2D-403D-9210-9FA08E39973A}"/>
                </c:ext>
              </c:extLst>
            </c:dLbl>
            <c:dLbl>
              <c:idx val="9"/>
              <c:layout/>
              <c:tx>
                <c:rich>
                  <a:bodyPr/>
                  <a:lstStyle/>
                  <a:p>
                    <a:fld id="{61B61444-9C9A-43E4-BC3C-FD55B0BFD08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E-4D2D-403D-9210-9FA08E39973A}"/>
                </c:ext>
              </c:extLst>
            </c:dLbl>
            <c:dLbl>
              <c:idx val="10"/>
              <c:layout/>
              <c:tx>
                <c:rich>
                  <a:bodyPr/>
                  <a:lstStyle/>
                  <a:p>
                    <a:fld id="{33E1EE6A-2811-45BC-A7F2-1D8B3BA4672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F-4D2D-403D-9210-9FA08E39973A}"/>
                </c:ext>
              </c:extLst>
            </c:dLbl>
            <c:dLbl>
              <c:idx val="11"/>
              <c:layout/>
              <c:tx>
                <c:rich>
                  <a:bodyPr/>
                  <a:lstStyle/>
                  <a:p>
                    <a:fld id="{9775AA67-2370-40E1-809C-424B2078E2E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0-4D2D-403D-9210-9FA08E39973A}"/>
                </c:ext>
              </c:extLst>
            </c:dLbl>
            <c:dLbl>
              <c:idx val="12"/>
              <c:layout/>
              <c:tx>
                <c:rich>
                  <a:bodyPr/>
                  <a:lstStyle/>
                  <a:p>
                    <a:fld id="{B4D1AC63-F4EB-4587-BE9B-B6569BBF8A2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1-4D2D-403D-9210-9FA08E39973A}"/>
                </c:ext>
              </c:extLst>
            </c:dLbl>
            <c:dLbl>
              <c:idx val="13"/>
              <c:layout/>
              <c:tx>
                <c:rich>
                  <a:bodyPr/>
                  <a:lstStyle/>
                  <a:p>
                    <a:fld id="{8C2E5BD0-CF56-4186-A1BA-3A1CD7760BB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2-4D2D-403D-9210-9FA08E39973A}"/>
                </c:ext>
              </c:extLst>
            </c:dLbl>
            <c:dLbl>
              <c:idx val="14"/>
              <c:layout/>
              <c:tx>
                <c:rich>
                  <a:bodyPr/>
                  <a:lstStyle/>
                  <a:p>
                    <a:fld id="{6F27413C-27F1-4B44-A5F6-454D35ABA8B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3-4D2D-403D-9210-9FA08E39973A}"/>
                </c:ext>
              </c:extLst>
            </c:dLbl>
            <c:dLbl>
              <c:idx val="15"/>
              <c:layout/>
              <c:tx>
                <c:rich>
                  <a:bodyPr/>
                  <a:lstStyle/>
                  <a:p>
                    <a:fld id="{CC9CA804-CB95-4673-B464-3E0FBC23516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4-4D2D-403D-9210-9FA08E39973A}"/>
                </c:ext>
              </c:extLst>
            </c:dLbl>
            <c:dLbl>
              <c:idx val="16"/>
              <c:layout/>
              <c:tx>
                <c:rich>
                  <a:bodyPr/>
                  <a:lstStyle/>
                  <a:p>
                    <a:fld id="{4FCE912C-9252-45FD-B7D9-AA7C24FA401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5-4D2D-403D-9210-9FA08E39973A}"/>
                </c:ext>
              </c:extLst>
            </c:dLbl>
            <c:dLbl>
              <c:idx val="17"/>
              <c:layout/>
              <c:tx>
                <c:rich>
                  <a:bodyPr/>
                  <a:lstStyle/>
                  <a:p>
                    <a:fld id="{548F1099-C855-418D-BC4A-80D87F8116D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6-4D2D-403D-9210-9FA08E39973A}"/>
                </c:ext>
              </c:extLst>
            </c:dLbl>
            <c:dLbl>
              <c:idx val="18"/>
              <c:layout/>
              <c:tx>
                <c:rich>
                  <a:bodyPr/>
                  <a:lstStyle/>
                  <a:p>
                    <a:fld id="{94F275DB-4676-4787-9EB6-C27AC9BA43B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7-4D2D-403D-9210-9FA08E39973A}"/>
                </c:ext>
              </c:extLst>
            </c:dLbl>
            <c:dLbl>
              <c:idx val="19"/>
              <c:layout/>
              <c:tx>
                <c:rich>
                  <a:bodyPr/>
                  <a:lstStyle/>
                  <a:p>
                    <a:fld id="{9F5CD0F5-0FA0-443C-9A33-79B3B576B34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8-4D2D-403D-9210-9FA08E39973A}"/>
                </c:ext>
              </c:extLst>
            </c:dLbl>
            <c:dLbl>
              <c:idx val="20"/>
              <c:layout/>
              <c:tx>
                <c:rich>
                  <a:bodyPr/>
                  <a:lstStyle/>
                  <a:p>
                    <a:fld id="{0B11FFE5-DD87-48AF-B80C-5F583DF55C6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9-4D2D-403D-9210-9FA08E39973A}"/>
                </c:ext>
              </c:extLst>
            </c:dLbl>
            <c:dLbl>
              <c:idx val="21"/>
              <c:layout/>
              <c:tx>
                <c:rich>
                  <a:bodyPr/>
                  <a:lstStyle/>
                  <a:p>
                    <a:fld id="{5610F77B-F82F-44B9-B77E-ACB10FC2D37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A-4D2D-403D-9210-9FA08E39973A}"/>
                </c:ext>
              </c:extLst>
            </c:dLbl>
            <c:dLbl>
              <c:idx val="22"/>
              <c:layout/>
              <c:tx>
                <c:rich>
                  <a:bodyPr/>
                  <a:lstStyle/>
                  <a:p>
                    <a:fld id="{50D5BA42-A5FE-414B-87AE-F939A4A6E88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B-4D2D-403D-9210-9FA08E39973A}"/>
                </c:ext>
              </c:extLst>
            </c:dLbl>
            <c:dLbl>
              <c:idx val="23"/>
              <c:layout/>
              <c:tx>
                <c:rich>
                  <a:bodyPr/>
                  <a:lstStyle/>
                  <a:p>
                    <a:fld id="{B29B5FB5-82C3-4BE0-8594-2DC2F967F89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C-4D2D-403D-9210-9FA08E39973A}"/>
                </c:ext>
              </c:extLst>
            </c:dLbl>
            <c:dLbl>
              <c:idx val="24"/>
              <c:layout/>
              <c:tx>
                <c:rich>
                  <a:bodyPr/>
                  <a:lstStyle/>
                  <a:p>
                    <a:fld id="{F09570B6-CBF9-4CDF-9CA6-985B89C2B1D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D-4D2D-403D-9210-9FA08E39973A}"/>
                </c:ext>
              </c:extLst>
            </c:dLbl>
            <c:dLbl>
              <c:idx val="25"/>
              <c:layout/>
              <c:tx>
                <c:rich>
                  <a:bodyPr/>
                  <a:lstStyle/>
                  <a:p>
                    <a:fld id="{0CD98F62-1D88-4738-9033-7996819B587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E-4D2D-403D-9210-9FA08E39973A}"/>
                </c:ext>
              </c:extLst>
            </c:dLbl>
            <c:dLbl>
              <c:idx val="26"/>
              <c:layout/>
              <c:tx>
                <c:rich>
                  <a:bodyPr/>
                  <a:lstStyle/>
                  <a:p>
                    <a:fld id="{2BDE3D86-3DFE-401E-830C-6C13DE42C31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F-4D2D-403D-9210-9FA08E39973A}"/>
                </c:ext>
              </c:extLst>
            </c:dLbl>
            <c:dLbl>
              <c:idx val="27"/>
              <c:layout/>
              <c:tx>
                <c:rich>
                  <a:bodyPr/>
                  <a:lstStyle/>
                  <a:p>
                    <a:fld id="{41D5698A-A54E-441C-897B-9DAD7F0F308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0-4D2D-403D-9210-9FA08E39973A}"/>
                </c:ext>
              </c:extLst>
            </c:dLbl>
            <c:dLbl>
              <c:idx val="28"/>
              <c:layout/>
              <c:tx>
                <c:rich>
                  <a:bodyPr/>
                  <a:lstStyle/>
                  <a:p>
                    <a:fld id="{DDCE03C0-2895-4474-B99C-F23EDB894B1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1-4D2D-403D-9210-9FA08E39973A}"/>
                </c:ext>
              </c:extLst>
            </c:dLbl>
            <c:dLbl>
              <c:idx val="29"/>
              <c:layout/>
              <c:tx>
                <c:rich>
                  <a:bodyPr/>
                  <a:lstStyle/>
                  <a:p>
                    <a:fld id="{A6B1644A-D7DF-4EF5-AC20-9A2475A75DE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2-4D2D-403D-9210-9FA08E39973A}"/>
                </c:ext>
              </c:extLst>
            </c:dLbl>
            <c:dLbl>
              <c:idx val="30"/>
              <c:layout/>
              <c:tx>
                <c:rich>
                  <a:bodyPr/>
                  <a:lstStyle/>
                  <a:p>
                    <a:fld id="{55AF0E10-790C-4099-A183-0807EB941D7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3-4D2D-403D-9210-9FA08E39973A}"/>
                </c:ext>
              </c:extLst>
            </c:dLbl>
            <c:dLbl>
              <c:idx val="31"/>
              <c:layout/>
              <c:tx>
                <c:rich>
                  <a:bodyPr/>
                  <a:lstStyle/>
                  <a:p>
                    <a:fld id="{2F20E90C-C4B3-464D-949C-CF5461C89D1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4-4D2D-403D-9210-9FA08E39973A}"/>
                </c:ext>
              </c:extLst>
            </c:dLbl>
            <c:dLbl>
              <c:idx val="32"/>
              <c:layout/>
              <c:tx>
                <c:rich>
                  <a:bodyPr/>
                  <a:lstStyle/>
                  <a:p>
                    <a:fld id="{E47ABBDE-DD3A-405A-8F1A-FF46DFFC53E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5-4D2D-403D-9210-9FA08E39973A}"/>
                </c:ext>
              </c:extLst>
            </c:dLbl>
            <c:dLbl>
              <c:idx val="33"/>
              <c:layout/>
              <c:tx>
                <c:rich>
                  <a:bodyPr/>
                  <a:lstStyle/>
                  <a:p>
                    <a:fld id="{96E87D79-89D0-4508-885E-305B71C56A0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6-4D2D-403D-9210-9FA08E39973A}"/>
                </c:ext>
              </c:extLst>
            </c:dLbl>
            <c:dLbl>
              <c:idx val="34"/>
              <c:layout/>
              <c:tx>
                <c:rich>
                  <a:bodyPr/>
                  <a:lstStyle/>
                  <a:p>
                    <a:fld id="{EDBEAD94-17BA-43AE-A8FD-CBC6D08174E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7-4D2D-403D-9210-9FA08E39973A}"/>
                </c:ext>
              </c:extLst>
            </c:dLbl>
            <c:dLbl>
              <c:idx val="35"/>
              <c:layout/>
              <c:tx>
                <c:rich>
                  <a:bodyPr/>
                  <a:lstStyle/>
                  <a:p>
                    <a:fld id="{8C684E45-B6BE-4F2F-BBD8-ABD29C0B067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8-4D2D-403D-9210-9FA08E39973A}"/>
                </c:ext>
              </c:extLst>
            </c:dLbl>
            <c:dLbl>
              <c:idx val="36"/>
              <c:layout/>
              <c:tx>
                <c:rich>
                  <a:bodyPr/>
                  <a:lstStyle/>
                  <a:p>
                    <a:fld id="{906BAFFE-E008-4B74-B6F1-9D8D8501D5D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9-4D2D-403D-9210-9FA08E39973A}"/>
                </c:ext>
              </c:extLst>
            </c:dLbl>
            <c:dLbl>
              <c:idx val="37"/>
              <c:layout/>
              <c:tx>
                <c:rich>
                  <a:bodyPr/>
                  <a:lstStyle/>
                  <a:p>
                    <a:fld id="{69307AE1-A311-4833-90A1-9C7EF793EB7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A-4D2D-403D-9210-9FA08E39973A}"/>
                </c:ext>
              </c:extLst>
            </c:dLbl>
            <c:dLbl>
              <c:idx val="38"/>
              <c:layout/>
              <c:tx>
                <c:rich>
                  <a:bodyPr/>
                  <a:lstStyle/>
                  <a:p>
                    <a:fld id="{F3CE4331-8AF2-404E-935D-22DCE1E0E51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B-4D2D-403D-9210-9FA08E39973A}"/>
                </c:ext>
              </c:extLst>
            </c:dLbl>
            <c:dLbl>
              <c:idx val="39"/>
              <c:layout/>
              <c:tx>
                <c:rich>
                  <a:bodyPr/>
                  <a:lstStyle/>
                  <a:p>
                    <a:fld id="{24003949-01B1-480C-867C-FDE4C823F38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C-4D2D-403D-9210-9FA08E39973A}"/>
                </c:ext>
              </c:extLst>
            </c:dLbl>
            <c:dLbl>
              <c:idx val="40"/>
              <c:layout/>
              <c:tx>
                <c:rich>
                  <a:bodyPr/>
                  <a:lstStyle/>
                  <a:p>
                    <a:fld id="{C190D289-B76C-4E91-8590-2CD53E7EC88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D-4D2D-403D-9210-9FA08E39973A}"/>
                </c:ext>
              </c:extLst>
            </c:dLbl>
            <c:dLbl>
              <c:idx val="41"/>
              <c:layout/>
              <c:tx>
                <c:rich>
                  <a:bodyPr/>
                  <a:lstStyle/>
                  <a:p>
                    <a:fld id="{6E2F57BE-B6C8-424E-9EAC-5257EF1A879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E-4D2D-403D-9210-9FA08E39973A}"/>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[1]Happy!$N$3:$N$44</c:f>
              <c:numCache>
                <c:formatCode>General</c:formatCode>
                <c:ptCount val="42"/>
                <c:pt idx="0">
                  <c:v>-2.7380657742969119E-2</c:v>
                </c:pt>
                <c:pt idx="1">
                  <c:v>4.8025426507694001E-3</c:v>
                </c:pt>
                <c:pt idx="2">
                  <c:v>8.2999885816754694E-3</c:v>
                </c:pt>
                <c:pt idx="3">
                  <c:v>9.4312836231369469E-3</c:v>
                </c:pt>
                <c:pt idx="4">
                  <c:v>1.7751232566971694E-2</c:v>
                </c:pt>
                <c:pt idx="5">
                  <c:v>9.7695724421069767E-3</c:v>
                </c:pt>
                <c:pt idx="6">
                  <c:v>1.51092698362487E-3</c:v>
                </c:pt>
                <c:pt idx="7">
                  <c:v>9.1397493282177073E-3</c:v>
                </c:pt>
                <c:pt idx="8">
                  <c:v>2.0843306308313631E-2</c:v>
                </c:pt>
                <c:pt idx="9">
                  <c:v>1.2121623667614503E-2</c:v>
                </c:pt>
                <c:pt idx="10">
                  <c:v>7.4284949767846635E-3</c:v>
                </c:pt>
                <c:pt idx="11">
                  <c:v>6.7106854296583637E-3</c:v>
                </c:pt>
                <c:pt idx="12">
                  <c:v>1.2970825894080417E-2</c:v>
                </c:pt>
                <c:pt idx="13">
                  <c:v>1.5970534555529901E-2</c:v>
                </c:pt>
                <c:pt idx="14">
                  <c:v>9.961207918808293E-3</c:v>
                </c:pt>
                <c:pt idx="15">
                  <c:v>8.963541597583077E-3</c:v>
                </c:pt>
                <c:pt idx="16">
                  <c:v>8.0021532319958268E-3</c:v>
                </c:pt>
                <c:pt idx="17">
                  <c:v>1.00811274928445E-2</c:v>
                </c:pt>
                <c:pt idx="18">
                  <c:v>1.2744237161689499E-2</c:v>
                </c:pt>
                <c:pt idx="19">
                  <c:v>1.1194841936817112E-2</c:v>
                </c:pt>
                <c:pt idx="20">
                  <c:v>1.6689943046223499E-2</c:v>
                </c:pt>
                <c:pt idx="21">
                  <c:v>-1.0588302825362801E-3</c:v>
                </c:pt>
                <c:pt idx="22">
                  <c:v>1.0124575849918027E-2</c:v>
                </c:pt>
                <c:pt idx="23">
                  <c:v>8.9727496482936639E-3</c:v>
                </c:pt>
                <c:pt idx="24">
                  <c:v>1.0759794450994098E-2</c:v>
                </c:pt>
                <c:pt idx="25">
                  <c:v>2.4071693665941519E-2</c:v>
                </c:pt>
                <c:pt idx="26">
                  <c:v>-2.1565613838697081E-2</c:v>
                </c:pt>
                <c:pt idx="27">
                  <c:v>2.2718036080859406E-2</c:v>
                </c:pt>
                <c:pt idx="28">
                  <c:v>2.6815706061674337E-2</c:v>
                </c:pt>
                <c:pt idx="29">
                  <c:v>7.7190792979897668E-3</c:v>
                </c:pt>
                <c:pt idx="30">
                  <c:v>2.0840115986466841E-3</c:v>
                </c:pt>
                <c:pt idx="31">
                  <c:v>-2.8151992327450919E-3</c:v>
                </c:pt>
                <c:pt idx="32">
                  <c:v>1.3287157746103312E-2</c:v>
                </c:pt>
                <c:pt idx="33">
                  <c:v>1.41128477619386E-2</c:v>
                </c:pt>
                <c:pt idx="34">
                  <c:v>-3.0962825955895397E-2</c:v>
                </c:pt>
                <c:pt idx="35">
                  <c:v>-1.1420446728572007E-2</c:v>
                </c:pt>
                <c:pt idx="36">
                  <c:v>2.1472153727817724E-2</c:v>
                </c:pt>
                <c:pt idx="37">
                  <c:v>1.3588819177574599E-2</c:v>
                </c:pt>
                <c:pt idx="38">
                  <c:v>1.4194369456347999E-2</c:v>
                </c:pt>
                <c:pt idx="39">
                  <c:v>8.2649174886535379E-3</c:v>
                </c:pt>
                <c:pt idx="40">
                  <c:v>-7.5908390404185724E-3</c:v>
                </c:pt>
                <c:pt idx="41">
                  <c:v>6.1011429412534124E-3</c:v>
                </c:pt>
              </c:numCache>
            </c:numRef>
          </c:xVal>
          <c:yVal>
            <c:numRef>
              <c:f>[1]Happy!$O$3:$O$44</c:f>
              <c:numCache>
                <c:formatCode>General</c:formatCode>
                <c:ptCount val="42"/>
                <c:pt idx="0">
                  <c:v>6.5729999542236373</c:v>
                </c:pt>
                <c:pt idx="1">
                  <c:v>7.3130002021789426</c:v>
                </c:pt>
                <c:pt idx="2">
                  <c:v>7.1189999580383265</c:v>
                </c:pt>
                <c:pt idx="3">
                  <c:v>6.9289999008178711</c:v>
                </c:pt>
                <c:pt idx="4">
                  <c:v>6.2179999351501474</c:v>
                </c:pt>
                <c:pt idx="5">
                  <c:v>#N/A</c:v>
                </c:pt>
                <c:pt idx="6">
                  <c:v>7.4039998054504403</c:v>
                </c:pt>
                <c:pt idx="7">
                  <c:v>7.5089998245239284</c:v>
                </c:pt>
                <c:pt idx="8">
                  <c:v>5.5460000038147035</c:v>
                </c:pt>
                <c:pt idx="9">
                  <c:v>6.5960001945495739</c:v>
                </c:pt>
                <c:pt idx="10">
                  <c:v>6.9939999580383301</c:v>
                </c:pt>
                <c:pt idx="11">
                  <c:v>7.5260000228881836</c:v>
                </c:pt>
                <c:pt idx="12">
                  <c:v>6.36100006103515</c:v>
                </c:pt>
                <c:pt idx="13">
                  <c:v>5.5170001983642578</c:v>
                </c:pt>
                <c:pt idx="14">
                  <c:v>7.4130001068115234</c:v>
                </c:pt>
                <c:pt idx="15">
                  <c:v>6.4780001640319824</c:v>
                </c:pt>
                <c:pt idx="16">
                  <c:v>6.7249999046325684</c:v>
                </c:pt>
                <c:pt idx="17">
                  <c:v>5.0329999923706135</c:v>
                </c:pt>
                <c:pt idx="18">
                  <c:v>5.4879999160766602</c:v>
                </c:pt>
                <c:pt idx="19">
                  <c:v>5.1449999809265066</c:v>
                </c:pt>
                <c:pt idx="20">
                  <c:v>6.9070000648498526</c:v>
                </c:pt>
                <c:pt idx="21">
                  <c:v>7.5009999275207475</c:v>
                </c:pt>
                <c:pt idx="22">
                  <c:v>7.2670001983642578</c:v>
                </c:pt>
                <c:pt idx="23">
                  <c:v>5.9770002365112296</c:v>
                </c:pt>
                <c:pt idx="24">
                  <c:v>5.9210000038147035</c:v>
                </c:pt>
                <c:pt idx="25">
                  <c:v>5.8350000381469647</c:v>
                </c:pt>
                <c:pt idx="26">
                  <c:v>6.2389998435974086</c:v>
                </c:pt>
                <c:pt idx="27">
                  <c:v>6.8709998130798375</c:v>
                </c:pt>
                <c:pt idx="28">
                  <c:v>6.4879999160766602</c:v>
                </c:pt>
                <c:pt idx="29">
                  <c:v>7.3390002250671404</c:v>
                </c:pt>
                <c:pt idx="30">
                  <c:v>7.4980001449584961</c:v>
                </c:pt>
                <c:pt idx="31">
                  <c:v>7.3340001106262207</c:v>
                </c:pt>
                <c:pt idx="32">
                  <c:v>5.8350000381469647</c:v>
                </c:pt>
                <c:pt idx="33">
                  <c:v>5.1230001449584845</c:v>
                </c:pt>
                <c:pt idx="34">
                  <c:v>6.375</c:v>
                </c:pt>
                <c:pt idx="35">
                  <c:v>6.379000186920174</c:v>
                </c:pt>
                <c:pt idx="36">
                  <c:v>6.7389998435974077</c:v>
                </c:pt>
                <c:pt idx="37">
                  <c:v>6.0780000686645508</c:v>
                </c:pt>
                <c:pt idx="38">
                  <c:v>5.7680001258850098</c:v>
                </c:pt>
                <c:pt idx="39">
                  <c:v>7.2909998893737802</c:v>
                </c:pt>
                <c:pt idx="40">
                  <c:v>6.168000221252429</c:v>
                </c:pt>
                <c:pt idx="41">
                  <c:v>7.1040000915527344</c:v>
                </c:pt>
              </c:numCache>
            </c:numRef>
          </c:yVal>
          <c:smooth val="0"/>
          <c:extLst xmlns:c16r2="http://schemas.microsoft.com/office/drawing/2015/06/chart">
            <c:ext xmlns:c15="http://schemas.microsoft.com/office/drawing/2012/chart" uri="{02D57815-91ED-43cb-92C2-25804820EDAC}">
              <c15:datalabelsRange>
                <c15:f>'C:\Users\Moinul\Desktop\[IWR2017data_conv_fig12.xlsx]Happy'!$M$3:$M$44</c15:f>
                <c15:dlblRangeCache>
                  <c:ptCount val="42"/>
                  <c:pt idx="0">
                    <c:v>ARE</c:v>
                  </c:pt>
                  <c:pt idx="1">
                    <c:v>AUS</c:v>
                  </c:pt>
                  <c:pt idx="2">
                    <c:v>AUT</c:v>
                  </c:pt>
                  <c:pt idx="3">
                    <c:v>BEL</c:v>
                  </c:pt>
                  <c:pt idx="4">
                    <c:v>BHR</c:v>
                  </c:pt>
                  <c:pt idx="5">
                    <c:v>BRB</c:v>
                  </c:pt>
                  <c:pt idx="6">
                    <c:v>CAN</c:v>
                  </c:pt>
                  <c:pt idx="7">
                    <c:v>CHE</c:v>
                  </c:pt>
                  <c:pt idx="8">
                    <c:v>CYP</c:v>
                  </c:pt>
                  <c:pt idx="9">
                    <c:v>CZE</c:v>
                  </c:pt>
                  <c:pt idx="10">
                    <c:v>DEU</c:v>
                  </c:pt>
                  <c:pt idx="11">
                    <c:v>DNK</c:v>
                  </c:pt>
                  <c:pt idx="12">
                    <c:v>ESP</c:v>
                  </c:pt>
                  <c:pt idx="13">
                    <c:v>EST</c:v>
                  </c:pt>
                  <c:pt idx="14">
                    <c:v>FIN</c:v>
                  </c:pt>
                  <c:pt idx="15">
                    <c:v>FRA</c:v>
                  </c:pt>
                  <c:pt idx="16">
                    <c:v>GBR</c:v>
                  </c:pt>
                  <c:pt idx="17">
                    <c:v>GRC</c:v>
                  </c:pt>
                  <c:pt idx="18">
                    <c:v>HRV</c:v>
                  </c:pt>
                  <c:pt idx="19">
                    <c:v>HUN</c:v>
                  </c:pt>
                  <c:pt idx="20">
                    <c:v>IRL</c:v>
                  </c:pt>
                  <c:pt idx="21">
                    <c:v>ISL</c:v>
                  </c:pt>
                  <c:pt idx="22">
                    <c:v>ISR</c:v>
                  </c:pt>
                  <c:pt idx="23">
                    <c:v>ITA</c:v>
                  </c:pt>
                  <c:pt idx="24">
                    <c:v>JPN</c:v>
                  </c:pt>
                  <c:pt idx="25">
                    <c:v>KOR</c:v>
                  </c:pt>
                  <c:pt idx="26">
                    <c:v>KWT</c:v>
                  </c:pt>
                  <c:pt idx="27">
                    <c:v>LUX</c:v>
                  </c:pt>
                  <c:pt idx="28">
                    <c:v>MLT</c:v>
                  </c:pt>
                  <c:pt idx="29">
                    <c:v>NLD</c:v>
                  </c:pt>
                  <c:pt idx="30">
                    <c:v>NOR</c:v>
                  </c:pt>
                  <c:pt idx="31">
                    <c:v>NZL</c:v>
                  </c:pt>
                  <c:pt idx="32">
                    <c:v>POL</c:v>
                  </c:pt>
                  <c:pt idx="33">
                    <c:v>PRT</c:v>
                  </c:pt>
                  <c:pt idx="34">
                    <c:v>QAT</c:v>
                  </c:pt>
                  <c:pt idx="35">
                    <c:v>SAU</c:v>
                  </c:pt>
                  <c:pt idx="36">
                    <c:v>SGP</c:v>
                  </c:pt>
                  <c:pt idx="37">
                    <c:v>SVK</c:v>
                  </c:pt>
                  <c:pt idx="38">
                    <c:v>SVN</c:v>
                  </c:pt>
                  <c:pt idx="39">
                    <c:v>SWE</c:v>
                  </c:pt>
                  <c:pt idx="40">
                    <c:v>TTO</c:v>
                  </c:pt>
                  <c:pt idx="41">
                    <c:v>USA</c:v>
                  </c:pt>
                </c15:dlblRangeCache>
              </c15:datalabelsRange>
            </c:ext>
            <c:ext xmlns:c16="http://schemas.microsoft.com/office/drawing/2014/chart" uri="{C3380CC4-5D6E-409C-BE32-E72D297353CC}">
              <c16:uniqueId val="{0000008F-4D2D-403D-9210-9FA08E39973A}"/>
            </c:ext>
          </c:extLst>
        </c:ser>
        <c:dLbls>
          <c:showLegendKey val="0"/>
          <c:showVal val="0"/>
          <c:showCatName val="0"/>
          <c:showSerName val="0"/>
          <c:showPercent val="0"/>
          <c:showBubbleSize val="0"/>
        </c:dLbls>
        <c:axId val="145472128"/>
        <c:axId val="150897408"/>
      </c:scatterChart>
      <c:valAx>
        <c:axId val="145472128"/>
        <c:scaling>
          <c:orientation val="minMax"/>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ltLang="ja-JP" sz="1000" b="0" i="0" u="none" strike="noStrike" baseline="0">
                    <a:effectLst/>
                  </a:rPr>
                  <a:t>Growth rates in </a:t>
                </a:r>
                <a:r>
                  <a:rPr lang="en-US"/>
                  <a:t>IWI</a:t>
                </a:r>
                <a:r>
                  <a:rPr lang="en-US" baseline="0"/>
                  <a:t> per capita (before adjustment)</a:t>
                </a:r>
                <a:endParaRPr lang="en-US"/>
              </a:p>
            </c:rich>
          </c:tx>
          <c:layout/>
          <c:overlay val="0"/>
          <c:spPr>
            <a:noFill/>
            <a:ln>
              <a:noFill/>
            </a:ln>
            <a:effectLst/>
          </c:spPr>
        </c:title>
        <c:numFmt formatCode="0%" sourceLinked="0"/>
        <c:majorTickMark val="out"/>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150897408"/>
        <c:crosses val="autoZero"/>
        <c:crossBetween val="midCat"/>
      </c:valAx>
      <c:valAx>
        <c:axId val="150897408"/>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t>Happiness</a:t>
                </a:r>
              </a:p>
            </c:rich>
          </c:tx>
          <c:layout/>
          <c:overlay val="0"/>
          <c:spPr>
            <a:noFill/>
            <a:ln>
              <a:noFill/>
            </a:ln>
            <a:effectLst/>
          </c:spPr>
        </c:title>
        <c:numFmt formatCode="#,##0_);[Red]\(#,##0\)" sourceLinked="0"/>
        <c:majorTickMark val="out"/>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145472128"/>
        <c:crosses val="autoZero"/>
        <c:crossBetween val="midCat"/>
      </c:valAx>
    </c:plotArea>
    <c:legend>
      <c:legendPos val="r"/>
      <c:layout>
        <c:manualLayout>
          <c:xMode val="edge"/>
          <c:yMode val="edge"/>
          <c:x val="0.70821086510470299"/>
          <c:y val="0.588250024023379"/>
          <c:w val="0.24945611513988811"/>
          <c:h val="0.23986750399918597"/>
        </c:manualLayout>
      </c:layout>
      <c:overlay val="0"/>
      <c:spPr>
        <a:noFill/>
        <a:ln>
          <a:solidFill>
            <a:schemeClr val="tx1"/>
          </a:solidFill>
        </a:ln>
        <a:effectLst/>
      </c:spPr>
      <c:txPr>
        <a:bodyPr rot="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ln>
      <a:noFill/>
    </a:ln>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206583654935913E-2"/>
          <c:y val="4.1548630783758297E-2"/>
          <c:w val="0.90276627580536328"/>
          <c:h val="0.86015093722349989"/>
        </c:manualLayout>
      </c:layout>
      <c:scatterChart>
        <c:scatterStyle val="lineMarker"/>
        <c:varyColors val="0"/>
        <c:ser>
          <c:idx val="0"/>
          <c:order val="0"/>
          <c:tx>
            <c:v>Low Income</c:v>
          </c:tx>
          <c:spPr>
            <a:ln w="25400" cap="rnd">
              <a:no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dLbls>
            <c:dLbl>
              <c:idx val="0"/>
              <c:layout/>
              <c:tx>
                <c:rich>
                  <a:bodyPr/>
                  <a:lstStyle/>
                  <a:p>
                    <a:fld id="{3DF51D83-9C6E-4041-B779-C19A0693F59B}"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00-5BF4-4F09-A8DE-1D719C5FFC53}"/>
                </c:ext>
              </c:extLst>
            </c:dLbl>
            <c:dLbl>
              <c:idx val="1"/>
              <c:layout/>
              <c:tx>
                <c:rich>
                  <a:bodyPr/>
                  <a:lstStyle/>
                  <a:p>
                    <a:fld id="{86463153-449F-43D4-A2DD-AE9F1AB3473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BF4-4F09-A8DE-1D719C5FFC53}"/>
                </c:ext>
              </c:extLst>
            </c:dLbl>
            <c:dLbl>
              <c:idx val="2"/>
              <c:layout/>
              <c:tx>
                <c:rich>
                  <a:bodyPr/>
                  <a:lstStyle/>
                  <a:p>
                    <a:fld id="{AF59A67E-1E41-4099-8B85-1521E0E0B38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BF4-4F09-A8DE-1D719C5FFC53}"/>
                </c:ext>
              </c:extLst>
            </c:dLbl>
            <c:dLbl>
              <c:idx val="3"/>
              <c:layout/>
              <c:tx>
                <c:rich>
                  <a:bodyPr/>
                  <a:lstStyle/>
                  <a:p>
                    <a:fld id="{FCD5BE14-2F8B-4CD3-9AEA-DB249D948FD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BF4-4F09-A8DE-1D719C5FFC53}"/>
                </c:ext>
              </c:extLst>
            </c:dLbl>
            <c:dLbl>
              <c:idx val="4"/>
              <c:layout/>
              <c:tx>
                <c:rich>
                  <a:bodyPr/>
                  <a:lstStyle/>
                  <a:p>
                    <a:fld id="{1CC6B03D-FCDB-4C9F-8224-E9C933B341E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5BF4-4F09-A8DE-1D719C5FFC53}"/>
                </c:ext>
              </c:extLst>
            </c:dLbl>
            <c:dLbl>
              <c:idx val="5"/>
              <c:layout/>
              <c:tx>
                <c:rich>
                  <a:bodyPr/>
                  <a:lstStyle/>
                  <a:p>
                    <a:fld id="{7F8DE7ED-8B66-471D-8E4D-2B9BEC772DF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BF4-4F09-A8DE-1D719C5FFC53}"/>
                </c:ext>
              </c:extLst>
            </c:dLbl>
            <c:dLbl>
              <c:idx val="6"/>
              <c:layout/>
              <c:tx>
                <c:rich>
                  <a:bodyPr/>
                  <a:lstStyle/>
                  <a:p>
                    <a:fld id="{2411D0E4-DC13-46EE-8510-ACA83AB882F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5BF4-4F09-A8DE-1D719C5FFC53}"/>
                </c:ext>
              </c:extLst>
            </c:dLbl>
            <c:dLbl>
              <c:idx val="7"/>
              <c:layout/>
              <c:tx>
                <c:rich>
                  <a:bodyPr/>
                  <a:lstStyle/>
                  <a:p>
                    <a:fld id="{74450335-65EC-4425-87C2-4BFE3615C37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5BF4-4F09-A8DE-1D719C5FFC53}"/>
                </c:ext>
              </c:extLst>
            </c:dLbl>
            <c:dLbl>
              <c:idx val="8"/>
              <c:layout/>
              <c:tx>
                <c:rich>
                  <a:bodyPr/>
                  <a:lstStyle/>
                  <a:p>
                    <a:fld id="{B8838891-168E-410C-9330-D77AA062492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5BF4-4F09-A8DE-1D719C5FFC53}"/>
                </c:ext>
              </c:extLst>
            </c:dLbl>
            <c:dLbl>
              <c:idx val="9"/>
              <c:layout/>
              <c:tx>
                <c:rich>
                  <a:bodyPr/>
                  <a:lstStyle/>
                  <a:p>
                    <a:fld id="{B7BC2F0F-75EC-420C-8AE7-8124B158EC0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5BF4-4F09-A8DE-1D719C5FFC53}"/>
                </c:ext>
              </c:extLst>
            </c:dLbl>
            <c:dLbl>
              <c:idx val="10"/>
              <c:layout/>
              <c:tx>
                <c:rich>
                  <a:bodyPr/>
                  <a:lstStyle/>
                  <a:p>
                    <a:fld id="{85B806BB-9B19-4C8A-A963-FC6076D689E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5BF4-4F09-A8DE-1D719C5FFC53}"/>
                </c:ext>
              </c:extLst>
            </c:dLbl>
            <c:dLbl>
              <c:idx val="11"/>
              <c:layout/>
              <c:tx>
                <c:rich>
                  <a:bodyPr/>
                  <a:lstStyle/>
                  <a:p>
                    <a:fld id="{09659FF6-8EBC-4E8E-8BD1-47BCDEAA9CD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5BF4-4F09-A8DE-1D719C5FFC53}"/>
                </c:ext>
              </c:extLst>
            </c:dLbl>
            <c:dLbl>
              <c:idx val="12"/>
              <c:layout/>
              <c:tx>
                <c:rich>
                  <a:bodyPr/>
                  <a:lstStyle/>
                  <a:p>
                    <a:fld id="{CA000A99-09DD-4E07-B7CC-0523C79734F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5BF4-4F09-A8DE-1D719C5FFC53}"/>
                </c:ext>
              </c:extLst>
            </c:dLbl>
            <c:dLbl>
              <c:idx val="13"/>
              <c:layout/>
              <c:tx>
                <c:rich>
                  <a:bodyPr/>
                  <a:lstStyle/>
                  <a:p>
                    <a:fld id="{56AFF744-4D10-4F34-9548-851B88B5B4F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5BF4-4F09-A8DE-1D719C5FFC53}"/>
                </c:ext>
              </c:extLst>
            </c:dLbl>
            <c:dLbl>
              <c:idx val="14"/>
              <c:layout/>
              <c:tx>
                <c:rich>
                  <a:bodyPr/>
                  <a:lstStyle/>
                  <a:p>
                    <a:fld id="{7BBBEBDA-5FCA-4E78-984E-5F35D1B1DA4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5BF4-4F09-A8DE-1D719C5FFC53}"/>
                </c:ext>
              </c:extLst>
            </c:dLbl>
            <c:dLbl>
              <c:idx val="15"/>
              <c:layout/>
              <c:tx>
                <c:rich>
                  <a:bodyPr/>
                  <a:lstStyle/>
                  <a:p>
                    <a:fld id="{42C1571D-7641-4948-B384-9CF790175DE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5BF4-4F09-A8DE-1D719C5FFC53}"/>
                </c:ext>
              </c:extLst>
            </c:dLbl>
            <c:dLbl>
              <c:idx val="16"/>
              <c:layout/>
              <c:tx>
                <c:rich>
                  <a:bodyPr/>
                  <a:lstStyle/>
                  <a:p>
                    <a:fld id="{9473F9A1-01EB-4E9C-B50D-9254646C881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5BF4-4F09-A8DE-1D719C5FFC53}"/>
                </c:ext>
              </c:extLst>
            </c:dLbl>
            <c:dLbl>
              <c:idx val="17"/>
              <c:layout/>
              <c:tx>
                <c:rich>
                  <a:bodyPr/>
                  <a:lstStyle/>
                  <a:p>
                    <a:fld id="{D7DBFA2C-B1C8-477C-9E0C-C9D87CEDF9F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5BF4-4F09-A8DE-1D719C5FFC53}"/>
                </c:ext>
              </c:extLst>
            </c:dLbl>
            <c:dLbl>
              <c:idx val="18"/>
              <c:layout/>
              <c:tx>
                <c:rich>
                  <a:bodyPr/>
                  <a:lstStyle/>
                  <a:p>
                    <a:fld id="{86ACE336-0520-40A2-A735-318758F51E0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5BF4-4F09-A8DE-1D719C5FFC53}"/>
                </c:ext>
              </c:extLst>
            </c:dLbl>
            <c:dLbl>
              <c:idx val="19"/>
              <c:layout/>
              <c:tx>
                <c:rich>
                  <a:bodyPr/>
                  <a:lstStyle/>
                  <a:p>
                    <a:fld id="{6BC33E2D-C4A8-4A09-8C3B-B1CD4D76590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5BF4-4F09-A8DE-1D719C5FFC53}"/>
                </c:ext>
              </c:extLst>
            </c:dLbl>
            <c:dLbl>
              <c:idx val="20"/>
              <c:layout/>
              <c:tx>
                <c:rich>
                  <a:bodyPr/>
                  <a:lstStyle/>
                  <a:p>
                    <a:fld id="{C57AED0A-B625-431E-8C34-56370CF664F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5BF4-4F09-A8DE-1D719C5FFC53}"/>
                </c:ext>
              </c:extLst>
            </c:dLbl>
            <c:dLbl>
              <c:idx val="21"/>
              <c:layout/>
              <c:tx>
                <c:rich>
                  <a:bodyPr/>
                  <a:lstStyle/>
                  <a:p>
                    <a:fld id="{066FB53D-4689-4866-AF0F-127C3D99273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5BF4-4F09-A8DE-1D719C5FFC53}"/>
                </c:ext>
              </c:extLst>
            </c:dLbl>
            <c:dLbl>
              <c:idx val="22"/>
              <c:layout/>
              <c:tx>
                <c:rich>
                  <a:bodyPr/>
                  <a:lstStyle/>
                  <a:p>
                    <a:fld id="{8493974F-C271-4CAE-B514-4637AFA7A8A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5BF4-4F09-A8DE-1D719C5FFC53}"/>
                </c:ext>
              </c:extLst>
            </c:dLbl>
            <c:dLbl>
              <c:idx val="23"/>
              <c:layout/>
              <c:tx>
                <c:rich>
                  <a:bodyPr/>
                  <a:lstStyle/>
                  <a:p>
                    <a:fld id="{727ABD65-80B3-4BD7-AB49-E899B6F3E15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5BF4-4F09-A8DE-1D719C5FFC53}"/>
                </c:ext>
              </c:extLst>
            </c:dLbl>
            <c:dLbl>
              <c:idx val="24"/>
              <c:layout/>
              <c:tx>
                <c:rich>
                  <a:bodyPr/>
                  <a:lstStyle/>
                  <a:p>
                    <a:fld id="{8149231B-E78C-4F3E-8109-D28BF5F6BF8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5BF4-4F09-A8DE-1D719C5FFC53}"/>
                </c:ext>
              </c:extLst>
            </c:dLbl>
            <c:dLbl>
              <c:idx val="25"/>
              <c:layout/>
              <c:tx>
                <c:rich>
                  <a:bodyPr/>
                  <a:lstStyle/>
                  <a:p>
                    <a:fld id="{62DBF4DB-51F2-4701-A9A8-8CF26FA7281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5BF4-4F09-A8DE-1D719C5FFC53}"/>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[1]GS1!$C$3:$C$28</c:f>
              <c:numCache>
                <c:formatCode>General</c:formatCode>
                <c:ptCount val="26"/>
                <c:pt idx="0">
                  <c:v>-5.4422374684202114E-3</c:v>
                </c:pt>
                <c:pt idx="1">
                  <c:v>-3.0215220703380119E-3</c:v>
                </c:pt>
                <c:pt idx="2">
                  <c:v>-9.0966620639521007E-3</c:v>
                </c:pt>
                <c:pt idx="3">
                  <c:v>1.32630379368519E-2</c:v>
                </c:pt>
                <c:pt idx="4">
                  <c:v>-2.056334175303361E-2</c:v>
                </c:pt>
                <c:pt idx="5">
                  <c:v>-2.7057164020984528E-2</c:v>
                </c:pt>
                <c:pt idx="6">
                  <c:v>-1.1120160460654303E-2</c:v>
                </c:pt>
                <c:pt idx="7">
                  <c:v>8.6995085928744994E-3</c:v>
                </c:pt>
                <c:pt idx="8">
                  <c:v>5.7066627486250859E-3</c:v>
                </c:pt>
                <c:pt idx="9">
                  <c:v>-4.7389102541661732E-4</c:v>
                </c:pt>
                <c:pt idx="10">
                  <c:v>-2.4644079688574041E-2</c:v>
                </c:pt>
                <c:pt idx="11">
                  <c:v>-3.0667842882526147E-2</c:v>
                </c:pt>
                <c:pt idx="12">
                  <c:v>-1.8844832094944003E-2</c:v>
                </c:pt>
                <c:pt idx="13">
                  <c:v>-9.52784374359638E-3</c:v>
                </c:pt>
                <c:pt idx="14">
                  <c:v>-1.0831026057374498E-2</c:v>
                </c:pt>
                <c:pt idx="15">
                  <c:v>-1.9727141473113718E-3</c:v>
                </c:pt>
                <c:pt idx="16">
                  <c:v>-8.6104927296526482E-3</c:v>
                </c:pt>
                <c:pt idx="17">
                  <c:v>-1.0542596317695408E-2</c:v>
                </c:pt>
                <c:pt idx="18">
                  <c:v>-1.5763263949813505E-2</c:v>
                </c:pt>
                <c:pt idx="19">
                  <c:v>1.0357984350809896E-2</c:v>
                </c:pt>
                <c:pt idx="20">
                  <c:v>-7.0148463078581998E-3</c:v>
                </c:pt>
                <c:pt idx="21">
                  <c:v>-1.6862944753384109E-3</c:v>
                </c:pt>
                <c:pt idx="22">
                  <c:v>-5.0145675890315199E-3</c:v>
                </c:pt>
                <c:pt idx="23">
                  <c:v>-9.6585111957783205E-3</c:v>
                </c:pt>
                <c:pt idx="24">
                  <c:v>-3.2527498711902901E-3</c:v>
                </c:pt>
                <c:pt idx="25">
                  <c:v>-9.513589218873594E-3</c:v>
                </c:pt>
              </c:numCache>
            </c:numRef>
          </c:xVal>
          <c:yVal>
            <c:numRef>
              <c:f>[1]GS1!$B$3:$B$28</c:f>
              <c:numCache>
                <c:formatCode>General</c:formatCode>
                <c:ptCount val="26"/>
                <c:pt idx="0">
                  <c:v>-0.25306367037963623</c:v>
                </c:pt>
                <c:pt idx="1">
                  <c:v>-0.24606420639651999</c:v>
                </c:pt>
                <c:pt idx="2">
                  <c:v>1.9866357720988815E-2</c:v>
                </c:pt>
                <c:pt idx="3">
                  <c:v>0.24930193384274318</c:v>
                </c:pt>
                <c:pt idx="4">
                  <c:v>4.5531253468729875E-2</c:v>
                </c:pt>
                <c:pt idx="5">
                  <c:v>-0.35383211855140001</c:v>
                </c:pt>
                <c:pt idx="6">
                  <c:v>-7.5650479477380503E-2</c:v>
                </c:pt>
                <c:pt idx="7">
                  <c:v>0.21743010950123329</c:v>
                </c:pt>
                <c:pt idx="8">
                  <c:v>-7.0366519299128849E-2</c:v>
                </c:pt>
                <c:pt idx="9">
                  <c:v>3.7905380477966247E-3</c:v>
                </c:pt>
                <c:pt idx="10">
                  <c:v>4.5578193464280957E-2</c:v>
                </c:pt>
                <c:pt idx="11">
                  <c:v>-0.45135939012683801</c:v>
                </c:pt>
                <c:pt idx="12">
                  <c:v>3.8409652203423926E-2</c:v>
                </c:pt>
                <c:pt idx="13">
                  <c:v>0</c:v>
                </c:pt>
                <c:pt idx="14">
                  <c:v>-2.6219978145807319E-2</c:v>
                </c:pt>
                <c:pt idx="15">
                  <c:v>5.4757893953887374E-2</c:v>
                </c:pt>
                <c:pt idx="16">
                  <c:v>-9.3093632877118693E-2</c:v>
                </c:pt>
                <c:pt idx="17">
                  <c:v>1.9704327232349113E-2</c:v>
                </c:pt>
                <c:pt idx="18">
                  <c:v>0.31685580455989837</c:v>
                </c:pt>
                <c:pt idx="19">
                  <c:v>7.5041968966598196E-3</c:v>
                </c:pt>
                <c:pt idx="20">
                  <c:v>-0.11327008088656799</c:v>
                </c:pt>
                <c:pt idx="21">
                  <c:v>-0.12326183265067706</c:v>
                </c:pt>
                <c:pt idx="22">
                  <c:v>-4.6360443539269214E-2</c:v>
                </c:pt>
                <c:pt idx="23">
                  <c:v>0.11456201077241206</c:v>
                </c:pt>
                <c:pt idx="24">
                  <c:v>-2.0023396855191701E-2</c:v>
                </c:pt>
                <c:pt idx="25">
                  <c:v>0</c:v>
                </c:pt>
              </c:numCache>
            </c:numRef>
          </c:yVal>
          <c:smooth val="0"/>
          <c:extLst xmlns:c16r2="http://schemas.microsoft.com/office/drawing/2015/06/chart">
            <c:ext xmlns:c15="http://schemas.microsoft.com/office/drawing/2012/chart" uri="{02D57815-91ED-43cb-92C2-25804820EDAC}">
              <c15:datalabelsRange>
                <c15:f>'C:\Users\Moinul\Desktop\[IWR2017data_conv_fig12.xlsx]GDP2'!$A$3:$A$28</c15:f>
                <c15:dlblRangeCache>
                  <c:ptCount val="26"/>
                  <c:pt idx="0">
                    <c:v>AFG</c:v>
                  </c:pt>
                  <c:pt idx="1">
                    <c:v>BDI</c:v>
                  </c:pt>
                  <c:pt idx="2">
                    <c:v>BEN</c:v>
                  </c:pt>
                  <c:pt idx="3">
                    <c:v>BGD</c:v>
                  </c:pt>
                  <c:pt idx="4">
                    <c:v>CAF</c:v>
                  </c:pt>
                  <c:pt idx="5">
                    <c:v>COD</c:v>
                  </c:pt>
                  <c:pt idx="6">
                    <c:v>GMB</c:v>
                  </c:pt>
                  <c:pt idx="7">
                    <c:v>HTI</c:v>
                  </c:pt>
                  <c:pt idx="8">
                    <c:v>KEN</c:v>
                  </c:pt>
                  <c:pt idx="9">
                    <c:v>KGZ</c:v>
                  </c:pt>
                  <c:pt idx="10">
                    <c:v>KHM</c:v>
                  </c:pt>
                  <c:pt idx="11">
                    <c:v>LBR</c:v>
                  </c:pt>
                  <c:pt idx="12">
                    <c:v>MLI</c:v>
                  </c:pt>
                  <c:pt idx="13">
                    <c:v>MMR</c:v>
                  </c:pt>
                  <c:pt idx="14">
                    <c:v>MOZ</c:v>
                  </c:pt>
                  <c:pt idx="15">
                    <c:v>MRT</c:v>
                  </c:pt>
                  <c:pt idx="16">
                    <c:v>MWI</c:v>
                  </c:pt>
                  <c:pt idx="17">
                    <c:v>NER</c:v>
                  </c:pt>
                  <c:pt idx="18">
                    <c:v>NPL</c:v>
                  </c:pt>
                  <c:pt idx="19">
                    <c:v>RWA</c:v>
                  </c:pt>
                  <c:pt idx="20">
                    <c:v>SLE</c:v>
                  </c:pt>
                  <c:pt idx="21">
                    <c:v>TGO</c:v>
                  </c:pt>
                  <c:pt idx="22">
                    <c:v>TJK</c:v>
                  </c:pt>
                  <c:pt idx="23">
                    <c:v>TZA</c:v>
                  </c:pt>
                  <c:pt idx="24">
                    <c:v>UGA</c:v>
                  </c:pt>
                  <c:pt idx="25">
                    <c:v>ZWE</c:v>
                  </c:pt>
                </c15:dlblRangeCache>
              </c15:datalabelsRange>
            </c:ext>
            <c:ext xmlns:c16="http://schemas.microsoft.com/office/drawing/2014/chart" uri="{C3380CC4-5D6E-409C-BE32-E72D297353CC}">
              <c16:uniqueId val="{0000001A-5BF4-4F09-A8DE-1D719C5FFC53}"/>
            </c:ext>
          </c:extLst>
        </c:ser>
        <c:ser>
          <c:idx val="1"/>
          <c:order val="1"/>
          <c:tx>
            <c:v>Lower Middle Income</c:v>
          </c:tx>
          <c:spPr>
            <a:ln w="25400" cap="rnd">
              <a:noFill/>
              <a:round/>
            </a:ln>
            <a:effectLst/>
          </c:spPr>
          <c:marker>
            <c:symbol val="circle"/>
            <c:size val="5"/>
            <c:spPr>
              <a:solidFill>
                <a:schemeClr val="bg1">
                  <a:lumMod val="75000"/>
                </a:schemeClr>
              </a:solidFill>
              <a:ln w="9525">
                <a:solidFill>
                  <a:schemeClr val="bg1">
                    <a:lumMod val="75000"/>
                  </a:schemeClr>
                </a:solidFill>
              </a:ln>
              <a:effectLst/>
            </c:spPr>
          </c:marker>
          <c:dLbls>
            <c:dLbl>
              <c:idx val="0"/>
              <c:layout/>
              <c:tx>
                <c:rich>
                  <a:bodyPr/>
                  <a:lstStyle/>
                  <a:p>
                    <a:fld id="{23630B02-0B52-4B20-B668-677F93024E45}"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1B-5BF4-4F09-A8DE-1D719C5FFC53}"/>
                </c:ext>
              </c:extLst>
            </c:dLbl>
            <c:dLbl>
              <c:idx val="1"/>
              <c:layout/>
              <c:tx>
                <c:rich>
                  <a:bodyPr/>
                  <a:lstStyle/>
                  <a:p>
                    <a:fld id="{A394CE26-140D-48CA-9BA8-91FA81EA5BB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C-5BF4-4F09-A8DE-1D719C5FFC53}"/>
                </c:ext>
              </c:extLst>
            </c:dLbl>
            <c:dLbl>
              <c:idx val="2"/>
              <c:layout/>
              <c:tx>
                <c:rich>
                  <a:bodyPr/>
                  <a:lstStyle/>
                  <a:p>
                    <a:fld id="{9F464710-3846-45E0-A854-3F083570F94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D-5BF4-4F09-A8DE-1D719C5FFC53}"/>
                </c:ext>
              </c:extLst>
            </c:dLbl>
            <c:dLbl>
              <c:idx val="3"/>
              <c:layout/>
              <c:tx>
                <c:rich>
                  <a:bodyPr/>
                  <a:lstStyle/>
                  <a:p>
                    <a:fld id="{A6897F23-5A0E-44FF-B19A-9D158F2C56A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E-5BF4-4F09-A8DE-1D719C5FFC53}"/>
                </c:ext>
              </c:extLst>
            </c:dLbl>
            <c:dLbl>
              <c:idx val="4"/>
              <c:layout/>
              <c:tx>
                <c:rich>
                  <a:bodyPr/>
                  <a:lstStyle/>
                  <a:p>
                    <a:fld id="{77351B80-8BDF-42D5-9B40-B335EF3DE45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F-5BF4-4F09-A8DE-1D719C5FFC53}"/>
                </c:ext>
              </c:extLst>
            </c:dLbl>
            <c:dLbl>
              <c:idx val="5"/>
              <c:layout/>
              <c:tx>
                <c:rich>
                  <a:bodyPr/>
                  <a:lstStyle/>
                  <a:p>
                    <a:fld id="{ECAE74EE-1993-49A0-8F48-651ACF3F24D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0-5BF4-4F09-A8DE-1D719C5FFC53}"/>
                </c:ext>
              </c:extLst>
            </c:dLbl>
            <c:dLbl>
              <c:idx val="6"/>
              <c:layout/>
              <c:tx>
                <c:rich>
                  <a:bodyPr/>
                  <a:lstStyle/>
                  <a:p>
                    <a:fld id="{9F84E86B-E437-4443-BFBD-A91946F067F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1-5BF4-4F09-A8DE-1D719C5FFC53}"/>
                </c:ext>
              </c:extLst>
            </c:dLbl>
            <c:dLbl>
              <c:idx val="7"/>
              <c:layout/>
              <c:tx>
                <c:rich>
                  <a:bodyPr/>
                  <a:lstStyle/>
                  <a:p>
                    <a:fld id="{E4610D33-95B5-4717-BC7F-71792A24735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2-5BF4-4F09-A8DE-1D719C5FFC53}"/>
                </c:ext>
              </c:extLst>
            </c:dLbl>
            <c:dLbl>
              <c:idx val="8"/>
              <c:layout/>
              <c:tx>
                <c:rich>
                  <a:bodyPr/>
                  <a:lstStyle/>
                  <a:p>
                    <a:fld id="{3E256A1D-DAEE-4E5B-A3F6-01AEDBD6EF4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3-5BF4-4F09-A8DE-1D719C5FFC53}"/>
                </c:ext>
              </c:extLst>
            </c:dLbl>
            <c:dLbl>
              <c:idx val="9"/>
              <c:layout/>
              <c:tx>
                <c:rich>
                  <a:bodyPr/>
                  <a:lstStyle/>
                  <a:p>
                    <a:fld id="{ECE784D6-2BB9-4C06-9561-DFCFEA80255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4-5BF4-4F09-A8DE-1D719C5FFC53}"/>
                </c:ext>
              </c:extLst>
            </c:dLbl>
            <c:dLbl>
              <c:idx val="10"/>
              <c:layout/>
              <c:tx>
                <c:rich>
                  <a:bodyPr/>
                  <a:lstStyle/>
                  <a:p>
                    <a:fld id="{45CA49E0-9F20-499A-9655-61B7A74D590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5-5BF4-4F09-A8DE-1D719C5FFC53}"/>
                </c:ext>
              </c:extLst>
            </c:dLbl>
            <c:dLbl>
              <c:idx val="11"/>
              <c:layout/>
              <c:tx>
                <c:rich>
                  <a:bodyPr/>
                  <a:lstStyle/>
                  <a:p>
                    <a:fld id="{9911DD13-E328-4C45-A614-925317277DC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6-5BF4-4F09-A8DE-1D719C5FFC53}"/>
                </c:ext>
              </c:extLst>
            </c:dLbl>
            <c:dLbl>
              <c:idx val="12"/>
              <c:layout/>
              <c:tx>
                <c:rich>
                  <a:bodyPr/>
                  <a:lstStyle/>
                  <a:p>
                    <a:fld id="{1CC7EC3A-9DE0-4E6A-A1BA-5F767DCDD3B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7-5BF4-4F09-A8DE-1D719C5FFC53}"/>
                </c:ext>
              </c:extLst>
            </c:dLbl>
            <c:dLbl>
              <c:idx val="13"/>
              <c:layout/>
              <c:tx>
                <c:rich>
                  <a:bodyPr/>
                  <a:lstStyle/>
                  <a:p>
                    <a:fld id="{B6B37DCB-5654-41B2-A99F-F8331C74F36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8-5BF4-4F09-A8DE-1D719C5FFC53}"/>
                </c:ext>
              </c:extLst>
            </c:dLbl>
            <c:dLbl>
              <c:idx val="14"/>
              <c:layout/>
              <c:tx>
                <c:rich>
                  <a:bodyPr/>
                  <a:lstStyle/>
                  <a:p>
                    <a:fld id="{06FB1F51-44BF-4995-82AB-42C9532FFDF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9-5BF4-4F09-A8DE-1D719C5FFC53}"/>
                </c:ext>
              </c:extLst>
            </c:dLbl>
            <c:dLbl>
              <c:idx val="15"/>
              <c:layout/>
              <c:tx>
                <c:rich>
                  <a:bodyPr/>
                  <a:lstStyle/>
                  <a:p>
                    <a:fld id="{1386D156-A20C-43B4-81D0-EDB30E41498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A-5BF4-4F09-A8DE-1D719C5FFC53}"/>
                </c:ext>
              </c:extLst>
            </c:dLbl>
            <c:dLbl>
              <c:idx val="16"/>
              <c:layout/>
              <c:tx>
                <c:rich>
                  <a:bodyPr/>
                  <a:lstStyle/>
                  <a:p>
                    <a:fld id="{305AECC2-A436-429F-BEE5-F0CD8D13F9F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B-5BF4-4F09-A8DE-1D719C5FFC53}"/>
                </c:ext>
              </c:extLst>
            </c:dLbl>
            <c:dLbl>
              <c:idx val="17"/>
              <c:layout/>
              <c:tx>
                <c:rich>
                  <a:bodyPr/>
                  <a:lstStyle/>
                  <a:p>
                    <a:fld id="{BBBA6B86-D7A5-4B98-922C-087A0626A58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C-5BF4-4F09-A8DE-1D719C5FFC53}"/>
                </c:ext>
              </c:extLst>
            </c:dLbl>
            <c:dLbl>
              <c:idx val="18"/>
              <c:layout/>
              <c:tx>
                <c:rich>
                  <a:bodyPr/>
                  <a:lstStyle/>
                  <a:p>
                    <a:fld id="{2296CA29-F8D0-4158-BF80-7531549FBD1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D-5BF4-4F09-A8DE-1D719C5FFC53}"/>
                </c:ext>
              </c:extLst>
            </c:dLbl>
            <c:dLbl>
              <c:idx val="19"/>
              <c:layout/>
              <c:tx>
                <c:rich>
                  <a:bodyPr/>
                  <a:lstStyle/>
                  <a:p>
                    <a:fld id="{C9D504EC-BEFD-4DA1-89C0-BB0509EAB9E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E-5BF4-4F09-A8DE-1D719C5FFC53}"/>
                </c:ext>
              </c:extLst>
            </c:dLbl>
            <c:dLbl>
              <c:idx val="20"/>
              <c:layout/>
              <c:tx>
                <c:rich>
                  <a:bodyPr/>
                  <a:lstStyle/>
                  <a:p>
                    <a:fld id="{38B870EC-AAA4-4147-914E-79A1ECFA08F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2F-5BF4-4F09-A8DE-1D719C5FFC53}"/>
                </c:ext>
              </c:extLst>
            </c:dLbl>
            <c:dLbl>
              <c:idx val="21"/>
              <c:layout/>
              <c:tx>
                <c:rich>
                  <a:bodyPr/>
                  <a:lstStyle/>
                  <a:p>
                    <a:fld id="{6FF205AB-B99C-41BA-8A37-00DC4A346EB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0-5BF4-4F09-A8DE-1D719C5FFC53}"/>
                </c:ext>
              </c:extLst>
            </c:dLbl>
            <c:dLbl>
              <c:idx val="22"/>
              <c:layout/>
              <c:tx>
                <c:rich>
                  <a:bodyPr/>
                  <a:lstStyle/>
                  <a:p>
                    <a:fld id="{BC761CB5-66B9-4AE8-ACB4-64F03BB3794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1-5BF4-4F09-A8DE-1D719C5FFC53}"/>
                </c:ext>
              </c:extLst>
            </c:dLbl>
            <c:dLbl>
              <c:idx val="23"/>
              <c:layout/>
              <c:tx>
                <c:rich>
                  <a:bodyPr/>
                  <a:lstStyle/>
                  <a:p>
                    <a:fld id="{A9F43137-6F66-43B8-9CE3-8B8DF21AC46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2-5BF4-4F09-A8DE-1D719C5FFC53}"/>
                </c:ext>
              </c:extLst>
            </c:dLbl>
            <c:dLbl>
              <c:idx val="24"/>
              <c:layout/>
              <c:tx>
                <c:rich>
                  <a:bodyPr/>
                  <a:lstStyle/>
                  <a:p>
                    <a:fld id="{87D9DDF6-DFAB-43D0-981F-16AEAEE64E8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3-5BF4-4F09-A8DE-1D719C5FFC53}"/>
                </c:ext>
              </c:extLst>
            </c:dLbl>
            <c:dLbl>
              <c:idx val="25"/>
              <c:layout/>
              <c:tx>
                <c:rich>
                  <a:bodyPr/>
                  <a:lstStyle/>
                  <a:p>
                    <a:fld id="{8E1730DE-9EB4-4B8E-971A-E5F1462929B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4-5BF4-4F09-A8DE-1D719C5FFC53}"/>
                </c:ext>
              </c:extLst>
            </c:dLbl>
            <c:dLbl>
              <c:idx val="26"/>
              <c:layout/>
              <c:tx>
                <c:rich>
                  <a:bodyPr/>
                  <a:lstStyle/>
                  <a:p>
                    <a:fld id="{26CEF58C-D0E1-4053-8729-BD6FD8ACC03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5-5BF4-4F09-A8DE-1D719C5FFC53}"/>
                </c:ext>
              </c:extLst>
            </c:dLbl>
            <c:dLbl>
              <c:idx val="27"/>
              <c:layout/>
              <c:tx>
                <c:rich>
                  <a:bodyPr/>
                  <a:lstStyle/>
                  <a:p>
                    <a:fld id="{C52879DF-26B5-450B-AB29-F182F960D4D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6-5BF4-4F09-A8DE-1D719C5FFC53}"/>
                </c:ext>
              </c:extLst>
            </c:dLbl>
            <c:dLbl>
              <c:idx val="28"/>
              <c:layout/>
              <c:tx>
                <c:rich>
                  <a:bodyPr/>
                  <a:lstStyle/>
                  <a:p>
                    <a:fld id="{C176F449-6DF0-49F1-A375-6B595161FBF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7-5BF4-4F09-A8DE-1D719C5FFC53}"/>
                </c:ext>
              </c:extLst>
            </c:dLbl>
            <c:dLbl>
              <c:idx val="29"/>
              <c:layout/>
              <c:tx>
                <c:rich>
                  <a:bodyPr/>
                  <a:lstStyle/>
                  <a:p>
                    <a:fld id="{6639F76F-EC3A-4135-A127-9088C7BEBF4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8-5BF4-4F09-A8DE-1D719C5FFC53}"/>
                </c:ext>
              </c:extLst>
            </c:dLbl>
            <c:dLbl>
              <c:idx val="30"/>
              <c:layout/>
              <c:tx>
                <c:rich>
                  <a:bodyPr/>
                  <a:lstStyle/>
                  <a:p>
                    <a:fld id="{D1D23732-1AE6-4CF1-BC41-F6F316704E7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9-5BF4-4F09-A8DE-1D719C5FFC53}"/>
                </c:ext>
              </c:extLst>
            </c:dLbl>
            <c:dLbl>
              <c:idx val="31"/>
              <c:layout/>
              <c:tx>
                <c:rich>
                  <a:bodyPr/>
                  <a:lstStyle/>
                  <a:p>
                    <a:fld id="{C8655A6C-A35F-41E8-87EF-900F7890E13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A-5BF4-4F09-A8DE-1D719C5FFC53}"/>
                </c:ext>
              </c:extLst>
            </c:dLbl>
            <c:dLbl>
              <c:idx val="32"/>
              <c:layout/>
              <c:tx>
                <c:rich>
                  <a:bodyPr/>
                  <a:lstStyle/>
                  <a:p>
                    <a:fld id="{4547C1FA-D99A-4B20-B9D3-CAA730FD03F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B-5BF4-4F09-A8DE-1D719C5FFC53}"/>
                </c:ext>
              </c:extLst>
            </c:dLbl>
            <c:dLbl>
              <c:idx val="33"/>
              <c:layout/>
              <c:tx>
                <c:rich>
                  <a:bodyPr/>
                  <a:lstStyle/>
                  <a:p>
                    <a:fld id="{8FEADC5C-8FD7-4807-B624-3E674575409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C-5BF4-4F09-A8DE-1D719C5FFC53}"/>
                </c:ext>
              </c:extLst>
            </c:dLbl>
            <c:dLbl>
              <c:idx val="34"/>
              <c:layout/>
              <c:tx>
                <c:rich>
                  <a:bodyPr/>
                  <a:lstStyle/>
                  <a:p>
                    <a:fld id="{A68FBA1B-B36D-4621-85D7-05B677E49AE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D-5BF4-4F09-A8DE-1D719C5FFC53}"/>
                </c:ext>
              </c:extLst>
            </c:dLbl>
            <c:dLbl>
              <c:idx val="35"/>
              <c:layout/>
              <c:tx>
                <c:rich>
                  <a:bodyPr/>
                  <a:lstStyle/>
                  <a:p>
                    <a:fld id="{718C7EDD-4DC6-4100-B223-33BAE83F2EF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E-5BF4-4F09-A8DE-1D719C5FFC53}"/>
                </c:ext>
              </c:extLst>
            </c:dLbl>
            <c:dLbl>
              <c:idx val="36"/>
              <c:layout/>
              <c:tx>
                <c:rich>
                  <a:bodyPr/>
                  <a:lstStyle/>
                  <a:p>
                    <a:fld id="{1D0011F5-D3CE-490B-B5EB-A832C8BD4D2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3F-5BF4-4F09-A8DE-1D719C5FFC53}"/>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[1]GS1!$G$3:$G$39</c:f>
              <c:numCache>
                <c:formatCode>General</c:formatCode>
                <c:ptCount val="37"/>
                <c:pt idx="0">
                  <c:v>1.534226138535221E-2</c:v>
                </c:pt>
                <c:pt idx="1">
                  <c:v>1.371996012122139E-2</c:v>
                </c:pt>
                <c:pt idx="2">
                  <c:v>-1.9747168408500913E-2</c:v>
                </c:pt>
                <c:pt idx="3">
                  <c:v>-1.7590080967183602E-2</c:v>
                </c:pt>
                <c:pt idx="4">
                  <c:v>2.0748136768688999E-3</c:v>
                </c:pt>
                <c:pt idx="5">
                  <c:v>-2.831674124063488E-2</c:v>
                </c:pt>
                <c:pt idx="6">
                  <c:v>-1.9853955621779707E-2</c:v>
                </c:pt>
                <c:pt idx="7">
                  <c:v>6.6279542564666649E-3</c:v>
                </c:pt>
                <c:pt idx="8">
                  <c:v>1.0230361728627201E-2</c:v>
                </c:pt>
                <c:pt idx="9">
                  <c:v>-2.81442848889979E-4</c:v>
                </c:pt>
                <c:pt idx="10">
                  <c:v>-7.0613014188292144E-4</c:v>
                </c:pt>
                <c:pt idx="11">
                  <c:v>3.8920610536832302E-3</c:v>
                </c:pt>
                <c:pt idx="12">
                  <c:v>-6.3608972561077764E-3</c:v>
                </c:pt>
                <c:pt idx="13">
                  <c:v>-4.7903784524994136E-4</c:v>
                </c:pt>
                <c:pt idx="14">
                  <c:v>9.2830236342462766E-3</c:v>
                </c:pt>
                <c:pt idx="15">
                  <c:v>-2.5147161429185924E-2</c:v>
                </c:pt>
                <c:pt idx="16">
                  <c:v>-1.1842856815097412E-2</c:v>
                </c:pt>
                <c:pt idx="17">
                  <c:v>1.0535327194022301E-2</c:v>
                </c:pt>
                <c:pt idx="18">
                  <c:v>1.9125302691904301E-2</c:v>
                </c:pt>
                <c:pt idx="19">
                  <c:v>1.0977162103789299E-2</c:v>
                </c:pt>
                <c:pt idx="20">
                  <c:v>-1.28659118238391E-2</c:v>
                </c:pt>
                <c:pt idx="21">
                  <c:v>-1.0731562686111501E-2</c:v>
                </c:pt>
                <c:pt idx="22">
                  <c:v>-1.9320841651512922E-2</c:v>
                </c:pt>
                <c:pt idx="23">
                  <c:v>-1.23420691691944E-3</c:v>
                </c:pt>
                <c:pt idx="24">
                  <c:v>-1.3342383180992901E-2</c:v>
                </c:pt>
                <c:pt idx="25">
                  <c:v>7.0208438119356833E-3</c:v>
                </c:pt>
                <c:pt idx="26">
                  <c:v>-1.3763388393520513E-2</c:v>
                </c:pt>
                <c:pt idx="27">
                  <c:v>-6.3055955314013099E-3</c:v>
                </c:pt>
                <c:pt idx="28">
                  <c:v>-3.0503179520507729E-2</c:v>
                </c:pt>
                <c:pt idx="29">
                  <c:v>-9.7713128250999093E-3</c:v>
                </c:pt>
                <c:pt idx="30">
                  <c:v>1.3218304716903701E-2</c:v>
                </c:pt>
                <c:pt idx="31">
                  <c:v>1.50646147819389E-2</c:v>
                </c:pt>
                <c:pt idx="32">
                  <c:v>2.4804195078329547E-3</c:v>
                </c:pt>
                <c:pt idx="33">
                  <c:v>5.8847306264346901E-3</c:v>
                </c:pt>
                <c:pt idx="34">
                  <c:v>8.7323363387499485E-3</c:v>
                </c:pt>
                <c:pt idx="35">
                  <c:v>1.7141788416994408E-3</c:v>
                </c:pt>
                <c:pt idx="36">
                  <c:v>-1.9456911973979599E-2</c:v>
                </c:pt>
              </c:numCache>
            </c:numRef>
          </c:xVal>
          <c:yVal>
            <c:numRef>
              <c:f>[1]GS1!$F$3:$F$39</c:f>
              <c:numCache>
                <c:formatCode>General</c:formatCode>
                <c:ptCount val="37"/>
                <c:pt idx="0">
                  <c:v>0.14224304301251312</c:v>
                </c:pt>
                <c:pt idx="1">
                  <c:v>9.9859298255005668E-2</c:v>
                </c:pt>
                <c:pt idx="2">
                  <c:v>3.2486333160810628E-2</c:v>
                </c:pt>
                <c:pt idx="3">
                  <c:v>0.10130631489605495</c:v>
                </c:pt>
                <c:pt idx="4">
                  <c:v>0.15709099548876518</c:v>
                </c:pt>
                <c:pt idx="5">
                  <c:v>3.3418802586661829E-3</c:v>
                </c:pt>
                <c:pt idx="6">
                  <c:v>-0.301292858303226</c:v>
                </c:pt>
                <c:pt idx="7">
                  <c:v>8.7154017149760205E-2</c:v>
                </c:pt>
                <c:pt idx="8">
                  <c:v>6.8670101100936007E-2</c:v>
                </c:pt>
                <c:pt idx="9">
                  <c:v>-1.9480497983708316E-2</c:v>
                </c:pt>
                <c:pt idx="10">
                  <c:v>3.0377729590564718E-2</c:v>
                </c:pt>
                <c:pt idx="11">
                  <c:v>4.7791675911943075E-2</c:v>
                </c:pt>
                <c:pt idx="12">
                  <c:v>0.192712347968759</c:v>
                </c:pt>
                <c:pt idx="13">
                  <c:v>0.24745884649655811</c:v>
                </c:pt>
                <c:pt idx="14">
                  <c:v>0.2298057683466519</c:v>
                </c:pt>
                <c:pt idx="15">
                  <c:v>6.9164644697383509E-2</c:v>
                </c:pt>
                <c:pt idx="16">
                  <c:v>-8.5549770536119896E-2</c:v>
                </c:pt>
                <c:pt idx="17">
                  <c:v>0.23942788346588112</c:v>
                </c:pt>
                <c:pt idx="18">
                  <c:v>0</c:v>
                </c:pt>
                <c:pt idx="19">
                  <c:v>0.24582650149626412</c:v>
                </c:pt>
                <c:pt idx="20">
                  <c:v>0.11928292967808306</c:v>
                </c:pt>
                <c:pt idx="21">
                  <c:v>6.4812831589407954E-2</c:v>
                </c:pt>
                <c:pt idx="22">
                  <c:v>6.6850253067008397E-2</c:v>
                </c:pt>
                <c:pt idx="23">
                  <c:v>7.2091957328060993E-2</c:v>
                </c:pt>
                <c:pt idx="24">
                  <c:v>0.13818186704554286</c:v>
                </c:pt>
                <c:pt idx="25">
                  <c:v>0.30872109145436821</c:v>
                </c:pt>
                <c:pt idx="26">
                  <c:v>4.1671116802454743E-2</c:v>
                </c:pt>
                <c:pt idx="27">
                  <c:v>9.830878980466369E-2</c:v>
                </c:pt>
                <c:pt idx="28">
                  <c:v>-0.29182651659995751</c:v>
                </c:pt>
                <c:pt idx="29">
                  <c:v>6.1758661297821135E-2</c:v>
                </c:pt>
                <c:pt idx="30">
                  <c:v>8.6592109709651297E-2</c:v>
                </c:pt>
                <c:pt idx="31">
                  <c:v>6.6647388503494651E-2</c:v>
                </c:pt>
                <c:pt idx="32">
                  <c:v>-3.1190190590593718E-3</c:v>
                </c:pt>
                <c:pt idx="33">
                  <c:v>-3.8568306299154899E-3</c:v>
                </c:pt>
                <c:pt idx="34">
                  <c:v>0.26182142269103975</c:v>
                </c:pt>
                <c:pt idx="35">
                  <c:v>-0.17274914875937025</c:v>
                </c:pt>
                <c:pt idx="36">
                  <c:v>0.20322688931099511</c:v>
                </c:pt>
              </c:numCache>
            </c:numRef>
          </c:yVal>
          <c:smooth val="0"/>
          <c:extLst xmlns:c16r2="http://schemas.microsoft.com/office/drawing/2015/06/chart">
            <c:ext xmlns:c15="http://schemas.microsoft.com/office/drawing/2012/chart" uri="{02D57815-91ED-43cb-92C2-25804820EDAC}">
              <c15:datalabelsRange>
                <c15:f>'C:\Users\Moinul\Desktop\[IWR2017data_conv_fig12.xlsx]GDP1'!$E$3:$E$39</c15:f>
                <c15:dlblRangeCache>
                  <c:ptCount val="37"/>
                  <c:pt idx="0">
                    <c:v>ALB</c:v>
                  </c:pt>
                  <c:pt idx="1">
                    <c:v>ARM</c:v>
                  </c:pt>
                  <c:pt idx="2">
                    <c:v>BLZ</c:v>
                  </c:pt>
                  <c:pt idx="3">
                    <c:v>BOL</c:v>
                  </c:pt>
                  <c:pt idx="4">
                    <c:v>CIV</c:v>
                  </c:pt>
                  <c:pt idx="5">
                    <c:v>CMR</c:v>
                  </c:pt>
                  <c:pt idx="6">
                    <c:v>COG</c:v>
                  </c:pt>
                  <c:pt idx="7">
                    <c:v>EGY</c:v>
                  </c:pt>
                  <c:pt idx="8">
                    <c:v>FJI</c:v>
                  </c:pt>
                  <c:pt idx="9">
                    <c:v>GHA</c:v>
                  </c:pt>
                  <c:pt idx="10">
                    <c:v>GTM</c:v>
                  </c:pt>
                  <c:pt idx="11">
                    <c:v>GUY</c:v>
                  </c:pt>
                  <c:pt idx="12">
                    <c:v>HND</c:v>
                  </c:pt>
                  <c:pt idx="13">
                    <c:v>IDN</c:v>
                  </c:pt>
                  <c:pt idx="14">
                    <c:v>IND</c:v>
                  </c:pt>
                  <c:pt idx="15">
                    <c:v>IRQ</c:v>
                  </c:pt>
                  <c:pt idx="16">
                    <c:v>LAO</c:v>
                  </c:pt>
                  <c:pt idx="17">
                    <c:v>LKA</c:v>
                  </c:pt>
                  <c:pt idx="18">
                    <c:v>LSO</c:v>
                  </c:pt>
                  <c:pt idx="19">
                    <c:v>MAR</c:v>
                  </c:pt>
                  <c:pt idx="20">
                    <c:v>MDA</c:v>
                  </c:pt>
                  <c:pt idx="21">
                    <c:v>MNG</c:v>
                  </c:pt>
                  <c:pt idx="22">
                    <c:v>NGA</c:v>
                  </c:pt>
                  <c:pt idx="23">
                    <c:v>NIC</c:v>
                  </c:pt>
                  <c:pt idx="24">
                    <c:v>PAK</c:v>
                  </c:pt>
                  <c:pt idx="25">
                    <c:v>PHL</c:v>
                  </c:pt>
                  <c:pt idx="26">
                    <c:v>PNG</c:v>
                  </c:pt>
                  <c:pt idx="27">
                    <c:v>PRY</c:v>
                  </c:pt>
                  <c:pt idx="28">
                    <c:v>SDN</c:v>
                  </c:pt>
                  <c:pt idx="29">
                    <c:v>SEN</c:v>
                  </c:pt>
                  <c:pt idx="30">
                    <c:v>SLV</c:v>
                  </c:pt>
                  <c:pt idx="31">
                    <c:v>SWZ</c:v>
                  </c:pt>
                  <c:pt idx="32">
                    <c:v>SYR</c:v>
                  </c:pt>
                  <c:pt idx="33">
                    <c:v>UKR</c:v>
                  </c:pt>
                  <c:pt idx="34">
                    <c:v>VNM</c:v>
                  </c:pt>
                  <c:pt idx="35">
                    <c:v>YEM</c:v>
                  </c:pt>
                  <c:pt idx="36">
                    <c:v>ZMB</c:v>
                  </c:pt>
                </c15:dlblRangeCache>
              </c15:datalabelsRange>
            </c:ext>
            <c:ext xmlns:c16="http://schemas.microsoft.com/office/drawing/2014/chart" uri="{C3380CC4-5D6E-409C-BE32-E72D297353CC}">
              <c16:uniqueId val="{00000040-5BF4-4F09-A8DE-1D719C5FFC53}"/>
            </c:ext>
          </c:extLst>
        </c:ser>
        <c:ser>
          <c:idx val="2"/>
          <c:order val="2"/>
          <c:tx>
            <c:v>Upper Middle Income</c:v>
          </c:tx>
          <c:spPr>
            <a:ln w="25400" cap="rnd">
              <a:noFill/>
              <a:round/>
            </a:ln>
            <a:effectLst/>
          </c:spPr>
          <c:marker>
            <c:symbol val="circle"/>
            <c:size val="5"/>
            <c:spPr>
              <a:solidFill>
                <a:schemeClr val="accent6">
                  <a:lumMod val="75000"/>
                </a:schemeClr>
              </a:solidFill>
              <a:ln w="9525">
                <a:solidFill>
                  <a:schemeClr val="accent6">
                    <a:lumMod val="75000"/>
                  </a:schemeClr>
                </a:solidFill>
              </a:ln>
              <a:effectLst/>
            </c:spPr>
          </c:marker>
          <c:dLbls>
            <c:dLbl>
              <c:idx val="0"/>
              <c:layout/>
              <c:tx>
                <c:rich>
                  <a:bodyPr/>
                  <a:lstStyle/>
                  <a:p>
                    <a:fld id="{5F7B995B-F92E-40EA-BC92-FB12EF310498}"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41-5BF4-4F09-A8DE-1D719C5FFC53}"/>
                </c:ext>
              </c:extLst>
            </c:dLbl>
            <c:dLbl>
              <c:idx val="1"/>
              <c:layout/>
              <c:tx>
                <c:rich>
                  <a:bodyPr/>
                  <a:lstStyle/>
                  <a:p>
                    <a:fld id="{C75256B0-843C-4E1A-8B99-F516A5A4FEC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2-5BF4-4F09-A8DE-1D719C5FFC53}"/>
                </c:ext>
              </c:extLst>
            </c:dLbl>
            <c:dLbl>
              <c:idx val="2"/>
              <c:layout/>
              <c:tx>
                <c:rich>
                  <a:bodyPr/>
                  <a:lstStyle/>
                  <a:p>
                    <a:fld id="{B3FE85DB-478F-4F2D-9E6E-DB1ABE9F664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3-5BF4-4F09-A8DE-1D719C5FFC53}"/>
                </c:ext>
              </c:extLst>
            </c:dLbl>
            <c:dLbl>
              <c:idx val="3"/>
              <c:layout/>
              <c:tx>
                <c:rich>
                  <a:bodyPr/>
                  <a:lstStyle/>
                  <a:p>
                    <a:fld id="{3D514C13-79BF-4CD0-B33F-29C4C2373EF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4-5BF4-4F09-A8DE-1D719C5FFC53}"/>
                </c:ext>
              </c:extLst>
            </c:dLbl>
            <c:dLbl>
              <c:idx val="4"/>
              <c:layout/>
              <c:tx>
                <c:rich>
                  <a:bodyPr/>
                  <a:lstStyle/>
                  <a:p>
                    <a:fld id="{63E64E1D-36AB-4A36-8436-E551AD4B3D5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5-5BF4-4F09-A8DE-1D719C5FFC53}"/>
                </c:ext>
              </c:extLst>
            </c:dLbl>
            <c:dLbl>
              <c:idx val="5"/>
              <c:layout/>
              <c:tx>
                <c:rich>
                  <a:bodyPr/>
                  <a:lstStyle/>
                  <a:p>
                    <a:fld id="{E9DC7C5B-FBF1-4E1F-8EB5-7704843111B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6-5BF4-4F09-A8DE-1D719C5FFC53}"/>
                </c:ext>
              </c:extLst>
            </c:dLbl>
            <c:dLbl>
              <c:idx val="6"/>
              <c:layout/>
              <c:tx>
                <c:rich>
                  <a:bodyPr/>
                  <a:lstStyle/>
                  <a:p>
                    <a:fld id="{8F0B8D9E-51FD-4E02-B2BE-C54FAA12F37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7-5BF4-4F09-A8DE-1D719C5FFC53}"/>
                </c:ext>
              </c:extLst>
            </c:dLbl>
            <c:dLbl>
              <c:idx val="7"/>
              <c:layout/>
              <c:tx>
                <c:rich>
                  <a:bodyPr/>
                  <a:lstStyle/>
                  <a:p>
                    <a:fld id="{F831335C-5BEB-4E1E-99F5-E3368791A09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8-5BF4-4F09-A8DE-1D719C5FFC53}"/>
                </c:ext>
              </c:extLst>
            </c:dLbl>
            <c:dLbl>
              <c:idx val="8"/>
              <c:layout/>
              <c:tx>
                <c:rich>
                  <a:bodyPr/>
                  <a:lstStyle/>
                  <a:p>
                    <a:fld id="{776B2CBC-6482-4873-9880-490D7C6FF51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9-5BF4-4F09-A8DE-1D719C5FFC53}"/>
                </c:ext>
              </c:extLst>
            </c:dLbl>
            <c:dLbl>
              <c:idx val="9"/>
              <c:layout/>
              <c:tx>
                <c:rich>
                  <a:bodyPr/>
                  <a:lstStyle/>
                  <a:p>
                    <a:fld id="{407DB573-72A2-4600-87FD-C1724C84158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A-5BF4-4F09-A8DE-1D719C5FFC53}"/>
                </c:ext>
              </c:extLst>
            </c:dLbl>
            <c:dLbl>
              <c:idx val="10"/>
              <c:layout/>
              <c:tx>
                <c:rich>
                  <a:bodyPr/>
                  <a:lstStyle/>
                  <a:p>
                    <a:fld id="{AABABE63-9BCF-48FE-911A-BCC95CEA98D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B-5BF4-4F09-A8DE-1D719C5FFC53}"/>
                </c:ext>
              </c:extLst>
            </c:dLbl>
            <c:dLbl>
              <c:idx val="11"/>
              <c:layout/>
              <c:tx>
                <c:rich>
                  <a:bodyPr/>
                  <a:lstStyle/>
                  <a:p>
                    <a:fld id="{6869F653-C9A5-45AC-9DAA-B4B11DABDE5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C-5BF4-4F09-A8DE-1D719C5FFC53}"/>
                </c:ext>
              </c:extLst>
            </c:dLbl>
            <c:dLbl>
              <c:idx val="12"/>
              <c:layout/>
              <c:tx>
                <c:rich>
                  <a:bodyPr/>
                  <a:lstStyle/>
                  <a:p>
                    <a:fld id="{FE14BEE9-79FF-4CF0-9A74-BE76ABDEDD6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D-5BF4-4F09-A8DE-1D719C5FFC53}"/>
                </c:ext>
              </c:extLst>
            </c:dLbl>
            <c:dLbl>
              <c:idx val="13"/>
              <c:layout/>
              <c:tx>
                <c:rich>
                  <a:bodyPr/>
                  <a:lstStyle/>
                  <a:p>
                    <a:fld id="{1772A0EA-9D23-4645-A67C-977D55CC6EC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E-5BF4-4F09-A8DE-1D719C5FFC53}"/>
                </c:ext>
              </c:extLst>
            </c:dLbl>
            <c:dLbl>
              <c:idx val="14"/>
              <c:layout/>
              <c:tx>
                <c:rich>
                  <a:bodyPr/>
                  <a:lstStyle/>
                  <a:p>
                    <a:fld id="{56F283B0-28FD-4C05-9724-21E81F3D8E7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4F-5BF4-4F09-A8DE-1D719C5FFC53}"/>
                </c:ext>
              </c:extLst>
            </c:dLbl>
            <c:dLbl>
              <c:idx val="15"/>
              <c:layout/>
              <c:tx>
                <c:rich>
                  <a:bodyPr/>
                  <a:lstStyle/>
                  <a:p>
                    <a:fld id="{41365677-DF92-4839-9BA1-AB65419061B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0-5BF4-4F09-A8DE-1D719C5FFC53}"/>
                </c:ext>
              </c:extLst>
            </c:dLbl>
            <c:dLbl>
              <c:idx val="16"/>
              <c:layout/>
              <c:tx>
                <c:rich>
                  <a:bodyPr/>
                  <a:lstStyle/>
                  <a:p>
                    <a:fld id="{FAAD1C24-E8C7-4043-8A78-32079769772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1-5BF4-4F09-A8DE-1D719C5FFC53}"/>
                </c:ext>
              </c:extLst>
            </c:dLbl>
            <c:dLbl>
              <c:idx val="17"/>
              <c:layout/>
              <c:tx>
                <c:rich>
                  <a:bodyPr/>
                  <a:lstStyle/>
                  <a:p>
                    <a:fld id="{29B2AFBA-BB70-4AFF-BDC3-341867995F6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2-5BF4-4F09-A8DE-1D719C5FFC53}"/>
                </c:ext>
              </c:extLst>
            </c:dLbl>
            <c:dLbl>
              <c:idx val="18"/>
              <c:layout/>
              <c:tx>
                <c:rich>
                  <a:bodyPr/>
                  <a:lstStyle/>
                  <a:p>
                    <a:fld id="{BE160F36-C765-424C-8B7D-B41979FF5B2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3-5BF4-4F09-A8DE-1D719C5FFC53}"/>
                </c:ext>
              </c:extLst>
            </c:dLbl>
            <c:dLbl>
              <c:idx val="19"/>
              <c:layout/>
              <c:tx>
                <c:rich>
                  <a:bodyPr/>
                  <a:lstStyle/>
                  <a:p>
                    <a:fld id="{24F2096E-54F8-44CF-A909-FF83D48A253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4-5BF4-4F09-A8DE-1D719C5FFC53}"/>
                </c:ext>
              </c:extLst>
            </c:dLbl>
            <c:dLbl>
              <c:idx val="20"/>
              <c:layout/>
              <c:tx>
                <c:rich>
                  <a:bodyPr/>
                  <a:lstStyle/>
                  <a:p>
                    <a:fld id="{20E6F2A9-BEBA-4AFB-8F61-7C8EA5DD3F1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5-5BF4-4F09-A8DE-1D719C5FFC53}"/>
                </c:ext>
              </c:extLst>
            </c:dLbl>
            <c:dLbl>
              <c:idx val="21"/>
              <c:layout/>
              <c:tx>
                <c:rich>
                  <a:bodyPr/>
                  <a:lstStyle/>
                  <a:p>
                    <a:fld id="{0D03E1E9-2D2E-4988-8DB8-CCB602797E5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6-5BF4-4F09-A8DE-1D719C5FFC53}"/>
                </c:ext>
              </c:extLst>
            </c:dLbl>
            <c:dLbl>
              <c:idx val="22"/>
              <c:layout/>
              <c:tx>
                <c:rich>
                  <a:bodyPr/>
                  <a:lstStyle/>
                  <a:p>
                    <a:fld id="{2D3FB991-21D6-4BEE-9F7C-696AFF97B22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7-5BF4-4F09-A8DE-1D719C5FFC53}"/>
                </c:ext>
              </c:extLst>
            </c:dLbl>
            <c:dLbl>
              <c:idx val="23"/>
              <c:layout/>
              <c:tx>
                <c:rich>
                  <a:bodyPr/>
                  <a:lstStyle/>
                  <a:p>
                    <a:fld id="{D5BEC717-066E-4EAC-9DAB-E9810F599C5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8-5BF4-4F09-A8DE-1D719C5FFC53}"/>
                </c:ext>
              </c:extLst>
            </c:dLbl>
            <c:dLbl>
              <c:idx val="24"/>
              <c:layout/>
              <c:tx>
                <c:rich>
                  <a:bodyPr/>
                  <a:lstStyle/>
                  <a:p>
                    <a:fld id="{87BF0E6F-5716-4E88-8113-0E12B8BAEDF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9-5BF4-4F09-A8DE-1D719C5FFC53}"/>
                </c:ext>
              </c:extLst>
            </c:dLbl>
            <c:dLbl>
              <c:idx val="25"/>
              <c:layout/>
              <c:tx>
                <c:rich>
                  <a:bodyPr/>
                  <a:lstStyle/>
                  <a:p>
                    <a:fld id="{5CA2979C-1562-462A-A5E6-55BA8DF1664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A-5BF4-4F09-A8DE-1D719C5FFC53}"/>
                </c:ext>
              </c:extLst>
            </c:dLbl>
            <c:dLbl>
              <c:idx val="26"/>
              <c:layout/>
              <c:tx>
                <c:rich>
                  <a:bodyPr/>
                  <a:lstStyle/>
                  <a:p>
                    <a:fld id="{000A17E9-6D9E-453C-9BC3-449AD4B97C3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B-5BF4-4F09-A8DE-1D719C5FFC53}"/>
                </c:ext>
              </c:extLst>
            </c:dLbl>
            <c:dLbl>
              <c:idx val="27"/>
              <c:layout/>
              <c:tx>
                <c:rich>
                  <a:bodyPr/>
                  <a:lstStyle/>
                  <a:p>
                    <a:fld id="{A12E8E0B-7FD4-4A2D-9120-B9934F508FE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C-5BF4-4F09-A8DE-1D719C5FFC53}"/>
                </c:ext>
              </c:extLst>
            </c:dLbl>
            <c:dLbl>
              <c:idx val="28"/>
              <c:layout/>
              <c:tx>
                <c:rich>
                  <a:bodyPr/>
                  <a:lstStyle/>
                  <a:p>
                    <a:fld id="{4645D283-8C8F-4EEC-8CFA-5E97C88A1E4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D-5BF4-4F09-A8DE-1D719C5FFC53}"/>
                </c:ext>
              </c:extLst>
            </c:dLbl>
            <c:dLbl>
              <c:idx val="29"/>
              <c:layout/>
              <c:tx>
                <c:rich>
                  <a:bodyPr/>
                  <a:lstStyle/>
                  <a:p>
                    <a:fld id="{3B81F424-13CE-4E8A-A37D-1130FBC8C9F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E-5BF4-4F09-A8DE-1D719C5FFC53}"/>
                </c:ext>
              </c:extLst>
            </c:dLbl>
            <c:dLbl>
              <c:idx val="30"/>
              <c:layout/>
              <c:tx>
                <c:rich>
                  <a:bodyPr/>
                  <a:lstStyle/>
                  <a:p>
                    <a:fld id="{03059B13-E376-4252-8353-E09159EF298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5F-5BF4-4F09-A8DE-1D719C5FFC53}"/>
                </c:ext>
              </c:extLst>
            </c:dLbl>
            <c:dLbl>
              <c:idx val="31"/>
              <c:layout/>
              <c:tx>
                <c:rich>
                  <a:bodyPr/>
                  <a:lstStyle/>
                  <a:p>
                    <a:fld id="{B47788F9-E093-441E-A6D8-1763AB98011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0-5BF4-4F09-A8DE-1D719C5FFC53}"/>
                </c:ext>
              </c:extLst>
            </c:dLbl>
            <c:dLbl>
              <c:idx val="32"/>
              <c:layout/>
              <c:tx>
                <c:rich>
                  <a:bodyPr/>
                  <a:lstStyle/>
                  <a:p>
                    <a:fld id="{2AB3937C-29FF-408C-B9A8-D9B30522427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1-5BF4-4F09-A8DE-1D719C5FFC53}"/>
                </c:ext>
              </c:extLst>
            </c:dLbl>
            <c:dLbl>
              <c:idx val="33"/>
              <c:layout/>
              <c:tx>
                <c:rich>
                  <a:bodyPr/>
                  <a:lstStyle/>
                  <a:p>
                    <a:fld id="{FE0E4B2A-9359-47E4-B12E-3C15A0BF38B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2-5BF4-4F09-A8DE-1D719C5FFC53}"/>
                </c:ext>
              </c:extLst>
            </c:dLbl>
            <c:dLbl>
              <c:idx val="34"/>
              <c:layout/>
              <c:tx>
                <c:rich>
                  <a:bodyPr/>
                  <a:lstStyle/>
                  <a:p>
                    <a:fld id="{A3B9CD85-CE2A-46BA-8563-E771CBCEB88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3-5BF4-4F09-A8DE-1D719C5FFC53}"/>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[1]GS1!$K$3:$K$37</c:f>
              <c:numCache>
                <c:formatCode>General</c:formatCode>
                <c:ptCount val="35"/>
                <c:pt idx="0">
                  <c:v>3.7277383381690834E-3</c:v>
                </c:pt>
                <c:pt idx="1">
                  <c:v>1.0873664292038008E-2</c:v>
                </c:pt>
                <c:pt idx="2">
                  <c:v>-1.4661890299549912E-4</c:v>
                </c:pt>
                <c:pt idx="3">
                  <c:v>1.1896723982158801E-3</c:v>
                </c:pt>
                <c:pt idx="4">
                  <c:v>9.7522690427922568E-3</c:v>
                </c:pt>
                <c:pt idx="5">
                  <c:v>1.84856499569661E-2</c:v>
                </c:pt>
                <c:pt idx="6">
                  <c:v>-1.2133306259287701E-3</c:v>
                </c:pt>
                <c:pt idx="7">
                  <c:v>1.2022037907804199E-2</c:v>
                </c:pt>
                <c:pt idx="8">
                  <c:v>5.6996203197985434E-3</c:v>
                </c:pt>
                <c:pt idx="9">
                  <c:v>1.1590492165288501E-2</c:v>
                </c:pt>
                <c:pt idx="10">
                  <c:v>4.0593864621822923E-3</c:v>
                </c:pt>
                <c:pt idx="11">
                  <c:v>-3.7514634200300802E-3</c:v>
                </c:pt>
                <c:pt idx="12">
                  <c:v>-2.2038355522866437E-2</c:v>
                </c:pt>
                <c:pt idx="13">
                  <c:v>-6.1017352910626241E-3</c:v>
                </c:pt>
                <c:pt idx="14">
                  <c:v>9.9628354615573077E-3</c:v>
                </c:pt>
                <c:pt idx="15">
                  <c:v>1.2909164419284009E-2</c:v>
                </c:pt>
                <c:pt idx="16">
                  <c:v>2.7444943482111154E-3</c:v>
                </c:pt>
                <c:pt idx="17">
                  <c:v>1.5814853083319105E-2</c:v>
                </c:pt>
                <c:pt idx="18">
                  <c:v>1.6997773119139113E-2</c:v>
                </c:pt>
                <c:pt idx="19">
                  <c:v>1.1842438202266617E-2</c:v>
                </c:pt>
                <c:pt idx="20">
                  <c:v>8.8430143551803224E-3</c:v>
                </c:pt>
                <c:pt idx="21">
                  <c:v>2.1075946082861841E-2</c:v>
                </c:pt>
                <c:pt idx="22">
                  <c:v>7.5717629638125819E-3</c:v>
                </c:pt>
                <c:pt idx="23">
                  <c:v>6.6251706862063796E-3</c:v>
                </c:pt>
                <c:pt idx="24">
                  <c:v>1.14961561593361E-2</c:v>
                </c:pt>
                <c:pt idx="25">
                  <c:v>-4.926562155386234E-3</c:v>
                </c:pt>
                <c:pt idx="26">
                  <c:v>1.31330158037934E-2</c:v>
                </c:pt>
                <c:pt idx="27">
                  <c:v>6.2118697419706404E-3</c:v>
                </c:pt>
                <c:pt idx="28">
                  <c:v>1.2508677935497E-2</c:v>
                </c:pt>
                <c:pt idx="29">
                  <c:v>1.4628484057274299E-2</c:v>
                </c:pt>
                <c:pt idx="30">
                  <c:v>1.4524795592841099E-2</c:v>
                </c:pt>
                <c:pt idx="31">
                  <c:v>1.052801503996831E-2</c:v>
                </c:pt>
                <c:pt idx="32">
                  <c:v>8.6868568467883961E-3</c:v>
                </c:pt>
                <c:pt idx="33">
                  <c:v>-1.3671885864663218E-2</c:v>
                </c:pt>
                <c:pt idx="34">
                  <c:v>1.2844179758231319E-3</c:v>
                </c:pt>
              </c:numCache>
            </c:numRef>
          </c:xVal>
          <c:yVal>
            <c:numRef>
              <c:f>[1]GS1!$J$3:$J$37</c:f>
              <c:numCache>
                <c:formatCode>General</c:formatCode>
                <c:ptCount val="35"/>
                <c:pt idx="0">
                  <c:v>9.6356480199339081E-2</c:v>
                </c:pt>
                <c:pt idx="1">
                  <c:v>5.3364929109087335E-2</c:v>
                </c:pt>
                <c:pt idx="2">
                  <c:v>0.12395801758972394</c:v>
                </c:pt>
                <c:pt idx="3">
                  <c:v>0.30153287536759044</c:v>
                </c:pt>
                <c:pt idx="4">
                  <c:v>5.9466873557883673E-2</c:v>
                </c:pt>
                <c:pt idx="5">
                  <c:v>0.29263946908420935</c:v>
                </c:pt>
                <c:pt idx="6">
                  <c:v>5.2470334319546674E-2</c:v>
                </c:pt>
                <c:pt idx="7">
                  <c:v>3.0127699714557088E-2</c:v>
                </c:pt>
                <c:pt idx="8">
                  <c:v>0</c:v>
                </c:pt>
                <c:pt idx="9">
                  <c:v>0.15642726929514211</c:v>
                </c:pt>
                <c:pt idx="10">
                  <c:v>0.53040495409173261</c:v>
                </c:pt>
                <c:pt idx="11">
                  <c:v>0.13023407659316311</c:v>
                </c:pt>
                <c:pt idx="12">
                  <c:v>-1.6379246157218599E-2</c:v>
                </c:pt>
                <c:pt idx="13">
                  <c:v>6.2413208201751433E-2</c:v>
                </c:pt>
                <c:pt idx="14">
                  <c:v>0.12369454386208917</c:v>
                </c:pt>
                <c:pt idx="15">
                  <c:v>0.13917875522567683</c:v>
                </c:pt>
                <c:pt idx="16">
                  <c:v>5.2245940898641999E-2</c:v>
                </c:pt>
                <c:pt idx="17">
                  <c:v>0.21342807197687599</c:v>
                </c:pt>
                <c:pt idx="18">
                  <c:v>2.2139100535136119E-3</c:v>
                </c:pt>
                <c:pt idx="19">
                  <c:v>9.064450461938317E-2</c:v>
                </c:pt>
                <c:pt idx="20">
                  <c:v>0.11864421457771505</c:v>
                </c:pt>
                <c:pt idx="21">
                  <c:v>0.102000885324933</c:v>
                </c:pt>
                <c:pt idx="22">
                  <c:v>0.18118143210726029</c:v>
                </c:pt>
                <c:pt idx="23">
                  <c:v>0.22115626752919601</c:v>
                </c:pt>
                <c:pt idx="24">
                  <c:v>0.24385922955768111</c:v>
                </c:pt>
                <c:pt idx="25">
                  <c:v>0.111556360673671</c:v>
                </c:pt>
                <c:pt idx="26">
                  <c:v>1.2952093848435301E-2</c:v>
                </c:pt>
                <c:pt idx="27">
                  <c:v>9.7213558063775948E-2</c:v>
                </c:pt>
                <c:pt idx="28">
                  <c:v>-4.1795028057848141E-2</c:v>
                </c:pt>
                <c:pt idx="29">
                  <c:v>0.16382958504749712</c:v>
                </c:pt>
                <c:pt idx="30">
                  <c:v>5.6924847258434295E-2</c:v>
                </c:pt>
                <c:pt idx="31">
                  <c:v>0.12496327618305211</c:v>
                </c:pt>
                <c:pt idx="32">
                  <c:v>6.6085201444162203E-2</c:v>
                </c:pt>
                <c:pt idx="33">
                  <c:v>0.25948515179052201</c:v>
                </c:pt>
                <c:pt idx="34">
                  <c:v>2.3619610174806512E-2</c:v>
                </c:pt>
              </c:numCache>
            </c:numRef>
          </c:yVal>
          <c:smooth val="0"/>
          <c:extLst xmlns:c16r2="http://schemas.microsoft.com/office/drawing/2015/06/chart">
            <c:ext xmlns:c15="http://schemas.microsoft.com/office/drawing/2012/chart" uri="{02D57815-91ED-43cb-92C2-25804820EDAC}">
              <c15:datalabelsRange>
                <c15:f>'C:\Users\Moinul\Desktop\[IWR2017data_conv_fig12.xlsx]GDP2'!$I$3:$I$37</c15:f>
                <c15:dlblRangeCache>
                  <c:ptCount val="35"/>
                  <c:pt idx="0">
                    <c:v>ARG</c:v>
                  </c:pt>
                  <c:pt idx="1">
                    <c:v>BGR</c:v>
                  </c:pt>
                  <c:pt idx="2">
                    <c:v>BRA</c:v>
                  </c:pt>
                  <c:pt idx="3">
                    <c:v>BWA</c:v>
                  </c:pt>
                  <c:pt idx="4">
                    <c:v>CHL</c:v>
                  </c:pt>
                  <c:pt idx="5">
                    <c:v>CHN</c:v>
                  </c:pt>
                  <c:pt idx="6">
                    <c:v>COL</c:v>
                  </c:pt>
                  <c:pt idx="7">
                    <c:v>CRI</c:v>
                  </c:pt>
                  <c:pt idx="8">
                    <c:v>CUB</c:v>
                  </c:pt>
                  <c:pt idx="9">
                    <c:v>DOM</c:v>
                  </c:pt>
                  <c:pt idx="10">
                    <c:v>DZA</c:v>
                  </c:pt>
                  <c:pt idx="11">
                    <c:v>ECU</c:v>
                  </c:pt>
                  <c:pt idx="12">
                    <c:v>GAB</c:v>
                  </c:pt>
                  <c:pt idx="13">
                    <c:v>IRN</c:v>
                  </c:pt>
                  <c:pt idx="14">
                    <c:v>JAM</c:v>
                  </c:pt>
                  <c:pt idx="15">
                    <c:v>JOR</c:v>
                  </c:pt>
                  <c:pt idx="16">
                    <c:v>KAZ</c:v>
                  </c:pt>
                  <c:pt idx="17">
                    <c:v>LTU</c:v>
                  </c:pt>
                  <c:pt idx="18">
                    <c:v>LVA</c:v>
                  </c:pt>
                  <c:pt idx="19">
                    <c:v>MDV</c:v>
                  </c:pt>
                  <c:pt idx="20">
                    <c:v>MEX</c:v>
                  </c:pt>
                  <c:pt idx="21">
                    <c:v>MUS</c:v>
                  </c:pt>
                  <c:pt idx="22">
                    <c:v>MYS</c:v>
                  </c:pt>
                  <c:pt idx="23">
                    <c:v>NAM</c:v>
                  </c:pt>
                  <c:pt idx="24">
                    <c:v>PAN</c:v>
                  </c:pt>
                  <c:pt idx="25">
                    <c:v>PER</c:v>
                  </c:pt>
                  <c:pt idx="26">
                    <c:v>ROU</c:v>
                  </c:pt>
                  <c:pt idx="27">
                    <c:v>RUS</c:v>
                  </c:pt>
                  <c:pt idx="28">
                    <c:v>SRB</c:v>
                  </c:pt>
                  <c:pt idx="29">
                    <c:v>THA</c:v>
                  </c:pt>
                  <c:pt idx="30">
                    <c:v>TUN</c:v>
                  </c:pt>
                  <c:pt idx="31">
                    <c:v>TUR</c:v>
                  </c:pt>
                  <c:pt idx="32">
                    <c:v>URY</c:v>
                  </c:pt>
                  <c:pt idx="33">
                    <c:v>VEN</c:v>
                  </c:pt>
                  <c:pt idx="34">
                    <c:v>ZAF</c:v>
                  </c:pt>
                </c15:dlblRangeCache>
              </c15:datalabelsRange>
            </c:ext>
            <c:ext xmlns:c16="http://schemas.microsoft.com/office/drawing/2014/chart" uri="{C3380CC4-5D6E-409C-BE32-E72D297353CC}">
              <c16:uniqueId val="{00000064-5BF4-4F09-A8DE-1D719C5FFC53}"/>
            </c:ext>
          </c:extLst>
        </c:ser>
        <c:ser>
          <c:idx val="3"/>
          <c:order val="3"/>
          <c:tx>
            <c:v>High Income</c:v>
          </c:tx>
          <c:spPr>
            <a:ln w="25400" cap="rnd">
              <a:noFill/>
              <a:round/>
            </a:ln>
            <a:effectLst/>
          </c:spPr>
          <c:marker>
            <c:symbol val="circle"/>
            <c:size val="5"/>
            <c:spPr>
              <a:solidFill>
                <a:schemeClr val="tx1"/>
              </a:solidFill>
              <a:ln w="9525">
                <a:solidFill>
                  <a:schemeClr val="tx1"/>
                </a:solidFill>
              </a:ln>
              <a:effectLst/>
            </c:spPr>
          </c:marker>
          <c:dLbls>
            <c:dLbl>
              <c:idx val="0"/>
              <c:layout/>
              <c:tx>
                <c:rich>
                  <a:bodyPr/>
                  <a:lstStyle/>
                  <a:p>
                    <a:fld id="{F8BC9B4E-0401-4941-AC02-B7032767BFFA}" type="CELLRANGE">
                      <a:rPr lang="en-US" altLang="ja-JP"/>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1"/>
                </c:ext>
                <c:ext xmlns:c16="http://schemas.microsoft.com/office/drawing/2014/chart" uri="{C3380CC4-5D6E-409C-BE32-E72D297353CC}">
                  <c16:uniqueId val="{00000065-5BF4-4F09-A8DE-1D719C5FFC53}"/>
                </c:ext>
              </c:extLst>
            </c:dLbl>
            <c:dLbl>
              <c:idx val="1"/>
              <c:layout/>
              <c:tx>
                <c:rich>
                  <a:bodyPr/>
                  <a:lstStyle/>
                  <a:p>
                    <a:fld id="{75274E95-1D5B-4444-952F-F2356372880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6-5BF4-4F09-A8DE-1D719C5FFC53}"/>
                </c:ext>
              </c:extLst>
            </c:dLbl>
            <c:dLbl>
              <c:idx val="2"/>
              <c:layout/>
              <c:tx>
                <c:rich>
                  <a:bodyPr/>
                  <a:lstStyle/>
                  <a:p>
                    <a:fld id="{E1C7AC0B-A0E7-4356-A288-D69A7835694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7-5BF4-4F09-A8DE-1D719C5FFC53}"/>
                </c:ext>
              </c:extLst>
            </c:dLbl>
            <c:dLbl>
              <c:idx val="3"/>
              <c:layout/>
              <c:tx>
                <c:rich>
                  <a:bodyPr/>
                  <a:lstStyle/>
                  <a:p>
                    <a:fld id="{910B2130-7D23-4735-A188-C77257F724F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8-5BF4-4F09-A8DE-1D719C5FFC53}"/>
                </c:ext>
              </c:extLst>
            </c:dLbl>
            <c:dLbl>
              <c:idx val="4"/>
              <c:layout/>
              <c:tx>
                <c:rich>
                  <a:bodyPr/>
                  <a:lstStyle/>
                  <a:p>
                    <a:fld id="{D701621E-2B9D-4FBC-8E1B-B29FACB317F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9-5BF4-4F09-A8DE-1D719C5FFC53}"/>
                </c:ext>
              </c:extLst>
            </c:dLbl>
            <c:dLbl>
              <c:idx val="5"/>
              <c:layout/>
              <c:tx>
                <c:rich>
                  <a:bodyPr/>
                  <a:lstStyle/>
                  <a:p>
                    <a:fld id="{06173D96-E1EC-4A08-B760-651B89E7A88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A-5BF4-4F09-A8DE-1D719C5FFC53}"/>
                </c:ext>
              </c:extLst>
            </c:dLbl>
            <c:dLbl>
              <c:idx val="6"/>
              <c:layout/>
              <c:tx>
                <c:rich>
                  <a:bodyPr/>
                  <a:lstStyle/>
                  <a:p>
                    <a:fld id="{8A0B8A19-6C09-48EF-9F95-B26E63C5E95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B-5BF4-4F09-A8DE-1D719C5FFC53}"/>
                </c:ext>
              </c:extLst>
            </c:dLbl>
            <c:dLbl>
              <c:idx val="7"/>
              <c:layout/>
              <c:tx>
                <c:rich>
                  <a:bodyPr/>
                  <a:lstStyle/>
                  <a:p>
                    <a:fld id="{4E4B3C68-4C26-4C94-B071-18E05E15DDE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C-5BF4-4F09-A8DE-1D719C5FFC53}"/>
                </c:ext>
              </c:extLst>
            </c:dLbl>
            <c:dLbl>
              <c:idx val="8"/>
              <c:layout/>
              <c:tx>
                <c:rich>
                  <a:bodyPr/>
                  <a:lstStyle/>
                  <a:p>
                    <a:fld id="{2C35021F-C758-46AC-BEC0-B89B77FDE72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D-5BF4-4F09-A8DE-1D719C5FFC53}"/>
                </c:ext>
              </c:extLst>
            </c:dLbl>
            <c:dLbl>
              <c:idx val="9"/>
              <c:layout/>
              <c:tx>
                <c:rich>
                  <a:bodyPr/>
                  <a:lstStyle/>
                  <a:p>
                    <a:fld id="{895ABA6B-1874-4639-9DB8-E3B3766DDAD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E-5BF4-4F09-A8DE-1D719C5FFC53}"/>
                </c:ext>
              </c:extLst>
            </c:dLbl>
            <c:dLbl>
              <c:idx val="10"/>
              <c:layout/>
              <c:tx>
                <c:rich>
                  <a:bodyPr/>
                  <a:lstStyle/>
                  <a:p>
                    <a:fld id="{36DED1FB-1934-418D-A1FA-87712940F7F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6F-5BF4-4F09-A8DE-1D719C5FFC53}"/>
                </c:ext>
              </c:extLst>
            </c:dLbl>
            <c:dLbl>
              <c:idx val="11"/>
              <c:layout/>
              <c:tx>
                <c:rich>
                  <a:bodyPr/>
                  <a:lstStyle/>
                  <a:p>
                    <a:fld id="{D79917E5-0F2E-41A7-BDCA-1ABFFB80826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0-5BF4-4F09-A8DE-1D719C5FFC53}"/>
                </c:ext>
              </c:extLst>
            </c:dLbl>
            <c:dLbl>
              <c:idx val="12"/>
              <c:layout/>
              <c:tx>
                <c:rich>
                  <a:bodyPr/>
                  <a:lstStyle/>
                  <a:p>
                    <a:fld id="{00809BF5-9476-43E1-A361-F84F6180376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1-5BF4-4F09-A8DE-1D719C5FFC53}"/>
                </c:ext>
              </c:extLst>
            </c:dLbl>
            <c:dLbl>
              <c:idx val="13"/>
              <c:layout/>
              <c:tx>
                <c:rich>
                  <a:bodyPr/>
                  <a:lstStyle/>
                  <a:p>
                    <a:fld id="{15A1085F-B664-4639-A36D-B21C08087A2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2-5BF4-4F09-A8DE-1D719C5FFC53}"/>
                </c:ext>
              </c:extLst>
            </c:dLbl>
            <c:dLbl>
              <c:idx val="14"/>
              <c:layout/>
              <c:tx>
                <c:rich>
                  <a:bodyPr/>
                  <a:lstStyle/>
                  <a:p>
                    <a:fld id="{91F3F4EB-6A96-4287-9D57-5D1C5ABE5FE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3-5BF4-4F09-A8DE-1D719C5FFC53}"/>
                </c:ext>
              </c:extLst>
            </c:dLbl>
            <c:dLbl>
              <c:idx val="15"/>
              <c:layout/>
              <c:tx>
                <c:rich>
                  <a:bodyPr/>
                  <a:lstStyle/>
                  <a:p>
                    <a:fld id="{B3E97D73-4C66-44DA-B9B7-48B484809078}"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4-5BF4-4F09-A8DE-1D719C5FFC53}"/>
                </c:ext>
              </c:extLst>
            </c:dLbl>
            <c:dLbl>
              <c:idx val="16"/>
              <c:layout/>
              <c:tx>
                <c:rich>
                  <a:bodyPr/>
                  <a:lstStyle/>
                  <a:p>
                    <a:fld id="{0DB03978-D3EA-4A06-9218-7EB0B944F51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5-5BF4-4F09-A8DE-1D719C5FFC53}"/>
                </c:ext>
              </c:extLst>
            </c:dLbl>
            <c:dLbl>
              <c:idx val="17"/>
              <c:layout/>
              <c:tx>
                <c:rich>
                  <a:bodyPr/>
                  <a:lstStyle/>
                  <a:p>
                    <a:fld id="{DE3C8190-14E9-4DE6-A4CE-C6E1966EE700}"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6-5BF4-4F09-A8DE-1D719C5FFC53}"/>
                </c:ext>
              </c:extLst>
            </c:dLbl>
            <c:dLbl>
              <c:idx val="18"/>
              <c:layout/>
              <c:tx>
                <c:rich>
                  <a:bodyPr/>
                  <a:lstStyle/>
                  <a:p>
                    <a:fld id="{FF9D483F-23EB-4C46-98C0-2A24B9FA93F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7-5BF4-4F09-A8DE-1D719C5FFC53}"/>
                </c:ext>
              </c:extLst>
            </c:dLbl>
            <c:dLbl>
              <c:idx val="19"/>
              <c:layout/>
              <c:tx>
                <c:rich>
                  <a:bodyPr/>
                  <a:lstStyle/>
                  <a:p>
                    <a:fld id="{3C9DB121-B3E6-4ECC-808B-936F490D7ABC}"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8-5BF4-4F09-A8DE-1D719C5FFC53}"/>
                </c:ext>
              </c:extLst>
            </c:dLbl>
            <c:dLbl>
              <c:idx val="20"/>
              <c:layout/>
              <c:tx>
                <c:rich>
                  <a:bodyPr/>
                  <a:lstStyle/>
                  <a:p>
                    <a:fld id="{6D30E0B5-FBE1-421E-8A7C-76DC37A0D46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9-5BF4-4F09-A8DE-1D719C5FFC53}"/>
                </c:ext>
              </c:extLst>
            </c:dLbl>
            <c:dLbl>
              <c:idx val="21"/>
              <c:layout/>
              <c:tx>
                <c:rich>
                  <a:bodyPr/>
                  <a:lstStyle/>
                  <a:p>
                    <a:fld id="{95AA0233-7D2C-45A3-BE3C-48CE8E460FD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A-5BF4-4F09-A8DE-1D719C5FFC53}"/>
                </c:ext>
              </c:extLst>
            </c:dLbl>
            <c:dLbl>
              <c:idx val="22"/>
              <c:layout/>
              <c:tx>
                <c:rich>
                  <a:bodyPr/>
                  <a:lstStyle/>
                  <a:p>
                    <a:fld id="{B9F72D13-EFE5-49A5-BD40-A593C87079C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B-5BF4-4F09-A8DE-1D719C5FFC53}"/>
                </c:ext>
              </c:extLst>
            </c:dLbl>
            <c:dLbl>
              <c:idx val="23"/>
              <c:layout/>
              <c:tx>
                <c:rich>
                  <a:bodyPr/>
                  <a:lstStyle/>
                  <a:p>
                    <a:fld id="{8062D5AF-249D-4A5F-9AC4-60C20EBB3E12}"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C-5BF4-4F09-A8DE-1D719C5FFC53}"/>
                </c:ext>
              </c:extLst>
            </c:dLbl>
            <c:dLbl>
              <c:idx val="24"/>
              <c:layout/>
              <c:tx>
                <c:rich>
                  <a:bodyPr/>
                  <a:lstStyle/>
                  <a:p>
                    <a:fld id="{A4EE0493-A567-4391-A8B1-3DABB29E8CD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D-5BF4-4F09-A8DE-1D719C5FFC53}"/>
                </c:ext>
              </c:extLst>
            </c:dLbl>
            <c:dLbl>
              <c:idx val="25"/>
              <c:layout/>
              <c:tx>
                <c:rich>
                  <a:bodyPr/>
                  <a:lstStyle/>
                  <a:p>
                    <a:fld id="{6C2D2D2A-2D61-4C35-8A57-68F5C601C9F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E-5BF4-4F09-A8DE-1D719C5FFC53}"/>
                </c:ext>
              </c:extLst>
            </c:dLbl>
            <c:dLbl>
              <c:idx val="26"/>
              <c:layout/>
              <c:tx>
                <c:rich>
                  <a:bodyPr/>
                  <a:lstStyle/>
                  <a:p>
                    <a:fld id="{06726E65-7A2B-4542-AA21-F15D49958D89}"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7F-5BF4-4F09-A8DE-1D719C5FFC53}"/>
                </c:ext>
              </c:extLst>
            </c:dLbl>
            <c:dLbl>
              <c:idx val="27"/>
              <c:layout/>
              <c:tx>
                <c:rich>
                  <a:bodyPr/>
                  <a:lstStyle/>
                  <a:p>
                    <a:fld id="{B7DF2519-6C51-42E6-BB04-87FB06BCD12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0-5BF4-4F09-A8DE-1D719C5FFC53}"/>
                </c:ext>
              </c:extLst>
            </c:dLbl>
            <c:dLbl>
              <c:idx val="28"/>
              <c:layout/>
              <c:tx>
                <c:rich>
                  <a:bodyPr/>
                  <a:lstStyle/>
                  <a:p>
                    <a:fld id="{F3E64672-0921-474E-8564-72460013DD76}"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1-5BF4-4F09-A8DE-1D719C5FFC53}"/>
                </c:ext>
              </c:extLst>
            </c:dLbl>
            <c:dLbl>
              <c:idx val="29"/>
              <c:layout/>
              <c:tx>
                <c:rich>
                  <a:bodyPr/>
                  <a:lstStyle/>
                  <a:p>
                    <a:fld id="{E3CE84EB-1897-4EB8-8C3B-28648B8EFE2B}"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2-5BF4-4F09-A8DE-1D719C5FFC53}"/>
                </c:ext>
              </c:extLst>
            </c:dLbl>
            <c:dLbl>
              <c:idx val="30"/>
              <c:layout/>
              <c:tx>
                <c:rich>
                  <a:bodyPr/>
                  <a:lstStyle/>
                  <a:p>
                    <a:fld id="{4703F603-A40D-4677-BFE8-14F691CED48A}"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3-5BF4-4F09-A8DE-1D719C5FFC53}"/>
                </c:ext>
              </c:extLst>
            </c:dLbl>
            <c:dLbl>
              <c:idx val="31"/>
              <c:layout/>
              <c:tx>
                <c:rich>
                  <a:bodyPr/>
                  <a:lstStyle/>
                  <a:p>
                    <a:fld id="{9A4765E8-FA67-45EF-BF09-6FA3B130228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4-5BF4-4F09-A8DE-1D719C5FFC53}"/>
                </c:ext>
              </c:extLst>
            </c:dLbl>
            <c:dLbl>
              <c:idx val="32"/>
              <c:layout/>
              <c:tx>
                <c:rich>
                  <a:bodyPr/>
                  <a:lstStyle/>
                  <a:p>
                    <a:fld id="{F805CA02-F087-4E8A-A333-FCD6F991EEA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5-5BF4-4F09-A8DE-1D719C5FFC53}"/>
                </c:ext>
              </c:extLst>
            </c:dLbl>
            <c:dLbl>
              <c:idx val="33"/>
              <c:layout/>
              <c:tx>
                <c:rich>
                  <a:bodyPr/>
                  <a:lstStyle/>
                  <a:p>
                    <a:fld id="{EBD44932-260A-44A8-93A9-7236ACB3941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6-5BF4-4F09-A8DE-1D719C5FFC53}"/>
                </c:ext>
              </c:extLst>
            </c:dLbl>
            <c:dLbl>
              <c:idx val="34"/>
              <c:layout/>
              <c:tx>
                <c:rich>
                  <a:bodyPr/>
                  <a:lstStyle/>
                  <a:p>
                    <a:fld id="{9FC08DC3-455D-4A5C-B093-329477A7FE65}"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7-5BF4-4F09-A8DE-1D719C5FFC53}"/>
                </c:ext>
              </c:extLst>
            </c:dLbl>
            <c:dLbl>
              <c:idx val="35"/>
              <c:layout/>
              <c:tx>
                <c:rich>
                  <a:bodyPr/>
                  <a:lstStyle/>
                  <a:p>
                    <a:fld id="{1E43253C-9B2D-4DCA-85C6-B8E84934D477}"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8-5BF4-4F09-A8DE-1D719C5FFC53}"/>
                </c:ext>
              </c:extLst>
            </c:dLbl>
            <c:dLbl>
              <c:idx val="36"/>
              <c:layout/>
              <c:tx>
                <c:rich>
                  <a:bodyPr/>
                  <a:lstStyle/>
                  <a:p>
                    <a:fld id="{37A14098-B0CB-4B88-BA78-519362B89731}"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9-5BF4-4F09-A8DE-1D719C5FFC53}"/>
                </c:ext>
              </c:extLst>
            </c:dLbl>
            <c:dLbl>
              <c:idx val="37"/>
              <c:layout/>
              <c:tx>
                <c:rich>
                  <a:bodyPr/>
                  <a:lstStyle/>
                  <a:p>
                    <a:fld id="{44B58B25-D147-472F-A0C1-48B309478BDF}"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A-5BF4-4F09-A8DE-1D719C5FFC53}"/>
                </c:ext>
              </c:extLst>
            </c:dLbl>
            <c:dLbl>
              <c:idx val="38"/>
              <c:layout/>
              <c:tx>
                <c:rich>
                  <a:bodyPr/>
                  <a:lstStyle/>
                  <a:p>
                    <a:fld id="{DFF8B05C-DE7D-4AE1-BF7C-5E70275B100E}"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B-5BF4-4F09-A8DE-1D719C5FFC53}"/>
                </c:ext>
              </c:extLst>
            </c:dLbl>
            <c:dLbl>
              <c:idx val="39"/>
              <c:layout/>
              <c:tx>
                <c:rich>
                  <a:bodyPr/>
                  <a:lstStyle/>
                  <a:p>
                    <a:fld id="{74BF19C7-97B4-4880-8B12-FEBAED2980AD}"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C-5BF4-4F09-A8DE-1D719C5FFC53}"/>
                </c:ext>
              </c:extLst>
            </c:dLbl>
            <c:dLbl>
              <c:idx val="40"/>
              <c:layout/>
              <c:tx>
                <c:rich>
                  <a:bodyPr/>
                  <a:lstStyle/>
                  <a:p>
                    <a:fld id="{9DE013E5-9871-4089-A2D8-E43511DACD04}"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D-5BF4-4F09-A8DE-1D719C5FFC53}"/>
                </c:ext>
              </c:extLst>
            </c:dLbl>
            <c:dLbl>
              <c:idx val="41"/>
              <c:layout/>
              <c:tx>
                <c:rich>
                  <a:bodyPr/>
                  <a:lstStyle/>
                  <a:p>
                    <a:fld id="{2B9CCACF-70C1-4794-BE90-3F5F736EDE43}" type="CELLRANGE">
                      <a:rPr lang="en-US"/>
                      <a:pPr/>
                      <a:t>[CELLRANGE]</a:t>
                    </a:fld>
                    <a:endParaRPr lang="en-US"/>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8E-5BF4-4F09-A8DE-1D719C5FFC53}"/>
                </c:ext>
              </c:extLst>
            </c:dLbl>
            <c:spPr>
              <a:noFill/>
              <a:ln>
                <a:noFill/>
              </a:ln>
              <a:effectLst/>
            </c:spPr>
            <c:txPr>
              <a:bodyPr rot="0" spcFirstLastPara="1" vertOverflow="ellipsis" vert="horz" wrap="square" lIns="38100" tIns="19050" rIns="38100" bIns="19050" anchor="ctr" anchorCtr="1">
                <a:spAutoFit/>
              </a:bodyPr>
              <a:lstStyle/>
              <a:p>
                <a:pPr>
                  <a:defRPr lang="ja-JP" sz="8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1"/>
                <c15:showLeaderLines val="1"/>
                <c15:leaderLines>
                  <c:spPr>
                    <a:ln w="9525">
                      <a:solidFill>
                        <a:schemeClr val="tx1">
                          <a:lumMod val="35000"/>
                          <a:lumOff val="65000"/>
                        </a:schemeClr>
                      </a:solidFill>
                      <a:round/>
                    </a:ln>
                    <a:effectLst/>
                  </c:spPr>
                </c15:leaderLines>
              </c:ext>
            </c:extLst>
          </c:dLbls>
          <c:xVal>
            <c:numRef>
              <c:f>[1]GS1!$O$3:$O$44</c:f>
              <c:numCache>
                <c:formatCode>General</c:formatCode>
                <c:ptCount val="42"/>
                <c:pt idx="0">
                  <c:v>-2.7380657742969119E-2</c:v>
                </c:pt>
                <c:pt idx="1">
                  <c:v>4.8025426507694001E-3</c:v>
                </c:pt>
                <c:pt idx="2">
                  <c:v>8.2999885816754694E-3</c:v>
                </c:pt>
                <c:pt idx="3">
                  <c:v>9.4312836231369469E-3</c:v>
                </c:pt>
                <c:pt idx="4">
                  <c:v>1.7751232566971694E-2</c:v>
                </c:pt>
                <c:pt idx="5">
                  <c:v>9.7695724421069767E-3</c:v>
                </c:pt>
                <c:pt idx="6">
                  <c:v>1.51092698362487E-3</c:v>
                </c:pt>
                <c:pt idx="7">
                  <c:v>9.1397493282177073E-3</c:v>
                </c:pt>
                <c:pt idx="8">
                  <c:v>2.0843306308313631E-2</c:v>
                </c:pt>
                <c:pt idx="9">
                  <c:v>1.2121623667614503E-2</c:v>
                </c:pt>
                <c:pt idx="10">
                  <c:v>7.4284949767846635E-3</c:v>
                </c:pt>
                <c:pt idx="11">
                  <c:v>6.7106854296583637E-3</c:v>
                </c:pt>
                <c:pt idx="12">
                  <c:v>1.2970825894080417E-2</c:v>
                </c:pt>
                <c:pt idx="13">
                  <c:v>1.5970534555529901E-2</c:v>
                </c:pt>
                <c:pt idx="14">
                  <c:v>9.961207918808293E-3</c:v>
                </c:pt>
                <c:pt idx="15">
                  <c:v>8.963541597583077E-3</c:v>
                </c:pt>
                <c:pt idx="16">
                  <c:v>8.0021532319958268E-3</c:v>
                </c:pt>
                <c:pt idx="17">
                  <c:v>1.00811274928445E-2</c:v>
                </c:pt>
                <c:pt idx="18">
                  <c:v>1.2744237161689499E-2</c:v>
                </c:pt>
                <c:pt idx="19">
                  <c:v>1.1194841936817112E-2</c:v>
                </c:pt>
                <c:pt idx="20">
                  <c:v>1.6689943046223499E-2</c:v>
                </c:pt>
                <c:pt idx="21">
                  <c:v>-1.0588302825362801E-3</c:v>
                </c:pt>
                <c:pt idx="22">
                  <c:v>1.0124575849918027E-2</c:v>
                </c:pt>
                <c:pt idx="23">
                  <c:v>8.9727496482936639E-3</c:v>
                </c:pt>
                <c:pt idx="24">
                  <c:v>1.0759794450994098E-2</c:v>
                </c:pt>
                <c:pt idx="25">
                  <c:v>2.4071693665941519E-2</c:v>
                </c:pt>
                <c:pt idx="26">
                  <c:v>-2.1565613838697081E-2</c:v>
                </c:pt>
                <c:pt idx="27">
                  <c:v>2.2718036080859406E-2</c:v>
                </c:pt>
                <c:pt idx="28">
                  <c:v>2.6815706061674337E-2</c:v>
                </c:pt>
                <c:pt idx="29">
                  <c:v>7.7190792979897668E-3</c:v>
                </c:pt>
                <c:pt idx="30">
                  <c:v>2.0840115986466841E-3</c:v>
                </c:pt>
                <c:pt idx="31">
                  <c:v>-2.8151992327450919E-3</c:v>
                </c:pt>
                <c:pt idx="32">
                  <c:v>1.3287157746103312E-2</c:v>
                </c:pt>
                <c:pt idx="33">
                  <c:v>1.41128477619386E-2</c:v>
                </c:pt>
                <c:pt idx="34">
                  <c:v>-3.0962825955895397E-2</c:v>
                </c:pt>
                <c:pt idx="35">
                  <c:v>-1.1420446728572007E-2</c:v>
                </c:pt>
                <c:pt idx="36">
                  <c:v>2.1472153727817724E-2</c:v>
                </c:pt>
                <c:pt idx="37">
                  <c:v>1.3588819177574599E-2</c:v>
                </c:pt>
                <c:pt idx="38">
                  <c:v>1.4194369456347999E-2</c:v>
                </c:pt>
                <c:pt idx="39">
                  <c:v>8.2649174886535379E-3</c:v>
                </c:pt>
                <c:pt idx="40">
                  <c:v>-7.5908390404185724E-3</c:v>
                </c:pt>
                <c:pt idx="41">
                  <c:v>6.1011429412534124E-3</c:v>
                </c:pt>
              </c:numCache>
            </c:numRef>
          </c:xVal>
          <c:yVal>
            <c:numRef>
              <c:f>[1]GS1!$N$3:$N$44</c:f>
              <c:numCache>
                <c:formatCode>General</c:formatCode>
                <c:ptCount val="42"/>
                <c:pt idx="0">
                  <c:v>0</c:v>
                </c:pt>
                <c:pt idx="1">
                  <c:v>9.4668479313850445E-2</c:v>
                </c:pt>
                <c:pt idx="2">
                  <c:v>0.19821986749018411</c:v>
                </c:pt>
                <c:pt idx="3">
                  <c:v>0.15937660729772399</c:v>
                </c:pt>
                <c:pt idx="4">
                  <c:v>0.19257847289043412</c:v>
                </c:pt>
                <c:pt idx="5">
                  <c:v>3.1125581570717001E-2</c:v>
                </c:pt>
                <c:pt idx="6">
                  <c:v>8.6670792830391599E-2</c:v>
                </c:pt>
                <c:pt idx="7">
                  <c:v>0.18478909200397811</c:v>
                </c:pt>
                <c:pt idx="8">
                  <c:v>9.7610576982221448E-2</c:v>
                </c:pt>
                <c:pt idx="9">
                  <c:v>7.06825582713351E-2</c:v>
                </c:pt>
                <c:pt idx="10">
                  <c:v>0.11506217255447306</c:v>
                </c:pt>
                <c:pt idx="11">
                  <c:v>0.15440970216336425</c:v>
                </c:pt>
                <c:pt idx="12">
                  <c:v>9.9840380322586728E-2</c:v>
                </c:pt>
                <c:pt idx="13">
                  <c:v>0.14391983334902025</c:v>
                </c:pt>
                <c:pt idx="14">
                  <c:v>0.125648396219249</c:v>
                </c:pt>
                <c:pt idx="15">
                  <c:v>0.10180127241917106</c:v>
                </c:pt>
                <c:pt idx="16">
                  <c:v>5.7604003217493413E-2</c:v>
                </c:pt>
                <c:pt idx="17">
                  <c:v>1.0842325394885719E-2</c:v>
                </c:pt>
                <c:pt idx="18">
                  <c:v>7.6112316839255512E-2</c:v>
                </c:pt>
                <c:pt idx="19">
                  <c:v>6.5052119883951404E-2</c:v>
                </c:pt>
                <c:pt idx="20">
                  <c:v>0.22190213796361988</c:v>
                </c:pt>
                <c:pt idx="21">
                  <c:v>9.4124864297580643E-2</c:v>
                </c:pt>
                <c:pt idx="22">
                  <c:v>0.13257851699105982</c:v>
                </c:pt>
                <c:pt idx="23">
                  <c:v>7.6470969422929302E-2</c:v>
                </c:pt>
                <c:pt idx="24">
                  <c:v>9.5809642058703487E-2</c:v>
                </c:pt>
                <c:pt idx="25">
                  <c:v>0.20110178653593699</c:v>
                </c:pt>
                <c:pt idx="26">
                  <c:v>0.29736318114836535</c:v>
                </c:pt>
                <c:pt idx="27">
                  <c:v>0.20496802593648511</c:v>
                </c:pt>
                <c:pt idx="28">
                  <c:v>0</c:v>
                </c:pt>
                <c:pt idx="29">
                  <c:v>0.16332409799844697</c:v>
                </c:pt>
                <c:pt idx="30">
                  <c:v>0.21151731536071711</c:v>
                </c:pt>
                <c:pt idx="31">
                  <c:v>0.13998501155680912</c:v>
                </c:pt>
                <c:pt idx="32">
                  <c:v>6.7318346484624994E-2</c:v>
                </c:pt>
                <c:pt idx="33">
                  <c:v>4.2858596178391238E-2</c:v>
                </c:pt>
                <c:pt idx="34">
                  <c:v>0.7978014358759814</c:v>
                </c:pt>
                <c:pt idx="35">
                  <c:v>0.24927139516145519</c:v>
                </c:pt>
                <c:pt idx="36">
                  <c:v>0.40013379990175602</c:v>
                </c:pt>
                <c:pt idx="37">
                  <c:v>4.3621731165117299E-2</c:v>
                </c:pt>
                <c:pt idx="38">
                  <c:v>0.10275118617588599</c:v>
                </c:pt>
                <c:pt idx="39">
                  <c:v>0.1903455259981309</c:v>
                </c:pt>
                <c:pt idx="40">
                  <c:v>6.9265399425576094E-2</c:v>
                </c:pt>
                <c:pt idx="41">
                  <c:v>6.3327345469597549E-2</c:v>
                </c:pt>
              </c:numCache>
            </c:numRef>
          </c:yVal>
          <c:smooth val="0"/>
          <c:extLst xmlns:c16r2="http://schemas.microsoft.com/office/drawing/2015/06/chart">
            <c:ext xmlns:c15="http://schemas.microsoft.com/office/drawing/2012/chart" uri="{02D57815-91ED-43cb-92C2-25804820EDAC}">
              <c15:datalabelsRange>
                <c15:f>'C:\Users\Moinul\Desktop\[IWR2017data_conv_fig12.xlsx]GDP2'!$M$3:$M$44</c15:f>
                <c15:dlblRangeCache>
                  <c:ptCount val="42"/>
                  <c:pt idx="0">
                    <c:v>ARE</c:v>
                  </c:pt>
                  <c:pt idx="1">
                    <c:v>AUS</c:v>
                  </c:pt>
                  <c:pt idx="2">
                    <c:v>AUT</c:v>
                  </c:pt>
                  <c:pt idx="3">
                    <c:v>BEL</c:v>
                  </c:pt>
                  <c:pt idx="4">
                    <c:v>BHR</c:v>
                  </c:pt>
                  <c:pt idx="5">
                    <c:v>BRB</c:v>
                  </c:pt>
                  <c:pt idx="6">
                    <c:v>CAN</c:v>
                  </c:pt>
                  <c:pt idx="7">
                    <c:v>CHE</c:v>
                  </c:pt>
                  <c:pt idx="8">
                    <c:v>CYP</c:v>
                  </c:pt>
                  <c:pt idx="9">
                    <c:v>CZE</c:v>
                  </c:pt>
                  <c:pt idx="10">
                    <c:v>DEU</c:v>
                  </c:pt>
                  <c:pt idx="11">
                    <c:v>DNK</c:v>
                  </c:pt>
                  <c:pt idx="12">
                    <c:v>ESP</c:v>
                  </c:pt>
                  <c:pt idx="13">
                    <c:v>EST</c:v>
                  </c:pt>
                  <c:pt idx="14">
                    <c:v>FIN</c:v>
                  </c:pt>
                  <c:pt idx="15">
                    <c:v>FRA</c:v>
                  </c:pt>
                  <c:pt idx="16">
                    <c:v>GBR</c:v>
                  </c:pt>
                  <c:pt idx="17">
                    <c:v>GRC</c:v>
                  </c:pt>
                  <c:pt idx="18">
                    <c:v>HRV</c:v>
                  </c:pt>
                  <c:pt idx="19">
                    <c:v>HUN</c:v>
                  </c:pt>
                  <c:pt idx="20">
                    <c:v>IRL</c:v>
                  </c:pt>
                  <c:pt idx="21">
                    <c:v>ISL</c:v>
                  </c:pt>
                  <c:pt idx="22">
                    <c:v>ISR</c:v>
                  </c:pt>
                  <c:pt idx="23">
                    <c:v>ITA</c:v>
                  </c:pt>
                  <c:pt idx="24">
                    <c:v>JPN</c:v>
                  </c:pt>
                  <c:pt idx="25">
                    <c:v>KOR</c:v>
                  </c:pt>
                  <c:pt idx="26">
                    <c:v>KWT</c:v>
                  </c:pt>
                  <c:pt idx="27">
                    <c:v>LUX</c:v>
                  </c:pt>
                  <c:pt idx="28">
                    <c:v>MLT</c:v>
                  </c:pt>
                  <c:pt idx="29">
                    <c:v>NLD</c:v>
                  </c:pt>
                  <c:pt idx="30">
                    <c:v>NOR</c:v>
                  </c:pt>
                  <c:pt idx="31">
                    <c:v>NZL</c:v>
                  </c:pt>
                  <c:pt idx="32">
                    <c:v>POL</c:v>
                  </c:pt>
                  <c:pt idx="33">
                    <c:v>PRT</c:v>
                  </c:pt>
                  <c:pt idx="34">
                    <c:v>QAT</c:v>
                  </c:pt>
                  <c:pt idx="35">
                    <c:v>SAU</c:v>
                  </c:pt>
                  <c:pt idx="36">
                    <c:v>SGP</c:v>
                  </c:pt>
                  <c:pt idx="37">
                    <c:v>SVK</c:v>
                  </c:pt>
                  <c:pt idx="38">
                    <c:v>SVN</c:v>
                  </c:pt>
                  <c:pt idx="39">
                    <c:v>SWE</c:v>
                  </c:pt>
                  <c:pt idx="40">
                    <c:v>TTO</c:v>
                  </c:pt>
                  <c:pt idx="41">
                    <c:v>USA</c:v>
                  </c:pt>
                </c15:dlblRangeCache>
              </c15:datalabelsRange>
            </c:ext>
            <c:ext xmlns:c16="http://schemas.microsoft.com/office/drawing/2014/chart" uri="{C3380CC4-5D6E-409C-BE32-E72D297353CC}">
              <c16:uniqueId val="{0000008F-5BF4-4F09-A8DE-1D719C5FFC53}"/>
            </c:ext>
          </c:extLst>
        </c:ser>
        <c:dLbls>
          <c:showLegendKey val="0"/>
          <c:showVal val="0"/>
          <c:showCatName val="0"/>
          <c:showSerName val="0"/>
          <c:showPercent val="0"/>
          <c:showBubbleSize val="0"/>
        </c:dLbls>
        <c:axId val="155161344"/>
        <c:axId val="155163264"/>
      </c:scatterChart>
      <c:valAx>
        <c:axId val="155161344"/>
        <c:scaling>
          <c:orientation val="minMax"/>
        </c:scaling>
        <c:delete val="0"/>
        <c:axPos val="b"/>
        <c:majorGridlines>
          <c:spPr>
            <a:ln w="9525">
              <a:solidFill>
                <a:schemeClr val="tx1">
                  <a:lumMod val="15000"/>
                  <a:lumOff val="85000"/>
                </a:schemeClr>
              </a:solidFill>
              <a:round/>
            </a:ln>
            <a:effectLst/>
          </c:spPr>
        </c:majorGridlines>
        <c:title>
          <c:tx>
            <c:rich>
              <a:bodyPr rot="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ltLang="ja-JP" sz="1000" b="0" i="0" u="none" strike="noStrike" baseline="0">
                    <a:effectLst/>
                  </a:rPr>
                  <a:t>Growth rates in </a:t>
                </a:r>
                <a:r>
                  <a:rPr lang="en-US"/>
                  <a:t>IWI</a:t>
                </a:r>
                <a:r>
                  <a:rPr lang="en-US" baseline="0"/>
                  <a:t> per capita</a:t>
                </a:r>
                <a:endParaRPr lang="en-US"/>
              </a:p>
            </c:rich>
          </c:tx>
          <c:layout>
            <c:manualLayout>
              <c:xMode val="edge"/>
              <c:yMode val="edge"/>
              <c:x val="0.44909019192450422"/>
              <c:y val="0.92436245752567103"/>
            </c:manualLayout>
          </c:layout>
          <c:overlay val="0"/>
          <c:spPr>
            <a:noFill/>
            <a:ln>
              <a:noFill/>
            </a:ln>
            <a:effectLst/>
          </c:spPr>
        </c:title>
        <c:numFmt formatCode="0%" sourceLinked="0"/>
        <c:majorTickMark val="out"/>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155163264"/>
        <c:crosses val="autoZero"/>
        <c:crossBetween val="midCat"/>
      </c:valAx>
      <c:valAx>
        <c:axId val="155163264"/>
        <c:scaling>
          <c:orientation val="minMax"/>
        </c:scaling>
        <c:delete val="0"/>
        <c:axPos val="l"/>
        <c:majorGridlines>
          <c:spPr>
            <a:ln w="9525">
              <a:solidFill>
                <a:schemeClr val="tx1">
                  <a:lumMod val="15000"/>
                  <a:lumOff val="85000"/>
                </a:schemeClr>
              </a:solidFill>
              <a:round/>
            </a:ln>
            <a:effectLst/>
          </c:spPr>
        </c:majorGridlines>
        <c:title>
          <c:tx>
            <c:rich>
              <a:bodyPr rot="-540000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t>Genuine</a:t>
                </a:r>
                <a:r>
                  <a:rPr lang="en-US" baseline="0"/>
                  <a:t> savings</a:t>
                </a:r>
                <a:endParaRPr lang="en-US"/>
              </a:p>
            </c:rich>
          </c:tx>
          <c:layout>
            <c:manualLayout>
              <c:xMode val="edge"/>
              <c:yMode val="edge"/>
              <c:x val="1.4111006585136398E-2"/>
              <c:y val="0.31513669856423798"/>
            </c:manualLayout>
          </c:layout>
          <c:overlay val="0"/>
          <c:spPr>
            <a:noFill/>
            <a:ln>
              <a:noFill/>
            </a:ln>
            <a:effectLst/>
          </c:spPr>
        </c:title>
        <c:numFmt formatCode="0%" sourceLinked="0"/>
        <c:majorTickMark val="out"/>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155161344"/>
        <c:crosses val="autoZero"/>
        <c:crossBetween val="midCat"/>
      </c:valAx>
      <c:spPr>
        <a:noFill/>
        <a:ln>
          <a:noFill/>
        </a:ln>
        <a:effectLst/>
      </c:spPr>
    </c:plotArea>
    <c:legend>
      <c:legendPos val="r"/>
      <c:layout>
        <c:manualLayout>
          <c:xMode val="edge"/>
          <c:yMode val="edge"/>
          <c:x val="0.71291453396641502"/>
          <c:y val="3.762575003903551E-2"/>
          <c:w val="0.24945611513988811"/>
          <c:h val="0.25241581346241121"/>
        </c:manualLayout>
      </c:layout>
      <c:overlay val="0"/>
      <c:spPr>
        <a:noFill/>
        <a:ln>
          <a:solidFill>
            <a:schemeClr val="tx1"/>
          </a:solidFill>
        </a:ln>
        <a:effectLst/>
      </c:spPr>
      <c:txPr>
        <a:bodyPr rot="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a:no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Sheet2!$E$2</c:f>
              <c:strCache>
                <c:ptCount val="1"/>
                <c:pt idx="0">
                  <c:v>IW/GDP</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layout/>
              <c:numFmt formatCode="General" sourceLinked="0"/>
              <c:spPr>
                <a:noFill/>
                <a:ln>
                  <a:noFill/>
                </a:ln>
                <a:effectLst/>
              </c:spPr>
              <c:txPr>
                <a:bodyPr rot="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Sheet2!$D$3:$D$142</c:f>
              <c:numCache>
                <c:formatCode>#,##0_);[Red]\(#,##0\)</c:formatCode>
                <c:ptCount val="140"/>
                <c:pt idx="0">
                  <c:v>430.86589072128783</c:v>
                </c:pt>
                <c:pt idx="1">
                  <c:v>3883.7219581415729</c:v>
                </c:pt>
                <c:pt idx="2">
                  <c:v>27468.030486076546</c:v>
                </c:pt>
                <c:pt idx="3">
                  <c:v>7735.744206465356</c:v>
                </c:pt>
                <c:pt idx="4">
                  <c:v>2364.376238723265</c:v>
                </c:pt>
                <c:pt idx="5">
                  <c:v>41553.381914391262</c:v>
                </c:pt>
                <c:pt idx="6">
                  <c:v>40965.111753782105</c:v>
                </c:pt>
                <c:pt idx="7">
                  <c:v>275.34554352062173</c:v>
                </c:pt>
                <c:pt idx="8">
                  <c:v>38188.955188320389</c:v>
                </c:pt>
                <c:pt idx="9">
                  <c:v>671.40914053353504</c:v>
                </c:pt>
                <c:pt idx="10">
                  <c:v>619.87988571891162</c:v>
                </c:pt>
                <c:pt idx="11">
                  <c:v>5031.2522483230314</c:v>
                </c:pt>
                <c:pt idx="12">
                  <c:v>17899.942910370144</c:v>
                </c:pt>
                <c:pt idx="13">
                  <c:v>3995.8981556130125</c:v>
                </c:pt>
                <c:pt idx="14">
                  <c:v>1409.755038471191</c:v>
                </c:pt>
                <c:pt idx="15">
                  <c:v>5851.9213825010547</c:v>
                </c:pt>
                <c:pt idx="16">
                  <c:v>14478.312975241703</c:v>
                </c:pt>
                <c:pt idx="17">
                  <c:v>7095.7128115373225</c:v>
                </c:pt>
                <c:pt idx="18">
                  <c:v>235.40063941450208</c:v>
                </c:pt>
                <c:pt idx="19">
                  <c:v>38256.418714560481</c:v>
                </c:pt>
                <c:pt idx="20">
                  <c:v>59307.312622105113</c:v>
                </c:pt>
                <c:pt idx="21">
                  <c:v>9867.1213712375156</c:v>
                </c:pt>
                <c:pt idx="22">
                  <c:v>3900.4633711053762</c:v>
                </c:pt>
                <c:pt idx="23">
                  <c:v>1110.1243816532158</c:v>
                </c:pt>
                <c:pt idx="24">
                  <c:v>1024.0204467613548</c:v>
                </c:pt>
                <c:pt idx="25">
                  <c:v>284.42017791281137</c:v>
                </c:pt>
                <c:pt idx="26">
                  <c:v>2071.4418003465262</c:v>
                </c:pt>
                <c:pt idx="27">
                  <c:v>4657.7542829111235</c:v>
                </c:pt>
                <c:pt idx="28">
                  <c:v>6188.1439952000837</c:v>
                </c:pt>
                <c:pt idx="29">
                  <c:v>5372.1261504176291</c:v>
                </c:pt>
                <c:pt idx="30">
                  <c:v>16570.418073319059</c:v>
                </c:pt>
                <c:pt idx="31">
                  <c:v>14934.189449218979</c:v>
                </c:pt>
                <c:pt idx="32">
                  <c:v>39844.737767115177</c:v>
                </c:pt>
                <c:pt idx="33">
                  <c:v>47969.079981565221</c:v>
                </c:pt>
                <c:pt idx="34">
                  <c:v>5505.557400321778</c:v>
                </c:pt>
                <c:pt idx="35">
                  <c:v>3410.8352204266307</c:v>
                </c:pt>
                <c:pt idx="36">
                  <c:v>3808.712780143323</c:v>
                </c:pt>
                <c:pt idx="37">
                  <c:v>1546.4885443639851</c:v>
                </c:pt>
                <c:pt idx="38">
                  <c:v>25217.606472727635</c:v>
                </c:pt>
                <c:pt idx="39">
                  <c:v>12371.275854145022</c:v>
                </c:pt>
                <c:pt idx="40">
                  <c:v>38816.588262445424</c:v>
                </c:pt>
                <c:pt idx="41">
                  <c:v>4134.3779386113447</c:v>
                </c:pt>
                <c:pt idx="42">
                  <c:v>35510.696477016987</c:v>
                </c:pt>
                <c:pt idx="43">
                  <c:v>7500.8636737754123</c:v>
                </c:pt>
                <c:pt idx="44">
                  <c:v>41423.759871734052</c:v>
                </c:pt>
                <c:pt idx="45">
                  <c:v>1203.6716142551459</c:v>
                </c:pt>
                <c:pt idx="46">
                  <c:v>438.65876349508079</c:v>
                </c:pt>
                <c:pt idx="47">
                  <c:v>18364.825321344601</c:v>
                </c:pt>
                <c:pt idx="48">
                  <c:v>2357.024520902823</c:v>
                </c:pt>
                <c:pt idx="49">
                  <c:v>2476.4989103477442</c:v>
                </c:pt>
                <c:pt idx="50">
                  <c:v>1676.0961670037757</c:v>
                </c:pt>
                <c:pt idx="51">
                  <c:v>10547.240769129354</c:v>
                </c:pt>
                <c:pt idx="52">
                  <c:v>474.38164049815879</c:v>
                </c:pt>
                <c:pt idx="53">
                  <c:v>11926.810342949806</c:v>
                </c:pt>
                <c:pt idx="54">
                  <c:v>1973.4469988247229</c:v>
                </c:pt>
                <c:pt idx="55">
                  <c:v>1214.6462895219677</c:v>
                </c:pt>
                <c:pt idx="56">
                  <c:v>52200.054925293342</c:v>
                </c:pt>
                <c:pt idx="57">
                  <c:v>3541.4283151404611</c:v>
                </c:pt>
                <c:pt idx="58">
                  <c:v>1721.6697216524426</c:v>
                </c:pt>
                <c:pt idx="59">
                  <c:v>59431.457598128516</c:v>
                </c:pt>
                <c:pt idx="60">
                  <c:v>24599.671070367709</c:v>
                </c:pt>
                <c:pt idx="61">
                  <c:v>28706.529569404101</c:v>
                </c:pt>
                <c:pt idx="62">
                  <c:v>4127.7863719766729</c:v>
                </c:pt>
                <c:pt idx="63">
                  <c:v>2564.2063476053677</c:v>
                </c:pt>
                <c:pt idx="64">
                  <c:v>37615.608262768532</c:v>
                </c:pt>
                <c:pt idx="65">
                  <c:v>5566.0389933198712</c:v>
                </c:pt>
                <c:pt idx="66">
                  <c:v>754.97975304380293</c:v>
                </c:pt>
                <c:pt idx="67">
                  <c:v>634.92984745039382</c:v>
                </c:pt>
                <c:pt idx="68">
                  <c:v>749.55121703178338</c:v>
                </c:pt>
                <c:pt idx="69">
                  <c:v>24565.610667680387</c:v>
                </c:pt>
                <c:pt idx="70">
                  <c:v>26530.481060281367</c:v>
                </c:pt>
                <c:pt idx="71">
                  <c:v>807.15312769701143</c:v>
                </c:pt>
                <c:pt idx="72">
                  <c:v>330.14183881285231</c:v>
                </c:pt>
                <c:pt idx="73">
                  <c:v>2122.0832285669508</c:v>
                </c:pt>
                <c:pt idx="74">
                  <c:v>987.6602556687476</c:v>
                </c:pt>
                <c:pt idx="75">
                  <c:v>11102.921937986523</c:v>
                </c:pt>
                <c:pt idx="76">
                  <c:v>82921.501253314389</c:v>
                </c:pt>
                <c:pt idx="77">
                  <c:v>9654.3712407093935</c:v>
                </c:pt>
                <c:pt idx="78">
                  <c:v>2720.0939984523052</c:v>
                </c:pt>
                <c:pt idx="79">
                  <c:v>1192.2889629555143</c:v>
                </c:pt>
                <c:pt idx="80">
                  <c:v>5815.8421309332834</c:v>
                </c:pt>
                <c:pt idx="81">
                  <c:v>8508.3910034850924</c:v>
                </c:pt>
                <c:pt idx="82">
                  <c:v>458.22486916717514</c:v>
                </c:pt>
                <c:pt idx="83">
                  <c:v>18395.513583544598</c:v>
                </c:pt>
                <c:pt idx="84">
                  <c:v>507.0901423987649</c:v>
                </c:pt>
                <c:pt idx="85">
                  <c:v>2181.4755279169653</c:v>
                </c:pt>
                <c:pt idx="86">
                  <c:v>535.72666912875786</c:v>
                </c:pt>
                <c:pt idx="87">
                  <c:v>876.8646515624298</c:v>
                </c:pt>
                <c:pt idx="88">
                  <c:v>7416.3429266287349</c:v>
                </c:pt>
                <c:pt idx="89">
                  <c:v>352.72019416208303</c:v>
                </c:pt>
                <c:pt idx="90">
                  <c:v>7373.9683388901003</c:v>
                </c:pt>
                <c:pt idx="91">
                  <c:v>4545.3360290906248</c:v>
                </c:pt>
                <c:pt idx="92">
                  <c:v>290.01423485621956</c:v>
                </c:pt>
                <c:pt idx="93">
                  <c:v>1723.7789005556322</c:v>
                </c:pt>
                <c:pt idx="94">
                  <c:v>1453.8041475116515</c:v>
                </c:pt>
                <c:pt idx="95">
                  <c:v>43332.694360493195</c:v>
                </c:pt>
                <c:pt idx="96">
                  <c:v>67393.745687572737</c:v>
                </c:pt>
                <c:pt idx="97">
                  <c:v>434.65193137906863</c:v>
                </c:pt>
                <c:pt idx="98">
                  <c:v>29619.166319042615</c:v>
                </c:pt>
                <c:pt idx="99">
                  <c:v>880.87194362688274</c:v>
                </c:pt>
                <c:pt idx="100">
                  <c:v>7841.7372794969506</c:v>
                </c:pt>
                <c:pt idx="101">
                  <c:v>4186.1178618913746</c:v>
                </c:pt>
                <c:pt idx="102">
                  <c:v>1665.2885748020735</c:v>
                </c:pt>
                <c:pt idx="103">
                  <c:v>1185.4274466864279</c:v>
                </c:pt>
                <c:pt idx="104">
                  <c:v>11252.861044890909</c:v>
                </c:pt>
                <c:pt idx="105">
                  <c:v>18384.443879773131</c:v>
                </c:pt>
                <c:pt idx="106">
                  <c:v>2089.7480429317288</c:v>
                </c:pt>
                <c:pt idx="107">
                  <c:v>63480.5900624028</c:v>
                </c:pt>
                <c:pt idx="108">
                  <c:v>6257.2481049041035</c:v>
                </c:pt>
                <c:pt idx="109">
                  <c:v>6951.6507126572023</c:v>
                </c:pt>
                <c:pt idx="110">
                  <c:v>445.61630109729759</c:v>
                </c:pt>
                <c:pt idx="111">
                  <c:v>14958.449466741658</c:v>
                </c:pt>
                <c:pt idx="112">
                  <c:v>947.53706473457669</c:v>
                </c:pt>
                <c:pt idx="113">
                  <c:v>810.78757344631106</c:v>
                </c:pt>
                <c:pt idx="114">
                  <c:v>38087.636533752288</c:v>
                </c:pt>
                <c:pt idx="115">
                  <c:v>528.98544416719949</c:v>
                </c:pt>
                <c:pt idx="116">
                  <c:v>3247.2288166280036</c:v>
                </c:pt>
                <c:pt idx="117">
                  <c:v>4244.8540712777231</c:v>
                </c:pt>
                <c:pt idx="118">
                  <c:v>12337.061125667653</c:v>
                </c:pt>
                <c:pt idx="119">
                  <c:v>19171.329950416144</c:v>
                </c:pt>
                <c:pt idx="120">
                  <c:v>46035.677957096283</c:v>
                </c:pt>
                <c:pt idx="121">
                  <c:v>3199.6867964148391</c:v>
                </c:pt>
                <c:pt idx="122">
                  <c:v>1056.5360599550161</c:v>
                </c:pt>
                <c:pt idx="123">
                  <c:v>428.43582920948353</c:v>
                </c:pt>
                <c:pt idx="124">
                  <c:v>3768.7834241082255</c:v>
                </c:pt>
                <c:pt idx="125">
                  <c:v>481.26419464201484</c:v>
                </c:pt>
                <c:pt idx="126">
                  <c:v>14519.099171723246</c:v>
                </c:pt>
                <c:pt idx="127">
                  <c:v>3902.0232255181286</c:v>
                </c:pt>
                <c:pt idx="128">
                  <c:v>8682.8732700941473</c:v>
                </c:pt>
                <c:pt idx="129">
                  <c:v>609.72780781583822</c:v>
                </c:pt>
                <c:pt idx="130">
                  <c:v>517.82726315231787</c:v>
                </c:pt>
                <c:pt idx="131">
                  <c:v>2035.9913894793949</c:v>
                </c:pt>
                <c:pt idx="132">
                  <c:v>8016.6810314049653</c:v>
                </c:pt>
                <c:pt idx="133">
                  <c:v>46041.828531943662</c:v>
                </c:pt>
                <c:pt idx="134">
                  <c:v>6088.0272897382793</c:v>
                </c:pt>
                <c:pt idx="135">
                  <c:v>1077.9220376630651</c:v>
                </c:pt>
                <c:pt idx="136">
                  <c:v>826.71175602533253</c:v>
                </c:pt>
                <c:pt idx="137">
                  <c:v>6081.1351041950657</c:v>
                </c:pt>
                <c:pt idx="138">
                  <c:v>1028.8904476306398</c:v>
                </c:pt>
                <c:pt idx="139">
                  <c:v>837.3108272865361</c:v>
                </c:pt>
              </c:numCache>
            </c:numRef>
          </c:xVal>
          <c:yVal>
            <c:numRef>
              <c:f>Sheet2!$C$3:$C$142</c:f>
              <c:numCache>
                <c:formatCode>#,##0_);[Red]\(#,##0\)</c:formatCode>
                <c:ptCount val="140"/>
                <c:pt idx="0">
                  <c:v>6545.2759428013615</c:v>
                </c:pt>
                <c:pt idx="1">
                  <c:v>60147.275370542186</c:v>
                </c:pt>
                <c:pt idx="2">
                  <c:v>599798.96169924294</c:v>
                </c:pt>
                <c:pt idx="3">
                  <c:v>106450.8164013387</c:v>
                </c:pt>
                <c:pt idx="4">
                  <c:v>30468.954359747386</c:v>
                </c:pt>
                <c:pt idx="5">
                  <c:v>662350.05732241343</c:v>
                </c:pt>
                <c:pt idx="6">
                  <c:v>558762.88296624972</c:v>
                </c:pt>
                <c:pt idx="7">
                  <c:v>3558.9808721447389</c:v>
                </c:pt>
                <c:pt idx="8">
                  <c:v>603115.32850050903</c:v>
                </c:pt>
                <c:pt idx="9">
                  <c:v>13719.980348426672</c:v>
                </c:pt>
                <c:pt idx="10">
                  <c:v>8469.1870853778655</c:v>
                </c:pt>
                <c:pt idx="11">
                  <c:v>69447.623146504135</c:v>
                </c:pt>
                <c:pt idx="12">
                  <c:v>154403.10694824732</c:v>
                </c:pt>
                <c:pt idx="13">
                  <c:v>54002.4632111807</c:v>
                </c:pt>
                <c:pt idx="14">
                  <c:v>77230.122630645958</c:v>
                </c:pt>
                <c:pt idx="15">
                  <c:v>107508.48362389361</c:v>
                </c:pt>
                <c:pt idx="16">
                  <c:v>100293.8581157094</c:v>
                </c:pt>
                <c:pt idx="17">
                  <c:v>69140.341564627364</c:v>
                </c:pt>
                <c:pt idx="18">
                  <c:v>45109.305540935755</c:v>
                </c:pt>
                <c:pt idx="19">
                  <c:v>584953.31523678184</c:v>
                </c:pt>
                <c:pt idx="20">
                  <c:v>808769.51652674365</c:v>
                </c:pt>
                <c:pt idx="21">
                  <c:v>128032.75725327023</c:v>
                </c:pt>
                <c:pt idx="22">
                  <c:v>37931.626713593076</c:v>
                </c:pt>
                <c:pt idx="23">
                  <c:v>108434.71348918106</c:v>
                </c:pt>
                <c:pt idx="24">
                  <c:v>16274.536298062774</c:v>
                </c:pt>
                <c:pt idx="25">
                  <c:v>22778.45930256167</c:v>
                </c:pt>
                <c:pt idx="26">
                  <c:v>90477.510647194838</c:v>
                </c:pt>
                <c:pt idx="27">
                  <c:v>78950.232397095868</c:v>
                </c:pt>
                <c:pt idx="28">
                  <c:v>98534.645691389203</c:v>
                </c:pt>
                <c:pt idx="29">
                  <c:v>48705.327492418321</c:v>
                </c:pt>
                <c:pt idx="30">
                  <c:v>237641.68732087381</c:v>
                </c:pt>
                <c:pt idx="31">
                  <c:v>206988.29501882155</c:v>
                </c:pt>
                <c:pt idx="32">
                  <c:v>534463.31068180094</c:v>
                </c:pt>
                <c:pt idx="33">
                  <c:v>640632.34540884045</c:v>
                </c:pt>
                <c:pt idx="34">
                  <c:v>84324.472084408568</c:v>
                </c:pt>
                <c:pt idx="35">
                  <c:v>89307.812417561232</c:v>
                </c:pt>
                <c:pt idx="36">
                  <c:v>64439.927682074529</c:v>
                </c:pt>
                <c:pt idx="37">
                  <c:v>22589.783635254509</c:v>
                </c:pt>
                <c:pt idx="38">
                  <c:v>444687.27391716075</c:v>
                </c:pt>
                <c:pt idx="39">
                  <c:v>142390.73932896907</c:v>
                </c:pt>
                <c:pt idx="40">
                  <c:v>582968.55949379725</c:v>
                </c:pt>
                <c:pt idx="41">
                  <c:v>42155.351325903001</c:v>
                </c:pt>
                <c:pt idx="42">
                  <c:v>551927.48562438402</c:v>
                </c:pt>
                <c:pt idx="43">
                  <c:v>732449.42031360324</c:v>
                </c:pt>
                <c:pt idx="44">
                  <c:v>539307.55863665545</c:v>
                </c:pt>
                <c:pt idx="45">
                  <c:v>14978.606759978573</c:v>
                </c:pt>
                <c:pt idx="46">
                  <c:v>6498.7954470695904</c:v>
                </c:pt>
                <c:pt idx="47">
                  <c:v>274035.19804771908</c:v>
                </c:pt>
                <c:pt idx="48">
                  <c:v>42122.608766486279</c:v>
                </c:pt>
                <c:pt idx="49">
                  <c:v>320745.50533027208</c:v>
                </c:pt>
                <c:pt idx="50">
                  <c:v>35537.178399212658</c:v>
                </c:pt>
                <c:pt idx="51">
                  <c:v>231110.95491025323</c:v>
                </c:pt>
                <c:pt idx="52">
                  <c:v>7944.4091073434965</c:v>
                </c:pt>
                <c:pt idx="53">
                  <c:v>209756.60067899412</c:v>
                </c:pt>
                <c:pt idx="54">
                  <c:v>28650.180322682791</c:v>
                </c:pt>
                <c:pt idx="55">
                  <c:v>16606.390051045906</c:v>
                </c:pt>
                <c:pt idx="56">
                  <c:v>586358.51357690804</c:v>
                </c:pt>
                <c:pt idx="57">
                  <c:v>101280.75125321237</c:v>
                </c:pt>
                <c:pt idx="58">
                  <c:v>55166.951039895139</c:v>
                </c:pt>
                <c:pt idx="59">
                  <c:v>598528.46719929739</c:v>
                </c:pt>
                <c:pt idx="60">
                  <c:v>301243.86639269174</c:v>
                </c:pt>
                <c:pt idx="61">
                  <c:v>438515.28154157114</c:v>
                </c:pt>
                <c:pt idx="62">
                  <c:v>80120.217849250184</c:v>
                </c:pt>
                <c:pt idx="63">
                  <c:v>52707.983641704355</c:v>
                </c:pt>
                <c:pt idx="64">
                  <c:v>533656.88256006397</c:v>
                </c:pt>
                <c:pt idx="65">
                  <c:v>106689.357700419</c:v>
                </c:pt>
                <c:pt idx="66">
                  <c:v>9668.6282216758882</c:v>
                </c:pt>
                <c:pt idx="67">
                  <c:v>8162.079116664102</c:v>
                </c:pt>
                <c:pt idx="68">
                  <c:v>17140.65642457538</c:v>
                </c:pt>
                <c:pt idx="69">
                  <c:v>264212.75869013584</c:v>
                </c:pt>
                <c:pt idx="70">
                  <c:v>532638.43951757601</c:v>
                </c:pt>
                <c:pt idx="71">
                  <c:v>29013.604762670911</c:v>
                </c:pt>
                <c:pt idx="72">
                  <c:v>9699.3151506352078</c:v>
                </c:pt>
                <c:pt idx="73">
                  <c:v>33535.508669188093</c:v>
                </c:pt>
                <c:pt idx="74">
                  <c:v>12611.951625687971</c:v>
                </c:pt>
                <c:pt idx="75">
                  <c:v>122348.71306790687</c:v>
                </c:pt>
                <c:pt idx="76">
                  <c:v>468164.28187001811</c:v>
                </c:pt>
                <c:pt idx="77">
                  <c:v>120903.42261911956</c:v>
                </c:pt>
                <c:pt idx="78">
                  <c:v>50311.171120251092</c:v>
                </c:pt>
                <c:pt idx="79">
                  <c:v>13924.541462254903</c:v>
                </c:pt>
                <c:pt idx="80">
                  <c:v>29762.337099647295</c:v>
                </c:pt>
                <c:pt idx="81">
                  <c:v>94349.195705308462</c:v>
                </c:pt>
                <c:pt idx="82">
                  <c:v>9861.4204579011148</c:v>
                </c:pt>
                <c:pt idx="83">
                  <c:v>123641.67083000572</c:v>
                </c:pt>
                <c:pt idx="84">
                  <c:v>5886.7042196154944</c:v>
                </c:pt>
                <c:pt idx="85">
                  <c:v>87569.285479778002</c:v>
                </c:pt>
                <c:pt idx="86">
                  <c:v>19131.370433257322</c:v>
                </c:pt>
                <c:pt idx="87">
                  <c:v>20619.143986430154</c:v>
                </c:pt>
                <c:pt idx="88">
                  <c:v>61429.355955282292</c:v>
                </c:pt>
                <c:pt idx="89">
                  <c:v>5234.6280906908414</c:v>
                </c:pt>
                <c:pt idx="90">
                  <c:v>108354.65370926178</c:v>
                </c:pt>
                <c:pt idx="91">
                  <c:v>86700.373460582574</c:v>
                </c:pt>
                <c:pt idx="92">
                  <c:v>5753.6277801045389</c:v>
                </c:pt>
                <c:pt idx="93">
                  <c:v>11106.290162074638</c:v>
                </c:pt>
                <c:pt idx="94">
                  <c:v>23037.418327527284</c:v>
                </c:pt>
                <c:pt idx="95">
                  <c:v>553346.40608354122</c:v>
                </c:pt>
                <c:pt idx="96">
                  <c:v>810767.22258157877</c:v>
                </c:pt>
                <c:pt idx="97">
                  <c:v>9869.5841259947902</c:v>
                </c:pt>
                <c:pt idx="98">
                  <c:v>647343.7092444133</c:v>
                </c:pt>
                <c:pt idx="99">
                  <c:v>18769.434272279592</c:v>
                </c:pt>
                <c:pt idx="100">
                  <c:v>72671.957924142174</c:v>
                </c:pt>
                <c:pt idx="101">
                  <c:v>75608.377091136077</c:v>
                </c:pt>
                <c:pt idx="102">
                  <c:v>16673.057021730805</c:v>
                </c:pt>
                <c:pt idx="103">
                  <c:v>60349.579013135655</c:v>
                </c:pt>
                <c:pt idx="104">
                  <c:v>166023.18872631018</c:v>
                </c:pt>
                <c:pt idx="105">
                  <c:v>363610.5271671057</c:v>
                </c:pt>
                <c:pt idx="106">
                  <c:v>38721.812542473352</c:v>
                </c:pt>
                <c:pt idx="107">
                  <c:v>506419.69836134155</c:v>
                </c:pt>
                <c:pt idx="108">
                  <c:v>84681.137570504638</c:v>
                </c:pt>
                <c:pt idx="109">
                  <c:v>189657.69158154767</c:v>
                </c:pt>
                <c:pt idx="110">
                  <c:v>5750.1311505088543</c:v>
                </c:pt>
                <c:pt idx="111">
                  <c:v>362345.92298080953</c:v>
                </c:pt>
                <c:pt idx="112">
                  <c:v>12613.428209046702</c:v>
                </c:pt>
                <c:pt idx="113">
                  <c:v>15799.966051464835</c:v>
                </c:pt>
                <c:pt idx="114">
                  <c:v>349636.03074082662</c:v>
                </c:pt>
                <c:pt idx="115">
                  <c:v>8583.3695790823003</c:v>
                </c:pt>
                <c:pt idx="116">
                  <c:v>36512.068538385363</c:v>
                </c:pt>
                <c:pt idx="117">
                  <c:v>85723.436896685438</c:v>
                </c:pt>
                <c:pt idx="118">
                  <c:v>131503.50103154327</c:v>
                </c:pt>
                <c:pt idx="119">
                  <c:v>291792.47721146018</c:v>
                </c:pt>
                <c:pt idx="120">
                  <c:v>575934.32511775184</c:v>
                </c:pt>
                <c:pt idx="121">
                  <c:v>46463.495940035267</c:v>
                </c:pt>
                <c:pt idx="122">
                  <c:v>26602.956271003732</c:v>
                </c:pt>
                <c:pt idx="123">
                  <c:v>8939.6433456235191</c:v>
                </c:pt>
                <c:pt idx="124">
                  <c:v>39958.591297582134</c:v>
                </c:pt>
                <c:pt idx="125">
                  <c:v>6244.5534186703035</c:v>
                </c:pt>
                <c:pt idx="126">
                  <c:v>114477.22994813989</c:v>
                </c:pt>
                <c:pt idx="127">
                  <c:v>75079.542751528978</c:v>
                </c:pt>
                <c:pt idx="128">
                  <c:v>140670.65716953951</c:v>
                </c:pt>
                <c:pt idx="129">
                  <c:v>10301.669972409531</c:v>
                </c:pt>
                <c:pt idx="130">
                  <c:v>6662.2542216897864</c:v>
                </c:pt>
                <c:pt idx="131">
                  <c:v>50744.779327032193</c:v>
                </c:pt>
                <c:pt idx="132">
                  <c:v>92278.337850684475</c:v>
                </c:pt>
                <c:pt idx="133">
                  <c:v>591751.75364395161</c:v>
                </c:pt>
                <c:pt idx="134">
                  <c:v>220932.04720670579</c:v>
                </c:pt>
                <c:pt idx="135">
                  <c:v>12804.791271227457</c:v>
                </c:pt>
                <c:pt idx="136">
                  <c:v>25530.309103797557</c:v>
                </c:pt>
                <c:pt idx="137">
                  <c:v>71144.27221599553</c:v>
                </c:pt>
                <c:pt idx="138">
                  <c:v>34652.660506888511</c:v>
                </c:pt>
                <c:pt idx="139">
                  <c:v>13013.423535156866</c:v>
                </c:pt>
              </c:numCache>
            </c:numRef>
          </c:yVal>
          <c:smooth val="0"/>
          <c:extLst xmlns:c16r2="http://schemas.microsoft.com/office/drawing/2015/06/chart">
            <c:ext xmlns:c16="http://schemas.microsoft.com/office/drawing/2014/chart" uri="{C3380CC4-5D6E-409C-BE32-E72D297353CC}">
              <c16:uniqueId val="{00000001-113E-49AA-8B9B-E71EBBBF1F38}"/>
            </c:ext>
          </c:extLst>
        </c:ser>
        <c:dLbls>
          <c:showLegendKey val="0"/>
          <c:showVal val="0"/>
          <c:showCatName val="0"/>
          <c:showSerName val="0"/>
          <c:showPercent val="0"/>
          <c:showBubbleSize val="0"/>
        </c:dLbls>
        <c:axId val="39556992"/>
        <c:axId val="39558528"/>
      </c:scatterChart>
      <c:valAx>
        <c:axId val="39556992"/>
        <c:scaling>
          <c:orientation val="minMax"/>
        </c:scaling>
        <c:delete val="0"/>
        <c:axPos val="b"/>
        <c:majorGridlines>
          <c:spPr>
            <a:ln w="9525">
              <a:solidFill>
                <a:schemeClr val="tx1">
                  <a:lumMod val="15000"/>
                  <a:lumOff val="85000"/>
                </a:schemeClr>
              </a:solidFill>
              <a:round/>
            </a:ln>
            <a:effectLst/>
          </c:spPr>
        </c:majorGridlines>
        <c:numFmt formatCode="#,##0_);[Red]\(#,##0\)"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39558528"/>
        <c:crosses val="autoZero"/>
        <c:crossBetween val="midCat"/>
      </c:valAx>
      <c:valAx>
        <c:axId val="39558528"/>
        <c:scaling>
          <c:orientation val="minMax"/>
        </c:scaling>
        <c:delete val="0"/>
        <c:axPos val="l"/>
        <c:majorGridlines>
          <c:spPr>
            <a:ln w="9525">
              <a:solidFill>
                <a:schemeClr val="tx1">
                  <a:lumMod val="15000"/>
                  <a:lumOff val="85000"/>
                </a:schemeClr>
              </a:solidFill>
              <a:round/>
            </a:ln>
            <a:effectLst/>
          </c:spPr>
        </c:majorGridlines>
        <c:numFmt formatCode="#,##0_);[Red]\(#,##0\)"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39556992"/>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'CWN wealth'!$Y$4</c:f>
              <c:strCache>
                <c:ptCount val="1"/>
                <c:pt idx="0">
                  <c:v>Wealth</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layout/>
              <c:numFmt formatCode="General" sourceLinked="0"/>
              <c:spPr>
                <a:noFill/>
                <a:ln>
                  <a:noFill/>
                </a:ln>
                <a:effectLst/>
              </c:spPr>
              <c:txPr>
                <a:bodyPr rot="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trendlineLbl>
          </c:trendline>
          <c:xVal>
            <c:numRef>
              <c:f>'CWN wealth'!$X$5:$X$145</c:f>
              <c:numCache>
                <c:formatCode>#,##0_ </c:formatCode>
                <c:ptCount val="141"/>
                <c:pt idx="0">
                  <c:v>4065.8992001358492</c:v>
                </c:pt>
                <c:pt idx="1">
                  <c:v>8990.8585176980014</c:v>
                </c:pt>
                <c:pt idx="2">
                  <c:v>2900.9750979583732</c:v>
                </c:pt>
                <c:pt idx="3">
                  <c:v>42292.823741911423</c:v>
                </c:pt>
                <c:pt idx="4">
                  <c:v>38813.908245625658</c:v>
                </c:pt>
                <c:pt idx="6">
                  <c:v>15972.16355766963</c:v>
                </c:pt>
                <c:pt idx="7">
                  <c:v>882.22111125332333</c:v>
                </c:pt>
                <c:pt idx="8">
                  <c:v>5987.3883753834125</c:v>
                </c:pt>
                <c:pt idx="9">
                  <c:v>35966.08627908682</c:v>
                </c:pt>
                <c:pt idx="10">
                  <c:v>3419.4793006418722</c:v>
                </c:pt>
                <c:pt idx="11">
                  <c:v>1710.1583701479292</c:v>
                </c:pt>
                <c:pt idx="12">
                  <c:v>4010.4315782744702</c:v>
                </c:pt>
                <c:pt idx="13">
                  <c:v>5905.0693390105698</c:v>
                </c:pt>
                <c:pt idx="14">
                  <c:v>9869.0592707471133</c:v>
                </c:pt>
                <c:pt idx="15">
                  <c:v>6167.1154917155854</c:v>
                </c:pt>
                <c:pt idx="16">
                  <c:v>506.16305526132692</c:v>
                </c:pt>
                <c:pt idx="17">
                  <c:v>187.52035854330924</c:v>
                </c:pt>
                <c:pt idx="18">
                  <c:v>818.70855728233357</c:v>
                </c:pt>
                <c:pt idx="19">
                  <c:v>1178.248139645385</c:v>
                </c:pt>
                <c:pt idx="20">
                  <c:v>40730.192986874994</c:v>
                </c:pt>
                <c:pt idx="21">
                  <c:v>240.39023927574081</c:v>
                </c:pt>
                <c:pt idx="22">
                  <c:v>736.68829245073255</c:v>
                </c:pt>
                <c:pt idx="23">
                  <c:v>10729.130384912338</c:v>
                </c:pt>
                <c:pt idx="24">
                  <c:v>4774.3967640994279</c:v>
                </c:pt>
                <c:pt idx="25">
                  <c:v>5879.9623273115731</c:v>
                </c:pt>
                <c:pt idx="26">
                  <c:v>717.30100323454292</c:v>
                </c:pt>
                <c:pt idx="27">
                  <c:v>280.17206265025737</c:v>
                </c:pt>
                <c:pt idx="28">
                  <c:v>835.11541458864053</c:v>
                </c:pt>
                <c:pt idx="29">
                  <c:v>8077.9939014957345</c:v>
                </c:pt>
                <c:pt idx="31">
                  <c:v>11143.987349662921</c:v>
                </c:pt>
                <c:pt idx="32">
                  <c:v>51321.025463120481</c:v>
                </c:pt>
                <c:pt idx="34">
                  <c:v>5334.5849009338599</c:v>
                </c:pt>
                <c:pt idx="35">
                  <c:v>4411.0592005610915</c:v>
                </c:pt>
                <c:pt idx="36">
                  <c:v>2387.6274396311796</c:v>
                </c:pt>
                <c:pt idx="37">
                  <c:v>3198.4158801015801</c:v>
                </c:pt>
                <c:pt idx="38">
                  <c:v>14346.461627170467</c:v>
                </c:pt>
                <c:pt idx="40">
                  <c:v>36756.676663885024</c:v>
                </c:pt>
                <c:pt idx="41">
                  <c:v>34543.677067738572</c:v>
                </c:pt>
                <c:pt idx="42">
                  <c:v>6691.0251101225804</c:v>
                </c:pt>
                <c:pt idx="44">
                  <c:v>3497.9156529315037</c:v>
                </c:pt>
                <c:pt idx="45">
                  <c:v>37762.196663754876</c:v>
                </c:pt>
                <c:pt idx="46">
                  <c:v>798.27780434300394</c:v>
                </c:pt>
                <c:pt idx="47">
                  <c:v>18428.113082501281</c:v>
                </c:pt>
                <c:pt idx="48">
                  <c:v>2525.6618677999172</c:v>
                </c:pt>
                <c:pt idx="49">
                  <c:v>503.50308126669489</c:v>
                </c:pt>
                <c:pt idx="51">
                  <c:v>668.11112412358807</c:v>
                </c:pt>
                <c:pt idx="52">
                  <c:v>1909.8878856500764</c:v>
                </c:pt>
                <c:pt idx="53">
                  <c:v>10887.867191946083</c:v>
                </c:pt>
                <c:pt idx="55">
                  <c:v>1414.9453057801154</c:v>
                </c:pt>
                <c:pt idx="56">
                  <c:v>2720.4041727530071</c:v>
                </c:pt>
                <c:pt idx="58">
                  <c:v>37211.217954172687</c:v>
                </c:pt>
                <c:pt idx="59">
                  <c:v>27422.272706748277</c:v>
                </c:pt>
                <c:pt idx="60">
                  <c:v>4235.983099977042</c:v>
                </c:pt>
                <c:pt idx="61">
                  <c:v>36783.195770983359</c:v>
                </c:pt>
                <c:pt idx="62">
                  <c:v>3390.6878637714813</c:v>
                </c:pt>
                <c:pt idx="63">
                  <c:v>7920.7350433657402</c:v>
                </c:pt>
                <c:pt idx="64">
                  <c:v>896.86168710002892</c:v>
                </c:pt>
                <c:pt idx="65">
                  <c:v>19418.010698122889</c:v>
                </c:pt>
                <c:pt idx="66">
                  <c:v>34059.017218114743</c:v>
                </c:pt>
                <c:pt idx="67">
                  <c:v>753.35830514796839</c:v>
                </c:pt>
                <c:pt idx="68">
                  <c:v>1082.9517180709493</c:v>
                </c:pt>
                <c:pt idx="69">
                  <c:v>10412.711367403157</c:v>
                </c:pt>
                <c:pt idx="70">
                  <c:v>6044.7488528317554</c:v>
                </c:pt>
                <c:pt idx="71">
                  <c:v>200.21218325807212</c:v>
                </c:pt>
                <c:pt idx="72">
                  <c:v>12669.360193612996</c:v>
                </c:pt>
                <c:pt idx="73">
                  <c:v>58872.473989373364</c:v>
                </c:pt>
                <c:pt idx="74">
                  <c:v>3930.6942172515719</c:v>
                </c:pt>
                <c:pt idx="75">
                  <c:v>391.3184812747599</c:v>
                </c:pt>
                <c:pt idx="76">
                  <c:v>356.70680619131798</c:v>
                </c:pt>
                <c:pt idx="77">
                  <c:v>8087.9744688499204</c:v>
                </c:pt>
                <c:pt idx="79">
                  <c:v>636.85327889070288</c:v>
                </c:pt>
                <c:pt idx="81">
                  <c:v>755.96112374670849</c:v>
                </c:pt>
                <c:pt idx="82">
                  <c:v>7082.7890000676607</c:v>
                </c:pt>
                <c:pt idx="83">
                  <c:v>7710.3861270147199</c:v>
                </c:pt>
                <c:pt idx="84">
                  <c:v>2059.2025936335667</c:v>
                </c:pt>
                <c:pt idx="85">
                  <c:v>2861.6242948732061</c:v>
                </c:pt>
                <c:pt idx="86">
                  <c:v>2704.0503101079876</c:v>
                </c:pt>
                <c:pt idx="87">
                  <c:v>427.33093130102725</c:v>
                </c:pt>
                <c:pt idx="88">
                  <c:v>5529.9068528883072</c:v>
                </c:pt>
                <c:pt idx="89">
                  <c:v>648.29011601643379</c:v>
                </c:pt>
                <c:pt idx="90">
                  <c:v>41113.028137268899</c:v>
                </c:pt>
                <c:pt idx="91">
                  <c:v>1571.0511176075145</c:v>
                </c:pt>
                <c:pt idx="92">
                  <c:v>319.64821605793389</c:v>
                </c:pt>
                <c:pt idx="93">
                  <c:v>1882.4365137649459</c:v>
                </c:pt>
                <c:pt idx="94">
                  <c:v>72738.704420878596</c:v>
                </c:pt>
                <c:pt idx="95">
                  <c:v>8526.989065727701</c:v>
                </c:pt>
                <c:pt idx="96">
                  <c:v>1092.2690377816054</c:v>
                </c:pt>
                <c:pt idx="97">
                  <c:v>9259.061090741825</c:v>
                </c:pt>
                <c:pt idx="99">
                  <c:v>3037.3317889075802</c:v>
                </c:pt>
                <c:pt idx="100">
                  <c:v>4794.041717677389</c:v>
                </c:pt>
                <c:pt idx="101">
                  <c:v>2732.4071999712346</c:v>
                </c:pt>
                <c:pt idx="102">
                  <c:v>11959.475075123924</c:v>
                </c:pt>
                <c:pt idx="103">
                  <c:v>17441.735127222408</c:v>
                </c:pt>
                <c:pt idx="104">
                  <c:v>57135.55815542402</c:v>
                </c:pt>
                <c:pt idx="105">
                  <c:v>7470.7800025909419</c:v>
                </c:pt>
                <c:pt idx="106">
                  <c:v>9708.4092317882241</c:v>
                </c:pt>
                <c:pt idx="107">
                  <c:v>554.35795061774047</c:v>
                </c:pt>
                <c:pt idx="108">
                  <c:v>17153.544468458156</c:v>
                </c:pt>
                <c:pt idx="109">
                  <c:v>877.67441256597647</c:v>
                </c:pt>
                <c:pt idx="110">
                  <c:v>434.77865509814143</c:v>
                </c:pt>
                <c:pt idx="111">
                  <c:v>40794.027187673768</c:v>
                </c:pt>
                <c:pt idx="112">
                  <c:v>13614.998052482231</c:v>
                </c:pt>
                <c:pt idx="113">
                  <c:v>18111.464686778694</c:v>
                </c:pt>
                <c:pt idx="115">
                  <c:v>6146.0754734871125</c:v>
                </c:pt>
                <c:pt idx="116">
                  <c:v>23774.599015992208</c:v>
                </c:pt>
                <c:pt idx="117">
                  <c:v>3205.7341504454257</c:v>
                </c:pt>
                <c:pt idx="120">
                  <c:v>45472.403776107836</c:v>
                </c:pt>
                <c:pt idx="121">
                  <c:v>59956.944409821823</c:v>
                </c:pt>
                <c:pt idx="123">
                  <c:v>720.12599015789124</c:v>
                </c:pt>
                <c:pt idx="124">
                  <c:v>4188.2450483960065</c:v>
                </c:pt>
                <c:pt idx="125">
                  <c:v>494.35598261920933</c:v>
                </c:pt>
                <c:pt idx="127">
                  <c:v>10953.838482836896</c:v>
                </c:pt>
                <c:pt idx="129">
                  <c:v>481.29162243694651</c:v>
                </c:pt>
                <c:pt idx="130">
                  <c:v>2722.5532467018706</c:v>
                </c:pt>
                <c:pt idx="131">
                  <c:v>39645.252575972838</c:v>
                </c:pt>
                <c:pt idx="132">
                  <c:v>34972.966282636386</c:v>
                </c:pt>
                <c:pt idx="133">
                  <c:v>43982.560955091161</c:v>
                </c:pt>
                <c:pt idx="134">
                  <c:v>12059.949161078584</c:v>
                </c:pt>
                <c:pt idx="135">
                  <c:v>9899.1019141702291</c:v>
                </c:pt>
                <c:pt idx="136">
                  <c:v>1350.2638527508657</c:v>
                </c:pt>
                <c:pt idx="140">
                  <c:v>663.94402587012019</c:v>
                </c:pt>
              </c:numCache>
            </c:numRef>
          </c:xVal>
          <c:yVal>
            <c:numRef>
              <c:f>'CWN wealth'!$Y$5:$Y$145</c:f>
              <c:numCache>
                <c:formatCode>#,##0</c:formatCode>
                <c:ptCount val="141"/>
                <c:pt idx="0">
                  <c:v>53107</c:v>
                </c:pt>
                <c:pt idx="1">
                  <c:v>126516</c:v>
                </c:pt>
                <c:pt idx="2">
                  <c:v>52894</c:v>
                </c:pt>
                <c:pt idx="3">
                  <c:v>1046785</c:v>
                </c:pt>
                <c:pt idx="4">
                  <c:v>694616</c:v>
                </c:pt>
                <c:pt idx="5">
                  <c:v>85341</c:v>
                </c:pt>
                <c:pt idx="6">
                  <c:v>270311</c:v>
                </c:pt>
                <c:pt idx="7">
                  <c:v>12714</c:v>
                </c:pt>
                <c:pt idx="8">
                  <c:v>99685</c:v>
                </c:pt>
                <c:pt idx="9">
                  <c:v>645969</c:v>
                </c:pt>
                <c:pt idx="10">
                  <c:v>58872</c:v>
                </c:pt>
                <c:pt idx="11">
                  <c:v>49235</c:v>
                </c:pt>
                <c:pt idx="12">
                  <c:v>40486</c:v>
                </c:pt>
                <c:pt idx="13">
                  <c:v>95797</c:v>
                </c:pt>
                <c:pt idx="14">
                  <c:v>188883</c:v>
                </c:pt>
                <c:pt idx="15">
                  <c:v>81878</c:v>
                </c:pt>
                <c:pt idx="16">
                  <c:v>12323</c:v>
                </c:pt>
                <c:pt idx="17">
                  <c:v>7579</c:v>
                </c:pt>
                <c:pt idx="18">
                  <c:v>16933</c:v>
                </c:pt>
                <c:pt idx="19">
                  <c:v>31398</c:v>
                </c:pt>
                <c:pt idx="20">
                  <c:v>1016593</c:v>
                </c:pt>
                <c:pt idx="21">
                  <c:v>21055</c:v>
                </c:pt>
                <c:pt idx="22">
                  <c:v>20077</c:v>
                </c:pt>
                <c:pt idx="23">
                  <c:v>237713</c:v>
                </c:pt>
                <c:pt idx="24">
                  <c:v>108172</c:v>
                </c:pt>
                <c:pt idx="25">
                  <c:v>129289</c:v>
                </c:pt>
                <c:pt idx="26">
                  <c:v>8836</c:v>
                </c:pt>
                <c:pt idx="27">
                  <c:v>12256</c:v>
                </c:pt>
                <c:pt idx="28">
                  <c:v>68779</c:v>
                </c:pt>
                <c:pt idx="29">
                  <c:v>166985</c:v>
                </c:pt>
                <c:pt idx="30">
                  <c:v>24485</c:v>
                </c:pt>
                <c:pt idx="31">
                  <c:v>147545</c:v>
                </c:pt>
                <c:pt idx="32">
                  <c:v>854331</c:v>
                </c:pt>
                <c:pt idx="33">
                  <c:v>22914</c:v>
                </c:pt>
                <c:pt idx="34">
                  <c:v>97257</c:v>
                </c:pt>
                <c:pt idx="35">
                  <c:v>102451</c:v>
                </c:pt>
                <c:pt idx="36">
                  <c:v>38470</c:v>
                </c:pt>
                <c:pt idx="37">
                  <c:v>44131</c:v>
                </c:pt>
                <c:pt idx="38">
                  <c:v>258903</c:v>
                </c:pt>
                <c:pt idx="39">
                  <c:v>13125</c:v>
                </c:pt>
                <c:pt idx="40">
                  <c:v>726422</c:v>
                </c:pt>
                <c:pt idx="41">
                  <c:v>641707</c:v>
                </c:pt>
                <c:pt idx="42">
                  <c:v>199901</c:v>
                </c:pt>
                <c:pt idx="43">
                  <c:v>5208</c:v>
                </c:pt>
                <c:pt idx="44">
                  <c:v>44327</c:v>
                </c:pt>
                <c:pt idx="45">
                  <c:v>729064</c:v>
                </c:pt>
                <c:pt idx="46">
                  <c:v>25044</c:v>
                </c:pt>
                <c:pt idx="47">
                  <c:v>227925</c:v>
                </c:pt>
                <c:pt idx="48">
                  <c:v>43140</c:v>
                </c:pt>
                <c:pt idx="49">
                  <c:v>8943</c:v>
                </c:pt>
                <c:pt idx="50">
                  <c:v>69971</c:v>
                </c:pt>
                <c:pt idx="51">
                  <c:v>15040</c:v>
                </c:pt>
                <c:pt idx="52">
                  <c:v>44778</c:v>
                </c:pt>
                <c:pt idx="53">
                  <c:v>165519</c:v>
                </c:pt>
                <c:pt idx="54">
                  <c:v>825857</c:v>
                </c:pt>
                <c:pt idx="55">
                  <c:v>18211</c:v>
                </c:pt>
                <c:pt idx="56">
                  <c:v>46919</c:v>
                </c:pt>
                <c:pt idx="57">
                  <c:v>101705</c:v>
                </c:pt>
                <c:pt idx="58">
                  <c:v>627256</c:v>
                </c:pt>
                <c:pt idx="59">
                  <c:v>427466</c:v>
                </c:pt>
                <c:pt idx="60">
                  <c:v>71766</c:v>
                </c:pt>
                <c:pt idx="61">
                  <c:v>571927</c:v>
                </c:pt>
                <c:pt idx="62">
                  <c:v>49287</c:v>
                </c:pt>
                <c:pt idx="63">
                  <c:v>180911</c:v>
                </c:pt>
                <c:pt idx="64">
                  <c:v>19412</c:v>
                </c:pt>
                <c:pt idx="65">
                  <c:v>424052</c:v>
                </c:pt>
                <c:pt idx="66">
                  <c:v>1123144</c:v>
                </c:pt>
                <c:pt idx="67">
                  <c:v>24429</c:v>
                </c:pt>
                <c:pt idx="68">
                  <c:v>39307</c:v>
                </c:pt>
                <c:pt idx="69">
                  <c:v>236906</c:v>
                </c:pt>
                <c:pt idx="70">
                  <c:v>65148</c:v>
                </c:pt>
                <c:pt idx="71">
                  <c:v>10227</c:v>
                </c:pt>
                <c:pt idx="72">
                  <c:v>169046</c:v>
                </c:pt>
                <c:pt idx="73">
                  <c:v>1288607</c:v>
                </c:pt>
                <c:pt idx="74">
                  <c:v>52210</c:v>
                </c:pt>
                <c:pt idx="75">
                  <c:v>9237</c:v>
                </c:pt>
                <c:pt idx="76">
                  <c:v>10442</c:v>
                </c:pt>
                <c:pt idx="77">
                  <c:v>239203</c:v>
                </c:pt>
                <c:pt idx="78">
                  <c:v>44991</c:v>
                </c:pt>
                <c:pt idx="79">
                  <c:v>17165</c:v>
                </c:pt>
                <c:pt idx="80">
                  <c:v>303804</c:v>
                </c:pt>
                <c:pt idx="81">
                  <c:v>29380</c:v>
                </c:pt>
                <c:pt idx="82">
                  <c:v>97018</c:v>
                </c:pt>
                <c:pt idx="83">
                  <c:v>110471</c:v>
                </c:pt>
                <c:pt idx="84">
                  <c:v>35380</c:v>
                </c:pt>
                <c:pt idx="85">
                  <c:v>79004</c:v>
                </c:pt>
                <c:pt idx="86">
                  <c:v>40488</c:v>
                </c:pt>
                <c:pt idx="87">
                  <c:v>7718</c:v>
                </c:pt>
                <c:pt idx="88">
                  <c:v>84398</c:v>
                </c:pt>
                <c:pt idx="89">
                  <c:v>14368</c:v>
                </c:pt>
                <c:pt idx="90">
                  <c:v>792396</c:v>
                </c:pt>
                <c:pt idx="91">
                  <c:v>37084</c:v>
                </c:pt>
                <c:pt idx="92">
                  <c:v>11623</c:v>
                </c:pt>
                <c:pt idx="93">
                  <c:v>37408</c:v>
                </c:pt>
                <c:pt idx="94">
                  <c:v>1671756</c:v>
                </c:pt>
                <c:pt idx="95">
                  <c:v>277574</c:v>
                </c:pt>
                <c:pt idx="96">
                  <c:v>22182</c:v>
                </c:pt>
                <c:pt idx="97">
                  <c:v>136125</c:v>
                </c:pt>
                <c:pt idx="98">
                  <c:v>50489</c:v>
                </c:pt>
                <c:pt idx="99">
                  <c:v>85575</c:v>
                </c:pt>
                <c:pt idx="100">
                  <c:v>81931</c:v>
                </c:pt>
                <c:pt idx="101">
                  <c:v>30823</c:v>
                </c:pt>
                <c:pt idx="102">
                  <c:v>154932</c:v>
                </c:pt>
                <c:pt idx="103">
                  <c:v>274453</c:v>
                </c:pt>
                <c:pt idx="104">
                  <c:v>1597125</c:v>
                </c:pt>
                <c:pt idx="105">
                  <c:v>107022</c:v>
                </c:pt>
                <c:pt idx="106">
                  <c:v>188715</c:v>
                </c:pt>
                <c:pt idx="107">
                  <c:v>21619</c:v>
                </c:pt>
                <c:pt idx="108">
                  <c:v>512869</c:v>
                </c:pt>
                <c:pt idx="109">
                  <c:v>13085</c:v>
                </c:pt>
                <c:pt idx="110">
                  <c:v>14742</c:v>
                </c:pt>
                <c:pt idx="111">
                  <c:v>775196</c:v>
                </c:pt>
                <c:pt idx="112">
                  <c:v>213211</c:v>
                </c:pt>
                <c:pt idx="113">
                  <c:v>351776</c:v>
                </c:pt>
                <c:pt idx="114">
                  <c:v>31245</c:v>
                </c:pt>
                <c:pt idx="115">
                  <c:v>77348</c:v>
                </c:pt>
                <c:pt idx="116">
                  <c:v>342470</c:v>
                </c:pt>
                <c:pt idx="117">
                  <c:v>44970</c:v>
                </c:pt>
                <c:pt idx="118">
                  <c:v>161690</c:v>
                </c:pt>
                <c:pt idx="119">
                  <c:v>52670</c:v>
                </c:pt>
                <c:pt idx="120">
                  <c:v>886129</c:v>
                </c:pt>
                <c:pt idx="121">
                  <c:v>1466757</c:v>
                </c:pt>
                <c:pt idx="122">
                  <c:v>42286</c:v>
                </c:pt>
                <c:pt idx="123">
                  <c:v>17451</c:v>
                </c:pt>
                <c:pt idx="124">
                  <c:v>62599</c:v>
                </c:pt>
                <c:pt idx="125">
                  <c:v>18924</c:v>
                </c:pt>
                <c:pt idx="126">
                  <c:v>45150</c:v>
                </c:pt>
                <c:pt idx="127">
                  <c:v>45998</c:v>
                </c:pt>
                <c:pt idx="128">
                  <c:v>146831</c:v>
                </c:pt>
                <c:pt idx="129">
                  <c:v>13732</c:v>
                </c:pt>
                <c:pt idx="130">
                  <c:v>56053</c:v>
                </c:pt>
                <c:pt idx="131">
                  <c:v>738270</c:v>
                </c:pt>
                <c:pt idx="132">
                  <c:v>647694</c:v>
                </c:pt>
                <c:pt idx="133">
                  <c:v>983280</c:v>
                </c:pt>
                <c:pt idx="134">
                  <c:v>254601</c:v>
                </c:pt>
                <c:pt idx="135">
                  <c:v>162560</c:v>
                </c:pt>
                <c:pt idx="136">
                  <c:v>27368</c:v>
                </c:pt>
                <c:pt idx="137">
                  <c:v>30567</c:v>
                </c:pt>
                <c:pt idx="138">
                  <c:v>22909</c:v>
                </c:pt>
                <c:pt idx="139">
                  <c:v>40965</c:v>
                </c:pt>
                <c:pt idx="140">
                  <c:v>18958</c:v>
                </c:pt>
              </c:numCache>
            </c:numRef>
          </c:yVal>
          <c:smooth val="0"/>
          <c:extLst xmlns:c16r2="http://schemas.microsoft.com/office/drawing/2015/06/chart">
            <c:ext xmlns:c16="http://schemas.microsoft.com/office/drawing/2014/chart" uri="{C3380CC4-5D6E-409C-BE32-E72D297353CC}">
              <c16:uniqueId val="{00000001-5AB3-4223-98BB-D4567581749E}"/>
            </c:ext>
          </c:extLst>
        </c:ser>
        <c:dLbls>
          <c:showLegendKey val="0"/>
          <c:showVal val="0"/>
          <c:showCatName val="0"/>
          <c:showSerName val="0"/>
          <c:showPercent val="0"/>
          <c:showBubbleSize val="0"/>
        </c:dLbls>
        <c:axId val="39580032"/>
        <c:axId val="39581568"/>
      </c:scatterChart>
      <c:valAx>
        <c:axId val="39580032"/>
        <c:scaling>
          <c:orientation val="minMax"/>
        </c:scaling>
        <c:delete val="0"/>
        <c:axPos val="b"/>
        <c:majorGridlines>
          <c:spPr>
            <a:ln w="9525">
              <a:solidFill>
                <a:schemeClr val="tx1">
                  <a:lumMod val="15000"/>
                  <a:lumOff val="85000"/>
                </a:schemeClr>
              </a:solidFill>
              <a:round/>
            </a:ln>
            <a:effectLst/>
          </c:spPr>
        </c:majorGridlines>
        <c:numFmt formatCode="#,##0_ "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39581568"/>
        <c:crosses val="autoZero"/>
        <c:crossBetween val="midCat"/>
      </c:valAx>
      <c:valAx>
        <c:axId val="39581568"/>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39580032"/>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I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layout/>
              <c:numFmt formatCode="General" sourceLinked="0"/>
              <c:spPr>
                <a:noFill/>
                <a:ln>
                  <a:noFill/>
                </a:ln>
                <a:effectLst/>
              </c:spPr>
              <c:txPr>
                <a:bodyPr rot="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trendlineLbl>
          </c:trendline>
          <c:xVal>
            <c:numRef>
              <c:f>'CWN wealth'!$AA$5:$AA$145</c:f>
              <c:numCache>
                <c:formatCode>#,##0_ </c:formatCode>
                <c:ptCount val="141"/>
                <c:pt idx="0">
                  <c:v>4613.4165335464804</c:v>
                </c:pt>
                <c:pt idx="1">
                  <c:v>11994.693563304174</c:v>
                </c:pt>
                <c:pt idx="2">
                  <c:v>4041.926495512073</c:v>
                </c:pt>
                <c:pt idx="3">
                  <c:v>60806.158084475253</c:v>
                </c:pt>
                <c:pt idx="4">
                  <c:v>51801.682717391697</c:v>
                </c:pt>
                <c:pt idx="5">
                  <c:v>7665.1005228622644</c:v>
                </c:pt>
                <c:pt idx="6">
                  <c:v>20356.195080479458</c:v>
                </c:pt>
                <c:pt idx="7">
                  <c:v>1159.2300561802044</c:v>
                </c:pt>
                <c:pt idx="8">
                  <c:v>8063.9032559803209</c:v>
                </c:pt>
                <c:pt idx="9">
                  <c:v>47619.198662814488</c:v>
                </c:pt>
                <c:pt idx="10">
                  <c:v>4421.7512638396893</c:v>
                </c:pt>
                <c:pt idx="11">
                  <c:v>2963.3178509018057</c:v>
                </c:pt>
                <c:pt idx="12">
                  <c:v>4899.7814216939742</c:v>
                </c:pt>
                <c:pt idx="13">
                  <c:v>7164.6888313668824</c:v>
                </c:pt>
                <c:pt idx="14">
                  <c:v>11681.886868025606</c:v>
                </c:pt>
                <c:pt idx="15">
                  <c:v>7796.7030170477483</c:v>
                </c:pt>
                <c:pt idx="16">
                  <c:v>683.28682263866813</c:v>
                </c:pt>
                <c:pt idx="17">
                  <c:v>249.51737998848751</c:v>
                </c:pt>
                <c:pt idx="18">
                  <c:v>1032.4544438000478</c:v>
                </c:pt>
                <c:pt idx="19">
                  <c:v>1521.6898001946249</c:v>
                </c:pt>
                <c:pt idx="20">
                  <c:v>49800.262107781324</c:v>
                </c:pt>
                <c:pt idx="21">
                  <c:v>355.94548690345732</c:v>
                </c:pt>
                <c:pt idx="22">
                  <c:v>980.26119983374565</c:v>
                </c:pt>
                <c:pt idx="23">
                  <c:v>14160.596202626388</c:v>
                </c:pt>
                <c:pt idx="24">
                  <c:v>7693.2511202314054</c:v>
                </c:pt>
                <c:pt idx="25">
                  <c:v>7712.497367884419</c:v>
                </c:pt>
                <c:pt idx="26">
                  <c:v>1492.9636865757132</c:v>
                </c:pt>
                <c:pt idx="27">
                  <c:v>438.97399774133373</c:v>
                </c:pt>
                <c:pt idx="28">
                  <c:v>2605.7795685631754</c:v>
                </c:pt>
                <c:pt idx="29">
                  <c:v>10179.652088429602</c:v>
                </c:pt>
                <c:pt idx="30">
                  <c:v>#N/A</c:v>
                </c:pt>
                <c:pt idx="31">
                  <c:v>13336.513555859061</c:v>
                </c:pt>
                <c:pt idx="32">
                  <c:v>64824.176662906626</c:v>
                </c:pt>
                <c:pt idx="33">
                  <c:v>1685.0984494442314</c:v>
                </c:pt>
                <c:pt idx="34">
                  <c:v>6036.7056988537079</c:v>
                </c:pt>
                <c:pt idx="35">
                  <c:v>6299.1290276575764</c:v>
                </c:pt>
                <c:pt idx="36">
                  <c:v>3329.6277654434984</c:v>
                </c:pt>
                <c:pt idx="37">
                  <c:v>3528.6194194677987</c:v>
                </c:pt>
                <c:pt idx="38">
                  <c:v>19417.287174584464</c:v>
                </c:pt>
                <c:pt idx="39">
                  <c:v>571.99008111041928</c:v>
                </c:pt>
                <c:pt idx="40">
                  <c:v>50368.401152956183</c:v>
                </c:pt>
                <c:pt idx="41">
                  <c:v>43613.179385309457</c:v>
                </c:pt>
                <c:pt idx="42">
                  <c:v>10211.276141283108</c:v>
                </c:pt>
                <c:pt idx="43">
                  <c:v>637.9501176220939</c:v>
                </c:pt>
                <c:pt idx="44">
                  <c:v>4388.933251685753</c:v>
                </c:pt>
                <c:pt idx="45">
                  <c:v>48991.219221644802</c:v>
                </c:pt>
                <c:pt idx="46">
                  <c:v>1936.9287148921189</c:v>
                </c:pt>
                <c:pt idx="47">
                  <c:v>21908.365790821666</c:v>
                </c:pt>
                <c:pt idx="48">
                  <c:v>3578.8445464754213</c:v>
                </c:pt>
                <c:pt idx="49">
                  <c:v>691.62261901044337</c:v>
                </c:pt>
                <c:pt idx="50">
                  <c:v>3993.9076708971679</c:v>
                </c:pt>
                <c:pt idx="51">
                  <c:v>834.7925203193829</c:v>
                </c:pt>
                <c:pt idx="52">
                  <c:v>2278.3221067954523</c:v>
                </c:pt>
                <c:pt idx="53">
                  <c:v>13526.162512091671</c:v>
                </c:pt>
                <c:pt idx="54">
                  <c:v>51612.091647562163</c:v>
                </c:pt>
                <c:pt idx="55">
                  <c:v>1555.6462076436487</c:v>
                </c:pt>
                <c:pt idx="56">
                  <c:v>3383.4951295071596</c:v>
                </c:pt>
                <c:pt idx="57">
                  <c:v>6579.1203112778603</c:v>
                </c:pt>
                <c:pt idx="58">
                  <c:v>47660.74851950533</c:v>
                </c:pt>
                <c:pt idx="59">
                  <c:v>35397.999242542006</c:v>
                </c:pt>
                <c:pt idx="60">
                  <c:v>4845.8428869531936</c:v>
                </c:pt>
                <c:pt idx="61">
                  <c:v>39525.699612808436</c:v>
                </c:pt>
                <c:pt idx="62">
                  <c:v>4774.7800572441738</c:v>
                </c:pt>
                <c:pt idx="63">
                  <c:v>11497.158676563613</c:v>
                </c:pt>
                <c:pt idx="64">
                  <c:v>1350.3114108736736</c:v>
                </c:pt>
                <c:pt idx="65">
                  <c:v>28077.585440069321</c:v>
                </c:pt>
                <c:pt idx="66">
                  <c:v>47499.750745277328</c:v>
                </c:pt>
                <c:pt idx="67">
                  <c:v>1227.1261632523958</c:v>
                </c:pt>
                <c:pt idx="68">
                  <c:v>1896.026452567055</c:v>
                </c:pt>
                <c:pt idx="69">
                  <c:v>15702.532662481002</c:v>
                </c:pt>
                <c:pt idx="70">
                  <c:v>8543.56252196274</c:v>
                </c:pt>
                <c:pt idx="71">
                  <c:v>639.36437491726474</c:v>
                </c:pt>
                <c:pt idx="72">
                  <c:v>16330.303941579039</c:v>
                </c:pt>
                <c:pt idx="73">
                  <c:v>77153.979354867319</c:v>
                </c:pt>
                <c:pt idx="74">
                  <c:v>5371.7210357140621</c:v>
                </c:pt>
                <c:pt idx="75">
                  <c:v>440.12378057703739</c:v>
                </c:pt>
                <c:pt idx="76">
                  <c:v>352.07072836951494</c:v>
                </c:pt>
                <c:pt idx="77">
                  <c:v>10931.440041180467</c:v>
                </c:pt>
                <c:pt idx="78">
                  <c:v>8334.7960321377304</c:v>
                </c:pt>
                <c:pt idx="79">
                  <c:v>817.13206526834654</c:v>
                </c:pt>
                <c:pt idx="80">
                  <c:v>25035.516130203301</c:v>
                </c:pt>
                <c:pt idx="81">
                  <c:v>1294.4967145468652</c:v>
                </c:pt>
                <c:pt idx="82">
                  <c:v>9896.7630612167741</c:v>
                </c:pt>
                <c:pt idx="83">
                  <c:v>10240.998016341129</c:v>
                </c:pt>
                <c:pt idx="84">
                  <c:v>2476.6221159846864</c:v>
                </c:pt>
                <c:pt idx="85">
                  <c:v>3860.1514691983248</c:v>
                </c:pt>
                <c:pt idx="86">
                  <c:v>3169.1855782710613</c:v>
                </c:pt>
                <c:pt idx="87">
                  <c:v>615.77875942204639</c:v>
                </c:pt>
                <c:pt idx="88">
                  <c:v>5310.1614319753053</c:v>
                </c:pt>
                <c:pt idx="89">
                  <c:v>721.79756207283879</c:v>
                </c:pt>
                <c:pt idx="90">
                  <c:v>52022.019518567562</c:v>
                </c:pt>
                <c:pt idx="91">
                  <c:v>1923.3299227316891</c:v>
                </c:pt>
                <c:pt idx="92">
                  <c:v>422.62894546300021</c:v>
                </c:pt>
                <c:pt idx="93">
                  <c:v>3096.351836960288</c:v>
                </c:pt>
                <c:pt idx="94">
                  <c:v>100268.35948114556</c:v>
                </c:pt>
                <c:pt idx="95">
                  <c:v>18103.743950420449</c:v>
                </c:pt>
                <c:pt idx="96">
                  <c:v>1395.4895761725115</c:v>
                </c:pt>
                <c:pt idx="97">
                  <c:v>11630.706474620241</c:v>
                </c:pt>
                <c:pt idx="98">
                  <c:v>2961.5659295119085</c:v>
                </c:pt>
                <c:pt idx="99">
                  <c:v>5935.1667277711749</c:v>
                </c:pt>
                <c:pt idx="100">
                  <c:v>6198.5880523223168</c:v>
                </c:pt>
                <c:pt idx="101">
                  <c:v>3478.7513402596505</c:v>
                </c:pt>
                <c:pt idx="102">
                  <c:v>13858.497168137868</c:v>
                </c:pt>
                <c:pt idx="103">
                  <c:v>21699.649128953082</c:v>
                </c:pt>
                <c:pt idx="104">
                  <c:v>90662.215575834518</c:v>
                </c:pt>
                <c:pt idx="105">
                  <c:v>9900.059571523223</c:v>
                </c:pt>
                <c:pt idx="106">
                  <c:v>13876.408843636655</c:v>
                </c:pt>
                <c:pt idx="107">
                  <c:v>691.05846737580168</c:v>
                </c:pt>
                <c:pt idx="108">
                  <c:v>24926.824954577034</c:v>
                </c:pt>
                <c:pt idx="109">
                  <c:v>1321.7658971549813</c:v>
                </c:pt>
                <c:pt idx="110">
                  <c:v>775.24346336731469</c:v>
                </c:pt>
                <c:pt idx="111">
                  <c:v>55596.636294598611</c:v>
                </c:pt>
                <c:pt idx="112">
                  <c:v>18394.521238286299</c:v>
                </c:pt>
                <c:pt idx="113">
                  <c:v>23982.150041248897</c:v>
                </c:pt>
                <c:pt idx="114">
                  <c:v>1921.8386713522011</c:v>
                </c:pt>
                <c:pt idx="115">
                  <c:v>6302.8672283545666</c:v>
                </c:pt>
                <c:pt idx="116">
                  <c:v>29525.316834066958</c:v>
                </c:pt>
                <c:pt idx="117">
                  <c:v>3733.4917553912924</c:v>
                </c:pt>
                <c:pt idx="118">
                  <c:v>9595.7852246665934</c:v>
                </c:pt>
                <c:pt idx="119">
                  <c:v>#N/A</c:v>
                </c:pt>
                <c:pt idx="120">
                  <c:v>60444.650272875719</c:v>
                </c:pt>
                <c:pt idx="121">
                  <c:v>86978.304209349168</c:v>
                </c:pt>
                <c:pt idx="122">
                  <c:v>1376.6044482865491</c:v>
                </c:pt>
                <c:pt idx="123">
                  <c:v>920.46252761265532</c:v>
                </c:pt>
                <c:pt idx="124">
                  <c:v>5705.0748857764574</c:v>
                </c:pt>
                <c:pt idx="125">
                  <c:v>648.61457378555201</c:v>
                </c:pt>
                <c:pt idx="126">
                  <c:v>4126.4920043769744</c:v>
                </c:pt>
                <c:pt idx="127">
                  <c:v>11944.033945412195</c:v>
                </c:pt>
                <c:pt idx="128">
                  <c:v>7462.1834625635702</c:v>
                </c:pt>
                <c:pt idx="129">
                  <c:v>706.27460506954094</c:v>
                </c:pt>
                <c:pt idx="130">
                  <c:v>2914.4966630357649</c:v>
                </c:pt>
                <c:pt idx="131">
                  <c:v>44440.884267330206</c:v>
                </c:pt>
                <c:pt idx="132">
                  <c:v>45806.88134065042</c:v>
                </c:pt>
                <c:pt idx="133">
                  <c:v>56104.292167242595</c:v>
                </c:pt>
                <c:pt idx="134">
                  <c:v>16171.920770819854</c:v>
                </c:pt>
                <c:pt idx="135">
                  <c:v>15538.429357282754</c:v>
                </c:pt>
                <c:pt idx="136">
                  <c:v>1954.841828360225</c:v>
                </c:pt>
                <c:pt idx="137">
                  <c:v>3306.00661469231</c:v>
                </c:pt>
                <c:pt idx="138">
                  <c:v>1550.8731007906299</c:v>
                </c:pt>
                <c:pt idx="139">
                  <c:v>1694.1106894104912</c:v>
                </c:pt>
                <c:pt idx="140">
                  <c:v>1157.2512332040408</c:v>
                </c:pt>
              </c:numCache>
            </c:numRef>
          </c:xVal>
          <c:yVal>
            <c:numRef>
              <c:f>'CWN wealth'!$AB$5:$AB$145</c:f>
              <c:numCache>
                <c:formatCode>#,##0</c:formatCode>
                <c:ptCount val="141"/>
                <c:pt idx="0">
                  <c:v>53107</c:v>
                </c:pt>
                <c:pt idx="1">
                  <c:v>126516</c:v>
                </c:pt>
                <c:pt idx="2">
                  <c:v>52894</c:v>
                </c:pt>
                <c:pt idx="3">
                  <c:v>1046785</c:v>
                </c:pt>
                <c:pt idx="4">
                  <c:v>694616</c:v>
                </c:pt>
                <c:pt idx="5">
                  <c:v>85341</c:v>
                </c:pt>
                <c:pt idx="6">
                  <c:v>270311</c:v>
                </c:pt>
                <c:pt idx="7">
                  <c:v>12714</c:v>
                </c:pt>
                <c:pt idx="8">
                  <c:v>99685</c:v>
                </c:pt>
                <c:pt idx="9">
                  <c:v>645969</c:v>
                </c:pt>
                <c:pt idx="10">
                  <c:v>58872</c:v>
                </c:pt>
                <c:pt idx="11">
                  <c:v>49235</c:v>
                </c:pt>
                <c:pt idx="12">
                  <c:v>40486</c:v>
                </c:pt>
                <c:pt idx="13">
                  <c:v>95797</c:v>
                </c:pt>
                <c:pt idx="14">
                  <c:v>188883</c:v>
                </c:pt>
                <c:pt idx="15">
                  <c:v>81878</c:v>
                </c:pt>
                <c:pt idx="16">
                  <c:v>12323</c:v>
                </c:pt>
                <c:pt idx="17">
                  <c:v>7579</c:v>
                </c:pt>
                <c:pt idx="18">
                  <c:v>16933</c:v>
                </c:pt>
                <c:pt idx="19">
                  <c:v>31398</c:v>
                </c:pt>
                <c:pt idx="20">
                  <c:v>1016593</c:v>
                </c:pt>
                <c:pt idx="21">
                  <c:v>21055</c:v>
                </c:pt>
                <c:pt idx="22">
                  <c:v>20077</c:v>
                </c:pt>
                <c:pt idx="23">
                  <c:v>237713</c:v>
                </c:pt>
                <c:pt idx="24">
                  <c:v>108172</c:v>
                </c:pt>
                <c:pt idx="25">
                  <c:v>129289</c:v>
                </c:pt>
                <c:pt idx="26">
                  <c:v>8836</c:v>
                </c:pt>
                <c:pt idx="27">
                  <c:v>12256</c:v>
                </c:pt>
                <c:pt idx="28">
                  <c:v>68779</c:v>
                </c:pt>
                <c:pt idx="29">
                  <c:v>166985</c:v>
                </c:pt>
                <c:pt idx="30">
                  <c:v>24485</c:v>
                </c:pt>
                <c:pt idx="31">
                  <c:v>147545</c:v>
                </c:pt>
                <c:pt idx="32">
                  <c:v>854331</c:v>
                </c:pt>
                <c:pt idx="33">
                  <c:v>22914</c:v>
                </c:pt>
                <c:pt idx="34">
                  <c:v>97257</c:v>
                </c:pt>
                <c:pt idx="35">
                  <c:v>102451</c:v>
                </c:pt>
                <c:pt idx="36">
                  <c:v>38470</c:v>
                </c:pt>
                <c:pt idx="37">
                  <c:v>44131</c:v>
                </c:pt>
                <c:pt idx="38">
                  <c:v>258903</c:v>
                </c:pt>
                <c:pt idx="39">
                  <c:v>13125</c:v>
                </c:pt>
                <c:pt idx="40">
                  <c:v>726422</c:v>
                </c:pt>
                <c:pt idx="41">
                  <c:v>641707</c:v>
                </c:pt>
                <c:pt idx="42">
                  <c:v>199901</c:v>
                </c:pt>
                <c:pt idx="43">
                  <c:v>5208</c:v>
                </c:pt>
                <c:pt idx="44">
                  <c:v>44327</c:v>
                </c:pt>
                <c:pt idx="45">
                  <c:v>729064</c:v>
                </c:pt>
                <c:pt idx="46">
                  <c:v>25044</c:v>
                </c:pt>
                <c:pt idx="47">
                  <c:v>227925</c:v>
                </c:pt>
                <c:pt idx="48">
                  <c:v>43140</c:v>
                </c:pt>
                <c:pt idx="49">
                  <c:v>8943</c:v>
                </c:pt>
                <c:pt idx="50">
                  <c:v>69971</c:v>
                </c:pt>
                <c:pt idx="51">
                  <c:v>15040</c:v>
                </c:pt>
                <c:pt idx="52">
                  <c:v>44778</c:v>
                </c:pt>
                <c:pt idx="53">
                  <c:v>165519</c:v>
                </c:pt>
                <c:pt idx="54">
                  <c:v>825857</c:v>
                </c:pt>
                <c:pt idx="55">
                  <c:v>18211</c:v>
                </c:pt>
                <c:pt idx="56">
                  <c:v>46919</c:v>
                </c:pt>
                <c:pt idx="57">
                  <c:v>101705</c:v>
                </c:pt>
                <c:pt idx="58">
                  <c:v>627256</c:v>
                </c:pt>
                <c:pt idx="59">
                  <c:v>427466</c:v>
                </c:pt>
                <c:pt idx="60">
                  <c:v>71766</c:v>
                </c:pt>
                <c:pt idx="61">
                  <c:v>571927</c:v>
                </c:pt>
                <c:pt idx="62">
                  <c:v>49287</c:v>
                </c:pt>
                <c:pt idx="63">
                  <c:v>180911</c:v>
                </c:pt>
                <c:pt idx="64">
                  <c:v>19412</c:v>
                </c:pt>
                <c:pt idx="65">
                  <c:v>424052</c:v>
                </c:pt>
                <c:pt idx="66">
                  <c:v>1123144</c:v>
                </c:pt>
                <c:pt idx="67">
                  <c:v>24429</c:v>
                </c:pt>
                <c:pt idx="68">
                  <c:v>39307</c:v>
                </c:pt>
                <c:pt idx="69">
                  <c:v>236906</c:v>
                </c:pt>
                <c:pt idx="70">
                  <c:v>65148</c:v>
                </c:pt>
                <c:pt idx="71">
                  <c:v>10227</c:v>
                </c:pt>
                <c:pt idx="72">
                  <c:v>169046</c:v>
                </c:pt>
                <c:pt idx="73">
                  <c:v>1288607</c:v>
                </c:pt>
                <c:pt idx="74">
                  <c:v>52210</c:v>
                </c:pt>
                <c:pt idx="75">
                  <c:v>9237</c:v>
                </c:pt>
                <c:pt idx="76">
                  <c:v>10442</c:v>
                </c:pt>
                <c:pt idx="77">
                  <c:v>239203</c:v>
                </c:pt>
                <c:pt idx="78">
                  <c:v>44991</c:v>
                </c:pt>
                <c:pt idx="79">
                  <c:v>17165</c:v>
                </c:pt>
                <c:pt idx="80">
                  <c:v>303804</c:v>
                </c:pt>
                <c:pt idx="81">
                  <c:v>29380</c:v>
                </c:pt>
                <c:pt idx="82">
                  <c:v>97018</c:v>
                </c:pt>
                <c:pt idx="83">
                  <c:v>110471</c:v>
                </c:pt>
                <c:pt idx="84">
                  <c:v>35380</c:v>
                </c:pt>
                <c:pt idx="85">
                  <c:v>79004</c:v>
                </c:pt>
                <c:pt idx="86">
                  <c:v>40488</c:v>
                </c:pt>
                <c:pt idx="87">
                  <c:v>7718</c:v>
                </c:pt>
                <c:pt idx="88">
                  <c:v>84398</c:v>
                </c:pt>
                <c:pt idx="89">
                  <c:v>14368</c:v>
                </c:pt>
                <c:pt idx="90">
                  <c:v>792396</c:v>
                </c:pt>
                <c:pt idx="91">
                  <c:v>37084</c:v>
                </c:pt>
                <c:pt idx="92">
                  <c:v>11623</c:v>
                </c:pt>
                <c:pt idx="93">
                  <c:v>37408</c:v>
                </c:pt>
                <c:pt idx="94">
                  <c:v>1671756</c:v>
                </c:pt>
                <c:pt idx="95">
                  <c:v>277574</c:v>
                </c:pt>
                <c:pt idx="96">
                  <c:v>22182</c:v>
                </c:pt>
                <c:pt idx="97">
                  <c:v>136125</c:v>
                </c:pt>
                <c:pt idx="98">
                  <c:v>50489</c:v>
                </c:pt>
                <c:pt idx="99">
                  <c:v>85575</c:v>
                </c:pt>
                <c:pt idx="100">
                  <c:v>81931</c:v>
                </c:pt>
                <c:pt idx="101">
                  <c:v>30823</c:v>
                </c:pt>
                <c:pt idx="102">
                  <c:v>154932</c:v>
                </c:pt>
                <c:pt idx="103">
                  <c:v>274453</c:v>
                </c:pt>
                <c:pt idx="104">
                  <c:v>1597125</c:v>
                </c:pt>
                <c:pt idx="105">
                  <c:v>107022</c:v>
                </c:pt>
                <c:pt idx="106">
                  <c:v>188715</c:v>
                </c:pt>
                <c:pt idx="107">
                  <c:v>21619</c:v>
                </c:pt>
                <c:pt idx="108">
                  <c:v>512869</c:v>
                </c:pt>
                <c:pt idx="109">
                  <c:v>13085</c:v>
                </c:pt>
                <c:pt idx="110">
                  <c:v>14742</c:v>
                </c:pt>
                <c:pt idx="111">
                  <c:v>775196</c:v>
                </c:pt>
                <c:pt idx="112">
                  <c:v>213211</c:v>
                </c:pt>
                <c:pt idx="113">
                  <c:v>351776</c:v>
                </c:pt>
                <c:pt idx="114">
                  <c:v>31245</c:v>
                </c:pt>
                <c:pt idx="115">
                  <c:v>77348</c:v>
                </c:pt>
                <c:pt idx="116">
                  <c:v>342470</c:v>
                </c:pt>
                <c:pt idx="117">
                  <c:v>44970</c:v>
                </c:pt>
                <c:pt idx="118">
                  <c:v>161690</c:v>
                </c:pt>
                <c:pt idx="119">
                  <c:v>52670</c:v>
                </c:pt>
                <c:pt idx="120">
                  <c:v>886129</c:v>
                </c:pt>
                <c:pt idx="121">
                  <c:v>1466757</c:v>
                </c:pt>
                <c:pt idx="122">
                  <c:v>42286</c:v>
                </c:pt>
                <c:pt idx="123">
                  <c:v>17451</c:v>
                </c:pt>
                <c:pt idx="124">
                  <c:v>62599</c:v>
                </c:pt>
                <c:pt idx="125">
                  <c:v>18924</c:v>
                </c:pt>
                <c:pt idx="126">
                  <c:v>45150</c:v>
                </c:pt>
                <c:pt idx="127">
                  <c:v>45998</c:v>
                </c:pt>
                <c:pt idx="128">
                  <c:v>146831</c:v>
                </c:pt>
                <c:pt idx="129">
                  <c:v>13732</c:v>
                </c:pt>
                <c:pt idx="130">
                  <c:v>56053</c:v>
                </c:pt>
                <c:pt idx="131">
                  <c:v>738270</c:v>
                </c:pt>
                <c:pt idx="132">
                  <c:v>647694</c:v>
                </c:pt>
                <c:pt idx="133">
                  <c:v>983280</c:v>
                </c:pt>
                <c:pt idx="134">
                  <c:v>254601</c:v>
                </c:pt>
                <c:pt idx="135">
                  <c:v>162560</c:v>
                </c:pt>
                <c:pt idx="136">
                  <c:v>27368</c:v>
                </c:pt>
                <c:pt idx="137">
                  <c:v>30567</c:v>
                </c:pt>
                <c:pt idx="138">
                  <c:v>22909</c:v>
                </c:pt>
                <c:pt idx="139">
                  <c:v>40965</c:v>
                </c:pt>
                <c:pt idx="140">
                  <c:v>18958</c:v>
                </c:pt>
              </c:numCache>
            </c:numRef>
          </c:yVal>
          <c:smooth val="0"/>
          <c:extLst xmlns:c16r2="http://schemas.microsoft.com/office/drawing/2015/06/chart">
            <c:ext xmlns:c16="http://schemas.microsoft.com/office/drawing/2014/chart" uri="{C3380CC4-5D6E-409C-BE32-E72D297353CC}">
              <c16:uniqueId val="{00000001-632D-4CF7-A385-73422787DD4F}"/>
            </c:ext>
          </c:extLst>
        </c:ser>
        <c:dLbls>
          <c:showLegendKey val="0"/>
          <c:showVal val="0"/>
          <c:showCatName val="0"/>
          <c:showSerName val="0"/>
          <c:showPercent val="0"/>
          <c:showBubbleSize val="0"/>
        </c:dLbls>
        <c:axId val="155724416"/>
        <c:axId val="155730304"/>
      </c:scatterChart>
      <c:valAx>
        <c:axId val="155724416"/>
        <c:scaling>
          <c:orientation val="minMax"/>
        </c:scaling>
        <c:delete val="0"/>
        <c:axPos val="b"/>
        <c:majorGridlines>
          <c:spPr>
            <a:ln w="9525">
              <a:solidFill>
                <a:schemeClr val="tx1">
                  <a:lumMod val="15000"/>
                  <a:lumOff val="85000"/>
                </a:schemeClr>
              </a:solidFill>
              <a:round/>
            </a:ln>
            <a:effectLst/>
          </c:spPr>
        </c:majorGridlines>
        <c:numFmt formatCode="#,##0_ "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155730304"/>
        <c:crosses val="autoZero"/>
        <c:crossBetween val="midCat"/>
      </c:valAx>
      <c:valAx>
        <c:axId val="155730304"/>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w="9525">
            <a:solidFill>
              <a:schemeClr val="tx1">
                <a:lumMod val="25000"/>
                <a:lumOff val="75000"/>
              </a:schemeClr>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155724416"/>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34</Pages>
  <Words>6991</Words>
  <Characters>39855</Characters>
  <Application>Microsoft Office Word</Application>
  <DocSecurity>0</DocSecurity>
  <Lines>332</Lines>
  <Paragraphs>93</Paragraphs>
  <ScaleCrop>false</ScaleCrop>
  <Company>Microsoft</Company>
  <LinksUpToDate>false</LinksUpToDate>
  <CharactersWithSpaces>46753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0012528</dc:creator>
  <cp:lastModifiedBy>Kalyana Sundaram T.V</cp:lastModifiedBy>
  <cp:revision>2</cp:revision>
  <dcterms:created xsi:type="dcterms:W3CDTF">2019-04-26T01:53:00Z</dcterms:created>
  <dcterms:modified xsi:type="dcterms:W3CDTF">2019-05-06T11:00:00Z</dcterms:modified>
</cp:coreProperties>
</file>