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27AAB" w14:textId="77777777" w:rsidR="00D60BB9" w:rsidRDefault="00537E35">
      <w:pPr>
        <w:autoSpaceDE w:val="0"/>
        <w:autoSpaceDN w:val="0"/>
        <w:spacing w:line="360" w:lineRule="auto"/>
        <w:contextualSpacing/>
        <w:jc w:val="center"/>
        <w:rPr>
          <w:rFonts w:ascii="Times New Roman" w:hAnsi="Times New Roman" w:cs="Times New Roman"/>
          <w:b/>
          <w:sz w:val="21"/>
          <w:szCs w:val="21"/>
        </w:rPr>
      </w:pPr>
      <w:r>
        <w:rPr>
          <w:rFonts w:ascii="Times New Roman" w:hAnsi="Times New Roman" w:cs="Times New Roman"/>
          <w:b/>
          <w:sz w:val="21"/>
          <w:szCs w:val="21"/>
        </w:rPr>
        <w:t>Supplemental Materials</w:t>
      </w:r>
    </w:p>
    <w:p w14:paraId="0918DE8C" w14:textId="77777777" w:rsidR="00D60BB9" w:rsidRDefault="00537E35">
      <w:pPr>
        <w:autoSpaceDE w:val="0"/>
        <w:autoSpaceDN w:val="0"/>
        <w:spacing w:line="360" w:lineRule="auto"/>
        <w:contextualSpacing/>
        <w:jc w:val="center"/>
        <w:rPr>
          <w:rFonts w:ascii="Times New Roman" w:hAnsi="Times New Roman" w:cs="Times New Roman"/>
          <w:b/>
          <w:sz w:val="21"/>
          <w:szCs w:val="21"/>
        </w:rPr>
      </w:pPr>
      <w:r>
        <w:rPr>
          <w:rFonts w:ascii="Times New Roman" w:hAnsi="Times New Roman" w:cs="Times New Roman"/>
          <w:b/>
          <w:sz w:val="21"/>
          <w:szCs w:val="21"/>
        </w:rPr>
        <w:t>For</w:t>
      </w:r>
    </w:p>
    <w:p w14:paraId="1A1E4E0B" w14:textId="77777777" w:rsidR="00D60BB9" w:rsidRDefault="00537E35">
      <w:pPr>
        <w:autoSpaceDE w:val="0"/>
        <w:autoSpaceDN w:val="0"/>
        <w:spacing w:line="360" w:lineRule="auto"/>
        <w:contextualSpacing/>
        <w:jc w:val="center"/>
        <w:rPr>
          <w:rFonts w:ascii="Times New Roman" w:hAnsi="Times New Roman" w:cs="Times New Roman"/>
          <w:b/>
          <w:sz w:val="21"/>
          <w:szCs w:val="21"/>
        </w:rPr>
      </w:pPr>
      <w:bookmarkStart w:id="0" w:name="OLE_LINK436"/>
      <w:bookmarkStart w:id="1" w:name="OLE_LINK91"/>
      <w:bookmarkStart w:id="2" w:name="OLE_LINK437"/>
      <w:bookmarkStart w:id="3" w:name="OLE_LINK405"/>
      <w:bookmarkStart w:id="4" w:name="OLE_LINK385"/>
      <w:bookmarkStart w:id="5" w:name="OLE_LINK390"/>
      <w:bookmarkStart w:id="6" w:name="OLE_LINK46"/>
      <w:bookmarkStart w:id="7" w:name="OLE_LINK30"/>
      <w:r>
        <w:rPr>
          <w:rFonts w:ascii="Times New Roman" w:hAnsi="Times New Roman" w:cs="Times New Roman"/>
          <w:b/>
          <w:i/>
          <w:iCs/>
          <w:sz w:val="21"/>
          <w:szCs w:val="21"/>
        </w:rPr>
        <w:t>Clostridium</w:t>
      </w:r>
      <w:r>
        <w:rPr>
          <w:rFonts w:ascii="Times New Roman" w:hAnsi="Times New Roman" w:cs="Times New Roman"/>
          <w:b/>
          <w:sz w:val="21"/>
          <w:szCs w:val="21"/>
        </w:rPr>
        <w:t xml:space="preserve">, </w:t>
      </w:r>
      <w:r>
        <w:rPr>
          <w:rFonts w:ascii="Times New Roman" w:hAnsi="Times New Roman" w:cs="Times New Roman"/>
          <w:b/>
          <w:i/>
          <w:iCs/>
          <w:sz w:val="21"/>
          <w:szCs w:val="21"/>
        </w:rPr>
        <w:t>Bacteroides</w:t>
      </w:r>
      <w:r>
        <w:rPr>
          <w:rFonts w:ascii="Times New Roman" w:hAnsi="Times New Roman" w:cs="Times New Roman"/>
          <w:b/>
          <w:sz w:val="21"/>
          <w:szCs w:val="21"/>
        </w:rPr>
        <w:t xml:space="preserve"> and </w:t>
      </w:r>
      <w:proofErr w:type="spellStart"/>
      <w:r>
        <w:rPr>
          <w:rFonts w:ascii="Times New Roman" w:hAnsi="Times New Roman" w:cs="Times New Roman"/>
          <w:b/>
          <w:i/>
          <w:iCs/>
          <w:sz w:val="21"/>
          <w:szCs w:val="21"/>
        </w:rPr>
        <w:t>Prevotella</w:t>
      </w:r>
      <w:proofErr w:type="spellEnd"/>
      <w:r>
        <w:rPr>
          <w:rFonts w:ascii="Times New Roman" w:hAnsi="Times New Roman" w:cs="Times New Roman"/>
          <w:b/>
          <w:sz w:val="21"/>
          <w:szCs w:val="21"/>
        </w:rPr>
        <w:t xml:space="preserve"> associates with increased fecal metabolites Trans-4-Hydroxy-L-proline and Genistein in active pulmonary tuberculosis patients </w:t>
      </w:r>
      <w:bookmarkStart w:id="8" w:name="OLE_LINK84"/>
      <w:r>
        <w:rPr>
          <w:rFonts w:ascii="Times New Roman" w:hAnsi="Times New Roman" w:cs="Times New Roman"/>
          <w:b/>
          <w:sz w:val="21"/>
          <w:szCs w:val="21"/>
        </w:rPr>
        <w:t xml:space="preserve">during anti-tuberculosis chemotherapy with isoniazid-rifampin-pyrazinamide-ethambutol </w:t>
      </w:r>
      <w:bookmarkStart w:id="9" w:name="OLE_LINK121"/>
      <w:r>
        <w:rPr>
          <w:rFonts w:ascii="Times New Roman" w:hAnsi="Times New Roman" w:cs="Times New Roman"/>
          <w:b/>
          <w:sz w:val="21"/>
          <w:szCs w:val="21"/>
        </w:rPr>
        <w:t>(HRZE)</w:t>
      </w:r>
      <w:bookmarkEnd w:id="0"/>
      <w:bookmarkEnd w:id="1"/>
      <w:bookmarkEnd w:id="2"/>
      <w:bookmarkEnd w:id="3"/>
      <w:bookmarkEnd w:id="4"/>
      <w:bookmarkEnd w:id="5"/>
      <w:bookmarkEnd w:id="6"/>
      <w:bookmarkEnd w:id="7"/>
      <w:bookmarkEnd w:id="8"/>
      <w:bookmarkEnd w:id="9"/>
    </w:p>
    <w:p w14:paraId="17A4C3C8" w14:textId="77777777" w:rsidR="00D60BB9" w:rsidRDefault="00D60BB9">
      <w:pPr>
        <w:autoSpaceDE w:val="0"/>
        <w:autoSpaceDN w:val="0"/>
        <w:spacing w:line="360" w:lineRule="auto"/>
        <w:contextualSpacing/>
        <w:jc w:val="center"/>
        <w:rPr>
          <w:rFonts w:ascii="Times New Roman" w:hAnsi="Times New Roman" w:cs="Times New Roman"/>
          <w:b/>
          <w:sz w:val="21"/>
          <w:szCs w:val="21"/>
        </w:rPr>
      </w:pPr>
    </w:p>
    <w:p w14:paraId="26F78395" w14:textId="77777777" w:rsidR="00D60BB9" w:rsidRDefault="00537E35">
      <w:pPr>
        <w:spacing w:line="360" w:lineRule="auto"/>
        <w:contextualSpacing/>
        <w:jc w:val="both"/>
        <w:rPr>
          <w:rFonts w:ascii="Times New Roman" w:hAnsi="Times New Roman" w:cs="Times New Roman"/>
          <w:b/>
          <w:bCs/>
          <w:color w:val="000000"/>
          <w:sz w:val="21"/>
          <w:szCs w:val="21"/>
        </w:rPr>
      </w:pPr>
      <w:r>
        <w:rPr>
          <w:rFonts w:ascii="Times New Roman" w:hAnsi="Times New Roman" w:cs="Times New Roman"/>
          <w:b/>
          <w:bCs/>
          <w:color w:val="000000"/>
          <w:sz w:val="21"/>
          <w:szCs w:val="21"/>
        </w:rPr>
        <w:t>Supplemental Experimental Procedures</w:t>
      </w:r>
    </w:p>
    <w:p w14:paraId="007FC040" w14:textId="77777777" w:rsidR="00D60BB9" w:rsidRDefault="00537E35">
      <w:pPr>
        <w:pStyle w:val="TextBody"/>
        <w:spacing w:before="0" w:after="0" w:line="360" w:lineRule="auto"/>
        <w:contextualSpacing/>
        <w:jc w:val="both"/>
        <w:rPr>
          <w:rFonts w:cs="Times New Roman"/>
          <w:b/>
          <w:sz w:val="21"/>
          <w:szCs w:val="21"/>
        </w:rPr>
      </w:pPr>
      <w:r>
        <w:rPr>
          <w:rFonts w:cs="Times New Roman"/>
          <w:b/>
          <w:sz w:val="21"/>
          <w:szCs w:val="21"/>
        </w:rPr>
        <w:t>Ethics Approval and consent to participate</w:t>
      </w:r>
    </w:p>
    <w:p w14:paraId="3FFF17EA" w14:textId="77777777" w:rsidR="00D60BB9" w:rsidRDefault="00537E35">
      <w:pPr>
        <w:pStyle w:val="Firstparagraph"/>
        <w:spacing w:line="360" w:lineRule="auto"/>
        <w:ind w:firstLineChars="200" w:firstLine="420"/>
        <w:contextualSpacing/>
        <w:jc w:val="both"/>
        <w:rPr>
          <w:rFonts w:cs="Times New Roman"/>
          <w:sz w:val="21"/>
          <w:szCs w:val="21"/>
        </w:rPr>
      </w:pPr>
      <w:r>
        <w:rPr>
          <w:rFonts w:cs="Times New Roman"/>
          <w:sz w:val="21"/>
          <w:szCs w:val="21"/>
        </w:rPr>
        <w:t>All the participants in the investigation were enrolled through the Shenzhen Center for Chronic Disease Control and gave their written informed consent. This study has been approved by the Ethics Committee in Shenzhen Center for Chronic Disease Control. The research was carried out in accordance with the regulations and best practices of Shenzhen Center for Chronic Disease Control and Center for Tuberculosis Control of Guangdong Province.</w:t>
      </w:r>
    </w:p>
    <w:p w14:paraId="38453C7C" w14:textId="77777777" w:rsidR="00D60BB9" w:rsidRDefault="00537E35">
      <w:pPr>
        <w:autoSpaceDE w:val="0"/>
        <w:autoSpaceDN w:val="0"/>
        <w:spacing w:line="360" w:lineRule="auto"/>
        <w:contextualSpacing/>
        <w:jc w:val="both"/>
        <w:rPr>
          <w:rFonts w:ascii="Times New Roman" w:hAnsi="Times New Roman" w:cs="Times New Roman"/>
          <w:b/>
          <w:sz w:val="21"/>
          <w:szCs w:val="21"/>
        </w:rPr>
      </w:pPr>
      <w:r>
        <w:rPr>
          <w:rFonts w:ascii="Times New Roman" w:hAnsi="Times New Roman" w:cs="Times New Roman"/>
          <w:b/>
          <w:sz w:val="21"/>
          <w:szCs w:val="21"/>
        </w:rPr>
        <w:t>Subjects in this study</w:t>
      </w:r>
    </w:p>
    <w:p w14:paraId="532E2322" w14:textId="77777777" w:rsidR="00D60BB9" w:rsidRDefault="00537E35">
      <w:pPr>
        <w:autoSpaceDE w:val="0"/>
        <w:autoSpaceDN w:val="0"/>
        <w:spacing w:line="360" w:lineRule="auto"/>
        <w:ind w:firstLineChars="200" w:firstLine="420"/>
        <w:contextualSpacing/>
        <w:jc w:val="both"/>
        <w:rPr>
          <w:rFonts w:ascii="Times New Roman" w:hAnsi="Times New Roman" w:cs="Times New Roman"/>
          <w:sz w:val="21"/>
          <w:szCs w:val="21"/>
        </w:rPr>
      </w:pPr>
      <w:r>
        <w:rPr>
          <w:rFonts w:ascii="Times New Roman" w:hAnsi="Times New Roman" w:cs="Times New Roman"/>
          <w:sz w:val="21"/>
          <w:szCs w:val="21"/>
        </w:rPr>
        <w:t xml:space="preserve">The volunteers in this study were enrolled and subjected to analysis using IFN-γ release assay (QuantiFERON-TB Gold In-Tube (QFT), Qiagen, CA, USA) along with clinical, microbiological, and radiographical examinations. The criteria for enrollment were as follows: (1) patients with active TB (ATB group in this study) showed clinical and radiographical features of tuberculosis and were confirmed by sputum smear or culture. Moreover, they did not receive anti-TB treatment before sample selection. (2) All the controls (IGRA- and IGRA+) were with TB-resembling coughing symptoms and normal X-ray but being culture-negative and without other clinical TB symptoms and TB contact history. Exclusion criteria included a history of antibiotic or probiotic treatment more than 1 week within the previous 8 weeks. We recruited five groups of individuals using a cross-sectional research study design. Characteristics of the study cases are given in Table 1. 49 without </w:t>
      </w:r>
      <w:proofErr w:type="spellStart"/>
      <w:r>
        <w:rPr>
          <w:rFonts w:ascii="Times New Roman" w:hAnsi="Times New Roman" w:cs="Times New Roman" w:hint="eastAsia"/>
          <w:iCs/>
          <w:sz w:val="21"/>
          <w:szCs w:val="21"/>
        </w:rPr>
        <w:t>Mtb</w:t>
      </w:r>
      <w:proofErr w:type="spellEnd"/>
      <w:r>
        <w:rPr>
          <w:rFonts w:ascii="Times New Roman" w:hAnsi="Times New Roman" w:cs="Times New Roman"/>
          <w:sz w:val="21"/>
          <w:szCs w:val="21"/>
        </w:rPr>
        <w:t xml:space="preserve"> infection (IGRA-), 30 latently infected by </w:t>
      </w:r>
      <w:proofErr w:type="spellStart"/>
      <w:r>
        <w:rPr>
          <w:rFonts w:ascii="Times New Roman" w:hAnsi="Times New Roman" w:cs="Times New Roman" w:hint="eastAsia"/>
          <w:sz w:val="21"/>
          <w:szCs w:val="21"/>
        </w:rPr>
        <w:t>Mtb</w:t>
      </w:r>
      <w:proofErr w:type="spellEnd"/>
      <w:r>
        <w:rPr>
          <w:rFonts w:ascii="Times New Roman" w:hAnsi="Times New Roman" w:cs="Times New Roman"/>
          <w:i/>
          <w:sz w:val="21"/>
          <w:szCs w:val="21"/>
        </w:rPr>
        <w:t xml:space="preserve"> </w:t>
      </w:r>
      <w:r>
        <w:rPr>
          <w:rFonts w:ascii="Times New Roman" w:hAnsi="Times New Roman" w:cs="Times New Roman"/>
          <w:sz w:val="21"/>
          <w:szCs w:val="21"/>
        </w:rPr>
        <w:t xml:space="preserve">(LTBI), 41 active TB, 28 patients with 2-month HRZE treatment and 20 patients with 2HRZE/4HR treatment were enrolled to assess the effect of </w:t>
      </w:r>
      <w:proofErr w:type="spellStart"/>
      <w:r>
        <w:rPr>
          <w:rFonts w:ascii="Times New Roman" w:hAnsi="Times New Roman" w:cs="Times New Roman" w:hint="eastAsia"/>
          <w:sz w:val="21"/>
          <w:szCs w:val="21"/>
        </w:rPr>
        <w:t>Mtb</w:t>
      </w:r>
      <w:proofErr w:type="spellEnd"/>
      <w:r>
        <w:rPr>
          <w:rFonts w:ascii="Times New Roman" w:hAnsi="Times New Roman" w:cs="Times New Roman"/>
          <w:sz w:val="21"/>
          <w:szCs w:val="21"/>
        </w:rPr>
        <w:t xml:space="preserve"> on the gut microbiota as well as the impact of anti-TB treatment on gut microbiota. All subjects are HIV negative and without diabetes history. </w:t>
      </w:r>
    </w:p>
    <w:p w14:paraId="2C06B122" w14:textId="77777777" w:rsidR="00D60BB9" w:rsidRDefault="00537E35">
      <w:pPr>
        <w:pStyle w:val="Firstparagraph"/>
        <w:spacing w:line="360" w:lineRule="auto"/>
        <w:contextualSpacing/>
        <w:jc w:val="both"/>
        <w:rPr>
          <w:rFonts w:eastAsia="微软雅黑" w:cs="Times New Roman"/>
          <w:sz w:val="21"/>
          <w:szCs w:val="21"/>
        </w:rPr>
      </w:pPr>
      <w:r>
        <w:rPr>
          <w:rFonts w:cs="Times New Roman"/>
          <w:b/>
          <w:sz w:val="21"/>
          <w:szCs w:val="21"/>
        </w:rPr>
        <w:t>DNA isolation and 16S rRNA genes sequencing library preparation</w:t>
      </w:r>
    </w:p>
    <w:p w14:paraId="17C640C4" w14:textId="77777777" w:rsidR="00D60BB9" w:rsidRDefault="00537E35">
      <w:pPr>
        <w:pStyle w:val="Firstparagraph"/>
        <w:spacing w:line="360" w:lineRule="auto"/>
        <w:ind w:firstLineChars="200" w:firstLine="420"/>
        <w:contextualSpacing/>
        <w:jc w:val="both"/>
        <w:rPr>
          <w:rFonts w:cs="Times New Roman"/>
          <w:sz w:val="21"/>
          <w:szCs w:val="21"/>
        </w:rPr>
      </w:pPr>
      <w:r>
        <w:rPr>
          <w:rFonts w:cs="Times New Roman"/>
          <w:sz w:val="21"/>
          <w:szCs w:val="21"/>
        </w:rPr>
        <w:t xml:space="preserve">Fecal genomic DNA samples were extracted using the Fast DNA SPIN extraction kits (MP Biomedicals, Santa Ana, CA, USA), following the manufacturer’s instructions, and stored at −20 °C for further analysis. PCR ampliﬁcation of the bacterial 16S rRNA genes was performed using the forward primer 338F (5’-ACTCCTACGGGAGGCAGCA-3’) and the reverse primer 806R (5’-GGACTACHVGGGTWTCTAAT-3’) for V3-V4 region of gut microbiota. Sample-specific 7-bp barcodes were incorporated into the primers for multiplex sequencing. Thermal cycling consisted of initial denaturation at 98 °C for 2 min, followed by 25 cycles of 15 s at 98 °C, annealing at 55 °C for 30 s, and extension at 72 °C for 30 s, with a final extension of 5 min at 72 °C. PCR amplicons were puriﬁed with </w:t>
      </w:r>
      <w:proofErr w:type="spellStart"/>
      <w:r>
        <w:rPr>
          <w:rFonts w:cs="Times New Roman"/>
          <w:sz w:val="21"/>
          <w:szCs w:val="21"/>
        </w:rPr>
        <w:t>Agencourt</w:t>
      </w:r>
      <w:proofErr w:type="spellEnd"/>
      <w:r>
        <w:rPr>
          <w:rFonts w:cs="Times New Roman"/>
          <w:sz w:val="21"/>
          <w:szCs w:val="21"/>
        </w:rPr>
        <w:t xml:space="preserve"> </w:t>
      </w:r>
      <w:proofErr w:type="spellStart"/>
      <w:r>
        <w:rPr>
          <w:rFonts w:cs="Times New Roman"/>
          <w:sz w:val="21"/>
          <w:szCs w:val="21"/>
        </w:rPr>
        <w:t>AMPure</w:t>
      </w:r>
      <w:proofErr w:type="spellEnd"/>
      <w:r>
        <w:rPr>
          <w:rFonts w:cs="Times New Roman"/>
          <w:sz w:val="21"/>
          <w:szCs w:val="21"/>
        </w:rPr>
        <w:t xml:space="preserve"> Beads (Beckman Coulter, Indianapolis, IN) and quantiﬁed using the </w:t>
      </w:r>
      <w:proofErr w:type="spellStart"/>
      <w:r>
        <w:rPr>
          <w:rFonts w:cs="Times New Roman"/>
          <w:sz w:val="21"/>
          <w:szCs w:val="21"/>
        </w:rPr>
        <w:t>PicoGreen</w:t>
      </w:r>
      <w:proofErr w:type="spellEnd"/>
      <w:r>
        <w:rPr>
          <w:rFonts w:cs="Times New Roman"/>
          <w:sz w:val="21"/>
          <w:szCs w:val="21"/>
        </w:rPr>
        <w:t xml:space="preserve"> dsDNA Assay Kit (Invitrogen, Carlsbad, CA, USA). After the individual quantification step, amplicons were pooled in equal amounts, and pair-end 2X 300 bp </w:t>
      </w:r>
      <w:r>
        <w:rPr>
          <w:rFonts w:cs="Times New Roman"/>
          <w:sz w:val="21"/>
          <w:szCs w:val="21"/>
        </w:rPr>
        <w:lastRenderedPageBreak/>
        <w:t xml:space="preserve">sequencing was performed using the </w:t>
      </w:r>
      <w:proofErr w:type="spellStart"/>
      <w:r>
        <w:rPr>
          <w:rFonts w:cs="Times New Roman"/>
          <w:sz w:val="21"/>
          <w:szCs w:val="21"/>
        </w:rPr>
        <w:t>Illlumina</w:t>
      </w:r>
      <w:proofErr w:type="spellEnd"/>
      <w:r>
        <w:rPr>
          <w:rFonts w:cs="Times New Roman"/>
          <w:sz w:val="21"/>
          <w:szCs w:val="21"/>
        </w:rPr>
        <w:t xml:space="preserve"> </w:t>
      </w:r>
      <w:proofErr w:type="spellStart"/>
      <w:r>
        <w:rPr>
          <w:rFonts w:cs="Times New Roman"/>
          <w:sz w:val="21"/>
          <w:szCs w:val="21"/>
        </w:rPr>
        <w:t>MiSeq</w:t>
      </w:r>
      <w:proofErr w:type="spellEnd"/>
      <w:r>
        <w:rPr>
          <w:rFonts w:cs="Times New Roman"/>
          <w:sz w:val="21"/>
          <w:szCs w:val="21"/>
        </w:rPr>
        <w:t xml:space="preserve"> platform with </w:t>
      </w:r>
      <w:proofErr w:type="spellStart"/>
      <w:r>
        <w:rPr>
          <w:rFonts w:cs="Times New Roman"/>
          <w:sz w:val="21"/>
          <w:szCs w:val="21"/>
        </w:rPr>
        <w:t>MiSeq</w:t>
      </w:r>
      <w:proofErr w:type="spellEnd"/>
      <w:r>
        <w:rPr>
          <w:rFonts w:cs="Times New Roman"/>
          <w:sz w:val="21"/>
          <w:szCs w:val="21"/>
        </w:rPr>
        <w:t xml:space="preserve"> Reagent Kit v3 at Shanghai Personal Biotechnology Co., Ltd (Shanghai, China). </w:t>
      </w:r>
    </w:p>
    <w:p w14:paraId="2BAF69C2" w14:textId="77777777" w:rsidR="00D60BB9" w:rsidRDefault="00537E35">
      <w:pPr>
        <w:pStyle w:val="TextBody"/>
        <w:spacing w:before="0" w:after="0" w:line="360" w:lineRule="auto"/>
        <w:contextualSpacing/>
        <w:jc w:val="both"/>
        <w:rPr>
          <w:rFonts w:cs="Times New Roman"/>
          <w:b/>
          <w:sz w:val="21"/>
          <w:szCs w:val="21"/>
        </w:rPr>
      </w:pPr>
      <w:r>
        <w:rPr>
          <w:rFonts w:cs="Times New Roman"/>
          <w:b/>
          <w:sz w:val="21"/>
          <w:szCs w:val="21"/>
        </w:rPr>
        <w:t>DNA sequencing and data processing</w:t>
      </w:r>
    </w:p>
    <w:p w14:paraId="0379070E" w14:textId="77777777" w:rsidR="00D60BB9" w:rsidRDefault="00537E35">
      <w:pPr>
        <w:pStyle w:val="Firstparagraph"/>
        <w:spacing w:line="360" w:lineRule="auto"/>
        <w:ind w:firstLineChars="200" w:firstLine="420"/>
        <w:contextualSpacing/>
        <w:jc w:val="both"/>
        <w:rPr>
          <w:rFonts w:eastAsiaTheme="minorEastAsia" w:cs="Times New Roman"/>
          <w:sz w:val="21"/>
          <w:szCs w:val="21"/>
        </w:rPr>
      </w:pPr>
      <w:r>
        <w:rPr>
          <w:rFonts w:eastAsiaTheme="minorEastAsia" w:cs="Times New Roman"/>
          <w:sz w:val="21"/>
          <w:szCs w:val="21"/>
        </w:rPr>
        <w:t xml:space="preserve">Bioinformatic analysis of the bacterial 16S rRNA amplicon data was conducted using a custom Quantitative Insights </w:t>
      </w:r>
      <w:proofErr w:type="gramStart"/>
      <w:r>
        <w:rPr>
          <w:rFonts w:eastAsiaTheme="minorEastAsia" w:cs="Times New Roman"/>
          <w:sz w:val="21"/>
          <w:szCs w:val="21"/>
        </w:rPr>
        <w:t>Into</w:t>
      </w:r>
      <w:proofErr w:type="gramEnd"/>
      <w:r>
        <w:rPr>
          <w:rFonts w:eastAsiaTheme="minorEastAsia" w:cs="Times New Roman"/>
          <w:sz w:val="21"/>
          <w:szCs w:val="21"/>
        </w:rPr>
        <w:t xml:space="preserve"> Microbial Ecology (QIIME2) software pipeline (QIIME2 V.2019.10). Sequence quality control and filtering were conducted by </w:t>
      </w:r>
      <w:proofErr w:type="spellStart"/>
      <w:r>
        <w:rPr>
          <w:rFonts w:eastAsiaTheme="minorEastAsia" w:cs="Times New Roman"/>
          <w:sz w:val="21"/>
          <w:szCs w:val="21"/>
        </w:rPr>
        <w:t>FastQC</w:t>
      </w:r>
      <w:proofErr w:type="spellEnd"/>
      <w:r>
        <w:rPr>
          <w:rFonts w:eastAsiaTheme="minorEastAsia" w:cs="Times New Roman"/>
          <w:sz w:val="21"/>
          <w:szCs w:val="21"/>
        </w:rPr>
        <w:t xml:space="preserve"> v.0.11.2 and </w:t>
      </w:r>
      <w:proofErr w:type="spellStart"/>
      <w:r>
        <w:rPr>
          <w:rFonts w:eastAsiaTheme="minorEastAsia" w:cs="Times New Roman"/>
          <w:sz w:val="21"/>
          <w:szCs w:val="21"/>
        </w:rPr>
        <w:t>Trimmomatic</w:t>
      </w:r>
      <w:proofErr w:type="spellEnd"/>
      <w:r>
        <w:rPr>
          <w:rFonts w:eastAsiaTheme="minorEastAsia" w:cs="Times New Roman"/>
          <w:sz w:val="21"/>
          <w:szCs w:val="21"/>
        </w:rPr>
        <w:t xml:space="preserve"> v.0.32, followed by DADA2 software, wrapped in QIIME2, was used to filter the sequencing reads and construct feature table </w:t>
      </w:r>
      <w:r w:rsidRPr="006B21EF">
        <w:rPr>
          <w:rFonts w:eastAsiaTheme="minorEastAsia" w:cs="Times New Roman"/>
          <w:sz w:val="21"/>
          <w:szCs w:val="21"/>
        </w:rPr>
        <w:t>(amplicon sequence variants (ASVs) and its absolute abundance)</w:t>
      </w:r>
      <w:r>
        <w:rPr>
          <w:rFonts w:eastAsiaTheme="minorEastAsia" w:cs="Times New Roman"/>
          <w:sz w:val="21"/>
          <w:szCs w:val="21"/>
        </w:rPr>
        <w:t xml:space="preserve">. The taxonomy of each 16S rRNA gene sequence was assigned by q2-feature-classifier (QIIME2 V.2019.10) </w:t>
      </w:r>
      <w:r w:rsidRPr="006B21EF">
        <w:rPr>
          <w:rFonts w:eastAsiaTheme="minorEastAsia" w:cs="Times New Roman"/>
          <w:sz w:val="21"/>
          <w:szCs w:val="21"/>
        </w:rPr>
        <w:t>based on the feature table.</w:t>
      </w:r>
      <w:r>
        <w:rPr>
          <w:rFonts w:eastAsiaTheme="minorEastAsia" w:cs="Times New Roman"/>
          <w:sz w:val="21"/>
          <w:szCs w:val="21"/>
        </w:rPr>
        <w:t xml:space="preserve"> Pre-trained Naive Bayes taxonomy classifier gg-13-8-99-515-806-nb-classifier was used in the classification.</w:t>
      </w:r>
    </w:p>
    <w:p w14:paraId="551053D0" w14:textId="77777777" w:rsidR="00D60BB9" w:rsidRDefault="00537E35">
      <w:pPr>
        <w:pStyle w:val="Firstparagraph"/>
        <w:spacing w:line="360" w:lineRule="auto"/>
        <w:contextualSpacing/>
        <w:jc w:val="both"/>
        <w:rPr>
          <w:rFonts w:cs="Times New Roman"/>
          <w:b/>
          <w:sz w:val="21"/>
          <w:szCs w:val="21"/>
        </w:rPr>
      </w:pPr>
      <w:r>
        <w:rPr>
          <w:rFonts w:cs="Times New Roman"/>
          <w:b/>
          <w:sz w:val="21"/>
          <w:szCs w:val="21"/>
        </w:rPr>
        <w:t>Bioinformatics and Statistical Analysis</w:t>
      </w:r>
    </w:p>
    <w:p w14:paraId="6E6C4773" w14:textId="730F0704" w:rsidR="00D60BB9" w:rsidRDefault="00537E35">
      <w:pPr>
        <w:pStyle w:val="TextBody"/>
        <w:spacing w:before="0" w:after="0" w:line="360" w:lineRule="auto"/>
        <w:ind w:firstLineChars="200" w:firstLine="420"/>
        <w:contextualSpacing/>
        <w:jc w:val="both"/>
        <w:rPr>
          <w:rFonts w:eastAsiaTheme="minorEastAsia" w:cs="Times New Roman"/>
          <w:sz w:val="21"/>
          <w:szCs w:val="21"/>
        </w:rPr>
      </w:pPr>
      <w:r>
        <w:rPr>
          <w:rFonts w:cs="Times New Roman"/>
          <w:sz w:val="21"/>
          <w:szCs w:val="21"/>
        </w:rPr>
        <w:t>Sequence data analyses were mainly performed using QIIME</w:t>
      </w:r>
      <w:r>
        <w:rPr>
          <w:rFonts w:eastAsiaTheme="minorEastAsia" w:cs="Times New Roman"/>
          <w:sz w:val="21"/>
          <w:szCs w:val="21"/>
        </w:rPr>
        <w:t>2, Python (v3.7)</w:t>
      </w:r>
      <w:r>
        <w:rPr>
          <w:rFonts w:cs="Times New Roman"/>
          <w:sz w:val="21"/>
          <w:szCs w:val="21"/>
        </w:rPr>
        <w:t xml:space="preserve"> and R packages (v3.</w:t>
      </w:r>
      <w:r>
        <w:rPr>
          <w:rFonts w:eastAsiaTheme="minorEastAsia" w:cs="Times New Roman"/>
          <w:sz w:val="21"/>
          <w:szCs w:val="21"/>
        </w:rPr>
        <w:t>6</w:t>
      </w:r>
      <w:r>
        <w:rPr>
          <w:rFonts w:cs="Times New Roman"/>
          <w:sz w:val="21"/>
          <w:szCs w:val="21"/>
        </w:rPr>
        <w:t>.</w:t>
      </w:r>
      <w:r>
        <w:rPr>
          <w:rFonts w:eastAsiaTheme="minorEastAsia" w:cs="Times New Roman"/>
          <w:sz w:val="21"/>
          <w:szCs w:val="21"/>
        </w:rPr>
        <w:t>3</w:t>
      </w:r>
      <w:r>
        <w:rPr>
          <w:rFonts w:cs="Times New Roman"/>
          <w:sz w:val="21"/>
          <w:szCs w:val="21"/>
        </w:rPr>
        <w:t xml:space="preserve">). </w:t>
      </w:r>
      <w:r w:rsidRPr="006B21EF">
        <w:rPr>
          <w:rFonts w:eastAsiaTheme="minorEastAsia" w:cs="Times New Roman"/>
          <w:sz w:val="21"/>
          <w:szCs w:val="21"/>
        </w:rPr>
        <w:t xml:space="preserve">Alpha diversity </w:t>
      </w:r>
      <w:r w:rsidRPr="006B21EF">
        <w:rPr>
          <w:rFonts w:cs="Times New Roman"/>
          <w:sz w:val="21"/>
          <w:szCs w:val="21"/>
        </w:rPr>
        <w:t xml:space="preserve">was performed via q2-diversity alpha-phylogenetic based on the </w:t>
      </w:r>
      <w:r w:rsidRPr="006B21EF">
        <w:rPr>
          <w:rFonts w:eastAsiaTheme="minorEastAsia" w:cs="Times New Roman"/>
          <w:sz w:val="21"/>
          <w:szCs w:val="21"/>
        </w:rPr>
        <w:t>feature table (the metric observed OTUs was calculated by ASVs, but in order to align the definition with Qiime2, we keep the name of observed OTUs).</w:t>
      </w:r>
      <w:r>
        <w:rPr>
          <w:rFonts w:eastAsiaTheme="minorEastAsia" w:cs="Times New Roman"/>
          <w:sz w:val="21"/>
          <w:szCs w:val="21"/>
        </w:rPr>
        <w:t xml:space="preserve"> </w:t>
      </w:r>
      <w:r>
        <w:rPr>
          <w:rFonts w:cs="Times New Roman"/>
          <w:sz w:val="21"/>
          <w:szCs w:val="21"/>
        </w:rPr>
        <w:t xml:space="preserve">Beta diversity analysis was performed to investigate the structural variation of microbial communities across samples using </w:t>
      </w:r>
      <w:proofErr w:type="spellStart"/>
      <w:r>
        <w:rPr>
          <w:rFonts w:cs="Times New Roman"/>
          <w:sz w:val="21"/>
          <w:szCs w:val="21"/>
        </w:rPr>
        <w:t>UniFrac</w:t>
      </w:r>
      <w:proofErr w:type="spellEnd"/>
      <w:r>
        <w:rPr>
          <w:rFonts w:cs="Times New Roman"/>
          <w:sz w:val="21"/>
          <w:szCs w:val="21"/>
        </w:rPr>
        <w:t xml:space="preserve"> distance metrics</w:t>
      </w:r>
      <w:r>
        <w:rPr>
          <w:rFonts w:eastAsia="Times New Roman" w:cs="Times New Roman" w:hint="eastAsia"/>
          <w:sz w:val="21"/>
          <w:szCs w:val="21"/>
        </w:rPr>
        <w:t xml:space="preserve"> </w:t>
      </w:r>
      <w:r>
        <w:rPr>
          <w:rFonts w:eastAsia="Times New Roman" w:cs="Times New Roman"/>
          <w:sz w:val="21"/>
          <w:szCs w:val="21"/>
        </w:rPr>
        <w:fldChar w:fldCharType="begin"/>
      </w:r>
      <w:r>
        <w:rPr>
          <w:rFonts w:eastAsia="Times New Roman" w:cs="Times New Roman"/>
          <w:sz w:val="21"/>
          <w:szCs w:val="21"/>
        </w:rPr>
        <w:instrText xml:space="preserve"> ADDIN EN.CITE &lt;EndNote&gt;&lt;Cite&gt;&lt;Author&gt;Lozupone&lt;/Author&gt;&lt;Year&gt;2007&lt;/Year&gt;&lt;RecNum&gt;22&lt;/RecNum&gt;&lt;DisplayText&gt;[1]&lt;/DisplayText&gt;&lt;record&gt;&lt;rec-number&gt;22&lt;/rec-number&gt;&lt;foreign-keys&gt;&lt;key app="EN" db-id="swavzspf9eezvkeaxwb5a9rgdt9vzss0p9rz" timestamp="1641548349"&gt;22&lt;/key&gt;&lt;key app="ENWeb" db-id=""&gt;0&lt;/key&gt;&lt;/foreign-keys&gt;&lt;ref-type name="Journal Article"&gt;17&lt;/ref-type&gt;&lt;contributors&gt;&lt;authors&gt;&lt;author&gt;Lozupone, C. A.&lt;/author&gt;&lt;author&gt;Hamady, M.&lt;/author&gt;&lt;author&gt;Kelley, S. T.&lt;/author&gt;&lt;author&gt;Knight, R.&lt;/author&gt;&lt;/authors&gt;&lt;/contributors&gt;&lt;auth-address&gt;Department of Molecular, Cellular, and Developmental Biology, University of Colorado, Boulder, CO 80309, USA.&lt;/auth-address&gt;&lt;titles&gt;&lt;title&gt;Quantitative and qualitative beta diversity measures lead to different insights into factors that structure microbial communities&lt;/title&gt;&lt;secondary-title&gt;Appl Environ Microbiol&lt;/secondary-title&gt;&lt;/titles&gt;&lt;periodical&gt;&lt;full-title&gt;Appl Environ Microbiol&lt;/full-title&gt;&lt;/periodical&gt;&lt;pages&gt;1576-85&lt;/pages&gt;&lt;volume&gt;73&lt;/volume&gt;&lt;number&gt;5&lt;/number&gt;&lt;edition&gt;2007/01/16&lt;/edition&gt;&lt;keywords&gt;&lt;keyword&gt;Animals&lt;/keyword&gt;&lt;keyword&gt;Bacteria/*classification/genetics/growth &amp;amp; development&lt;/keyword&gt;&lt;keyword&gt;Cluster Analysis&lt;/keyword&gt;&lt;keyword&gt;Computational Biology/*methods&lt;/keyword&gt;&lt;keyword&gt;DNA, Ribosomal/analysis&lt;/keyword&gt;&lt;keyword&gt;Digestive System/*microbiology&lt;/keyword&gt;&lt;keyword&gt;*Ecosystem&lt;/keyword&gt;&lt;keyword&gt;Genes, rRNA&lt;/keyword&gt;&lt;keyword&gt;Genetic Variation&lt;/keyword&gt;&lt;keyword&gt;Geologic Sediments/*microbiology&lt;/keyword&gt;&lt;keyword&gt;Hot Springs/*microbiology&lt;/keyword&gt;&lt;keyword&gt;Mice&lt;/keyword&gt;&lt;keyword&gt;*Phylogeny&lt;/keyword&gt;&lt;keyword&gt;RNA, Ribosomal, 16S/genetics&lt;/keyword&gt;&lt;/keywords&gt;&lt;dates&gt;&lt;year&gt;2007&lt;/year&gt;&lt;pub-dates&gt;&lt;date&gt;Mar&lt;/date&gt;&lt;/pub-dates&gt;&lt;/dates&gt;&lt;isbn&gt;0099-2240 (Print)&amp;#xD;0099-2240 (Linking)&lt;/isbn&gt;&lt;accession-num&gt;17220268&lt;/accession-num&gt;&lt;urls&gt;&lt;related-urls&gt;&lt;url&gt;https://www.ncbi.nlm.nih.gov/pubmed/17220268&lt;/url&gt;&lt;/related-urls&gt;&lt;/urls&gt;&lt;custom2&gt;PMC1828774&lt;/custom2&gt;&lt;electronic-resource-num&gt;10.1128/AEM.01996-06&lt;/electronic-resource-num&gt;&lt;/record&gt;&lt;/Cite&gt;&lt;/EndNote&gt;</w:instrText>
      </w:r>
      <w:r>
        <w:rPr>
          <w:rFonts w:eastAsia="Times New Roman" w:cs="Times New Roman"/>
          <w:sz w:val="21"/>
          <w:szCs w:val="21"/>
        </w:rPr>
        <w:fldChar w:fldCharType="separate"/>
      </w:r>
      <w:r>
        <w:rPr>
          <w:rFonts w:eastAsia="Times New Roman" w:cs="Times New Roman"/>
          <w:noProof/>
          <w:sz w:val="21"/>
          <w:szCs w:val="21"/>
        </w:rPr>
        <w:t>[1]</w:t>
      </w:r>
      <w:r>
        <w:rPr>
          <w:rFonts w:eastAsia="Times New Roman" w:cs="Times New Roman"/>
          <w:sz w:val="21"/>
          <w:szCs w:val="21"/>
        </w:rPr>
        <w:fldChar w:fldCharType="end"/>
      </w:r>
      <w:r>
        <w:rPr>
          <w:rFonts w:eastAsia="Times New Roman" w:cs="Times New Roman" w:hint="eastAsia"/>
          <w:sz w:val="21"/>
          <w:szCs w:val="21"/>
        </w:rPr>
        <w:t xml:space="preserve"> </w:t>
      </w:r>
      <w:r>
        <w:rPr>
          <w:rFonts w:cs="Times New Roman"/>
          <w:sz w:val="21"/>
          <w:szCs w:val="21"/>
        </w:rPr>
        <w:t>and visualized via Principal Co-ordinates Analysis (</w:t>
      </w:r>
      <w:proofErr w:type="spellStart"/>
      <w:r>
        <w:rPr>
          <w:rFonts w:cs="Times New Roman"/>
          <w:sz w:val="21"/>
          <w:szCs w:val="21"/>
        </w:rPr>
        <w:t>PCoA</w:t>
      </w:r>
      <w:proofErr w:type="spellEnd"/>
      <w:r>
        <w:rPr>
          <w:rFonts w:cs="Times New Roman"/>
          <w:sz w:val="21"/>
          <w:szCs w:val="21"/>
        </w:rPr>
        <w:t>)</w:t>
      </w:r>
      <w:r>
        <w:rPr>
          <w:rFonts w:cs="Times New Roman" w:hint="eastAsia"/>
          <w:sz w:val="21"/>
          <w:szCs w:val="21"/>
        </w:rPr>
        <w:t xml:space="preserve"> </w:t>
      </w:r>
      <w:r>
        <w:rPr>
          <w:rFonts w:cs="Times New Roman"/>
          <w:sz w:val="21"/>
          <w:szCs w:val="21"/>
        </w:rPr>
        <w:fldChar w:fldCharType="begin"/>
      </w:r>
      <w:r>
        <w:rPr>
          <w:rFonts w:cs="Times New Roman"/>
          <w:sz w:val="21"/>
          <w:szCs w:val="21"/>
        </w:rPr>
        <w:instrText xml:space="preserve"> ADDIN EN.CITE &lt;EndNote&gt;&lt;Cite&gt;&lt;Author&gt;Ramette&lt;/Author&gt;&lt;Year&gt;2007&lt;/Year&gt;&lt;RecNum&gt;23&lt;/RecNum&gt;&lt;DisplayText&gt;[2]&lt;/DisplayText&gt;&lt;record&gt;&lt;rec-number&gt;23&lt;/rec-number&gt;&lt;foreign-keys&gt;&lt;key app="EN" db-id="swavzspf9eezvkeaxwb5a9rgdt9vzss0p9rz" timestamp="1641548358"&gt;23&lt;/key&gt;&lt;key app="ENWeb" db-id=""&gt;0&lt;/key&gt;&lt;/foreign-keys&gt;&lt;ref-type name="Journal Article"&gt;17&lt;/ref-type&gt;&lt;contributors&gt;&lt;authors&gt;&lt;author&gt;Ramette, A.&lt;/author&gt;&lt;/authors&gt;&lt;/contributors&gt;&lt;auth-address&gt;Microbial habitat group, Max Planck Institute for Marine Microbiology, Bremen, Germany. aramette@mpi-bremen.de&lt;/auth-address&gt;&lt;titles&gt;&lt;title&gt;Multivariate analyses in microbial ecology&lt;/title&gt;&lt;secondary-title&gt;FEMS Microbiol Ecol&lt;/secondary-title&gt;&lt;/titles&gt;&lt;periodical&gt;&lt;full-title&gt;FEMS Microbiol Ecol&lt;/full-title&gt;&lt;/periodical&gt;&lt;pages&gt;142-60&lt;/pages&gt;&lt;volume&gt;62&lt;/volume&gt;&lt;number&gt;2&lt;/number&gt;&lt;edition&gt;2007/09/26&lt;/edition&gt;&lt;keywords&gt;&lt;keyword&gt;*Data Interpretation, Statistical&lt;/keyword&gt;&lt;keyword&gt;*Ecosystem&lt;/keyword&gt;&lt;keyword&gt;*Environmental Microbiology&lt;/keyword&gt;&lt;keyword&gt;*Multivariate Analysis&lt;/keyword&gt;&lt;/keywords&gt;&lt;dates&gt;&lt;year&gt;2007&lt;/year&gt;&lt;pub-dates&gt;&lt;date&gt;Nov&lt;/date&gt;&lt;/pub-dates&gt;&lt;/dates&gt;&lt;isbn&gt;0168-6496 (Print)&amp;#xD;0168-6496 (Linking)&lt;/isbn&gt;&lt;accession-num&gt;17892477&lt;/accession-num&gt;&lt;urls&gt;&lt;related-urls&gt;&lt;url&gt;https://www.ncbi.nlm.nih.gov/pubmed/17892477&lt;/url&gt;&lt;/related-urls&gt;&lt;/urls&gt;&lt;custom2&gt;PMC2121141&lt;/custom2&gt;&lt;electronic-resource-num&gt;10.1111/j.1574-6941.2007.00375.x&lt;/electronic-resource-num&gt;&lt;/record&gt;&lt;/Cite&gt;&lt;/EndNote&gt;</w:instrText>
      </w:r>
      <w:r>
        <w:rPr>
          <w:rFonts w:cs="Times New Roman"/>
          <w:sz w:val="21"/>
          <w:szCs w:val="21"/>
        </w:rPr>
        <w:fldChar w:fldCharType="separate"/>
      </w:r>
      <w:r>
        <w:rPr>
          <w:rFonts w:cs="Times New Roman"/>
          <w:noProof/>
          <w:sz w:val="21"/>
          <w:szCs w:val="21"/>
        </w:rPr>
        <w:t>[2]</w:t>
      </w:r>
      <w:r>
        <w:rPr>
          <w:rFonts w:cs="Times New Roman"/>
          <w:sz w:val="21"/>
          <w:szCs w:val="21"/>
        </w:rPr>
        <w:fldChar w:fldCharType="end"/>
      </w:r>
      <w:r>
        <w:rPr>
          <w:rFonts w:eastAsia="微软雅黑" w:cs="Times New Roman"/>
          <w:sz w:val="21"/>
          <w:szCs w:val="21"/>
        </w:rPr>
        <w:t>.</w:t>
      </w:r>
      <w:r>
        <w:rPr>
          <w:rFonts w:cs="Times New Roman"/>
          <w:sz w:val="21"/>
          <w:szCs w:val="21"/>
        </w:rPr>
        <w:t xml:space="preserve"> Differences in the </w:t>
      </w:r>
      <w:proofErr w:type="spellStart"/>
      <w:r>
        <w:rPr>
          <w:rFonts w:cs="Times New Roman"/>
          <w:sz w:val="21"/>
          <w:szCs w:val="21"/>
        </w:rPr>
        <w:t>Unifrac</w:t>
      </w:r>
      <w:proofErr w:type="spellEnd"/>
      <w:r>
        <w:rPr>
          <w:rFonts w:cs="Times New Roman"/>
          <w:sz w:val="21"/>
          <w:szCs w:val="21"/>
        </w:rPr>
        <w:t xml:space="preserve"> distances for pairwise comparisons among groups were determined using Student’s t-test and the Monte Carlo permutation test with 1000 permutations, and using Tukey’s multiple-comparisons test when appropriate</w:t>
      </w:r>
      <w:r>
        <w:rPr>
          <w:rFonts w:cs="Times New Roman" w:hint="eastAsia"/>
          <w:sz w:val="21"/>
          <w:szCs w:val="21"/>
        </w:rPr>
        <w:t xml:space="preserve"> </w:t>
      </w:r>
      <w:r>
        <w:rPr>
          <w:rFonts w:cs="Times New Roman"/>
          <w:sz w:val="21"/>
          <w:szCs w:val="21"/>
        </w:rPr>
        <w:fldChar w:fldCharType="begin"/>
      </w:r>
      <w:r>
        <w:rPr>
          <w:rFonts w:cs="Times New Roman"/>
          <w:sz w:val="21"/>
          <w:szCs w:val="21"/>
        </w:rPr>
        <w:instrText xml:space="preserve"> ADDIN EN.CITE &lt;EndNote&gt;&lt;Cite&gt;&lt;Author&gt;Ramette&lt;/Author&gt;&lt;Year&gt;2007&lt;/Year&gt;&lt;RecNum&gt;23&lt;/RecNum&gt;&lt;DisplayText&gt;[2]&lt;/DisplayText&gt;&lt;record&gt;&lt;rec-number&gt;23&lt;/rec-number&gt;&lt;foreign-keys&gt;&lt;key app="EN" db-id="swavzspf9eezvkeaxwb5a9rgdt9vzss0p9rz" timestamp="1641548358"&gt;23&lt;/key&gt;&lt;key app="ENWeb" db-id=""&gt;0&lt;/key&gt;&lt;/foreign-keys&gt;&lt;ref-type name="Journal Article"&gt;17&lt;/ref-type&gt;&lt;contributors&gt;&lt;authors&gt;&lt;author&gt;Ramette, A.&lt;/author&gt;&lt;/authors&gt;&lt;/contributors&gt;&lt;auth-address&gt;Microbial habitat group, Max Planck Institute for Marine Microbiology, Bremen, Germany. aramette@mpi-bremen.de&lt;/auth-address&gt;&lt;titles&gt;&lt;title&gt;Multivariate analyses in microbial ecology&lt;/title&gt;&lt;secondary-title&gt;FEMS Microbiol Ecol&lt;/secondary-title&gt;&lt;/titles&gt;&lt;periodical&gt;&lt;full-title&gt;FEMS Microbiol Ecol&lt;/full-title&gt;&lt;/periodical&gt;&lt;pages&gt;142-60&lt;/pages&gt;&lt;volume&gt;62&lt;/volume&gt;&lt;number&gt;2&lt;/number&gt;&lt;edition&gt;2007/09/26&lt;/edition&gt;&lt;keywords&gt;&lt;keyword&gt;*Data Interpretation, Statistical&lt;/keyword&gt;&lt;keyword&gt;*Ecosystem&lt;/keyword&gt;&lt;keyword&gt;*Environmental Microbiology&lt;/keyword&gt;&lt;keyword&gt;*Multivariate Analysis&lt;/keyword&gt;&lt;/keywords&gt;&lt;dates&gt;&lt;year&gt;2007&lt;/year&gt;&lt;pub-dates&gt;&lt;date&gt;Nov&lt;/date&gt;&lt;/pub-dates&gt;&lt;/dates&gt;&lt;isbn&gt;0168-6496 (Print)&amp;#xD;0168-6496 (Linking)&lt;/isbn&gt;&lt;accession-num&gt;17892477&lt;/accession-num&gt;&lt;urls&gt;&lt;related-urls&gt;&lt;url&gt;https://www.ncbi.nlm.nih.gov/pubmed/17892477&lt;/url&gt;&lt;/related-urls&gt;&lt;/urls&gt;&lt;custom2&gt;PMC2121141&lt;/custom2&gt;&lt;electronic-resource-num&gt;10.1111/j.1574-6941.2007.00375.x&lt;/electronic-resource-num&gt;&lt;/record&gt;&lt;/Cite&gt;&lt;/EndNote&gt;</w:instrText>
      </w:r>
      <w:r>
        <w:rPr>
          <w:rFonts w:cs="Times New Roman"/>
          <w:sz w:val="21"/>
          <w:szCs w:val="21"/>
        </w:rPr>
        <w:fldChar w:fldCharType="separate"/>
      </w:r>
      <w:r>
        <w:rPr>
          <w:rFonts w:cs="Times New Roman"/>
          <w:noProof/>
          <w:sz w:val="21"/>
          <w:szCs w:val="21"/>
        </w:rPr>
        <w:t>[2]</w:t>
      </w:r>
      <w:r>
        <w:rPr>
          <w:rFonts w:cs="Times New Roman"/>
          <w:sz w:val="21"/>
          <w:szCs w:val="21"/>
        </w:rPr>
        <w:fldChar w:fldCharType="end"/>
      </w:r>
      <w:r>
        <w:rPr>
          <w:rFonts w:cs="Times New Roman"/>
          <w:sz w:val="21"/>
          <w:szCs w:val="21"/>
        </w:rPr>
        <w:t xml:space="preserve">. The </w:t>
      </w:r>
      <w:r>
        <w:rPr>
          <w:rFonts w:eastAsia="宋体" w:cs="Times New Roman"/>
          <w:sz w:val="21"/>
          <w:szCs w:val="21"/>
        </w:rPr>
        <w:t>significance</w:t>
      </w:r>
      <w:r>
        <w:rPr>
          <w:rFonts w:cs="Times New Roman"/>
          <w:sz w:val="21"/>
          <w:szCs w:val="21"/>
        </w:rPr>
        <w:t xml:space="preserve"> of differentiation of microbiota structure among groups was assessed by PERMANOVA (Permutational multivariate analysis of variance)</w:t>
      </w:r>
      <w:r>
        <w:rPr>
          <w:rFonts w:eastAsia="Times New Roman" w:cs="Times New Roman"/>
          <w:sz w:val="21"/>
          <w:szCs w:val="21"/>
        </w:rPr>
        <w:t xml:space="preserve"> </w:t>
      </w:r>
      <w:r>
        <w:rPr>
          <w:rFonts w:eastAsia="Times New Roman" w:cs="Times New Roman"/>
          <w:sz w:val="21"/>
          <w:szCs w:val="21"/>
        </w:rPr>
        <w:fldChar w:fldCharType="begin"/>
      </w:r>
      <w:r>
        <w:rPr>
          <w:rFonts w:eastAsia="Times New Roman" w:cs="Times New Roman"/>
          <w:sz w:val="21"/>
          <w:szCs w:val="21"/>
        </w:rPr>
        <w:instrText xml:space="preserve"> ADDIN EN.CITE &lt;EndNote&gt;&lt;Cite&gt;&lt;Author&gt;McArdle&lt;/Author&gt;&lt;Year&gt;2001&lt;/Year&gt;&lt;RecNum&gt;270&lt;/RecNum&gt;&lt;DisplayText&gt;[3]&lt;/DisplayText&gt;&lt;record&gt;&lt;rec-number&gt;270&lt;/rec-number&gt;&lt;foreign-keys&gt;&lt;key app="EN" db-id="25xswdedsr0wr7evd9mxf9vys20rr0vtd50r" timestamp="1524732518"&gt;270&lt;/key&gt;&lt;key app="ENWeb" db-id=""&gt;0&lt;/key&gt;&lt;/foreign-keys&gt;&lt;ref-type name="Journal Article"&gt;17&lt;/ref-type&gt;&lt;contributors&gt;&lt;authors&gt;&lt;author&gt;McArdle, B.H. &amp;amp; Anderson, M.J. &lt;/author&gt;&lt;/authors&gt;&lt;/contributors&gt;&lt;titles&gt;&lt;title&gt; Fitting multivariate models to community data: a comment on distancebased redundancy analysis.&lt;/title&gt;&lt;secondary-title&gt;Ecology&lt;/secondary-title&gt;&lt;/titles&gt;&lt;periodical&gt;&lt;full-title&gt;Ecology&lt;/full-title&gt;&lt;/periodical&gt;&lt;pages&gt;290-297&lt;/pages&gt;&lt;volume&gt;82&lt;/volume&gt;&lt;dates&gt;&lt;year&gt;2001&lt;/year&gt;&lt;/dates&gt;&lt;urls&gt;&lt;/urls&gt;&lt;/record&gt;&lt;/Cite&gt;&lt;/EndNote&gt;</w:instrText>
      </w:r>
      <w:r>
        <w:rPr>
          <w:rFonts w:eastAsia="Times New Roman" w:cs="Times New Roman"/>
          <w:sz w:val="21"/>
          <w:szCs w:val="21"/>
        </w:rPr>
        <w:fldChar w:fldCharType="separate"/>
      </w:r>
      <w:r>
        <w:rPr>
          <w:rFonts w:eastAsia="Times New Roman" w:cs="Times New Roman"/>
          <w:noProof/>
          <w:sz w:val="21"/>
          <w:szCs w:val="21"/>
        </w:rPr>
        <w:t>[3]</w:t>
      </w:r>
      <w:r>
        <w:rPr>
          <w:rFonts w:eastAsia="Times New Roman" w:cs="Times New Roman"/>
          <w:sz w:val="21"/>
          <w:szCs w:val="21"/>
        </w:rPr>
        <w:fldChar w:fldCharType="end"/>
      </w:r>
      <w:r>
        <w:rPr>
          <w:rFonts w:eastAsia="Times New Roman" w:cs="Times New Roman" w:hint="eastAsia"/>
          <w:sz w:val="21"/>
          <w:szCs w:val="21"/>
        </w:rPr>
        <w:t xml:space="preserve"> </w:t>
      </w:r>
      <w:r>
        <w:rPr>
          <w:rFonts w:cs="Times New Roman"/>
          <w:sz w:val="21"/>
          <w:szCs w:val="21"/>
        </w:rPr>
        <w:t>and ANOSIM (Analysis of similarities) using R package “vegan”</w:t>
      </w:r>
      <w:r>
        <w:rPr>
          <w:rFonts w:cs="Times New Roman" w:hint="eastAsia"/>
          <w:sz w:val="21"/>
          <w:szCs w:val="21"/>
        </w:rPr>
        <w:t xml:space="preserve"> </w:t>
      </w:r>
      <w:r>
        <w:rPr>
          <w:rFonts w:cs="Times New Roman"/>
          <w:sz w:val="21"/>
          <w:szCs w:val="21"/>
        </w:rPr>
        <w:fldChar w:fldCharType="begin"/>
      </w:r>
      <w:r>
        <w:rPr>
          <w:rFonts w:cs="Times New Roman"/>
          <w:sz w:val="21"/>
          <w:szCs w:val="21"/>
        </w:rPr>
        <w:instrText xml:space="preserve"> ADDIN EN.CITE &lt;EndNote&gt;&lt;Cite&gt;&lt;Author&gt;Clarke&lt;/Author&gt;&lt;Year&gt;1993&lt;/Year&gt;&lt;RecNum&gt;273&lt;/RecNum&gt;&lt;DisplayText&gt;[4, 5]&lt;/DisplayText&gt;&lt;record&gt;&lt;rec-number&gt;273&lt;/rec-number&gt;&lt;foreign-keys&gt;&lt;key app="EN" db-id="25xswdedsr0wr7evd9mxf9vys20rr0vtd50r" timestamp="1524789796"&gt;273&lt;/key&gt;&lt;key app="ENWeb" db-id=""&gt;0&lt;/key&gt;&lt;/foreign-keys&gt;&lt;ref-type name="Journal Article"&gt;17&lt;/ref-type&gt;&lt;contributors&gt;&lt;authors&gt;&lt;author&gt;K.R. Clarke&lt;/author&gt;&lt;/authors&gt;&lt;/contributors&gt;&lt;titles&gt;&lt;title&gt;Non-parametric multivariate analyses of changes in community structure&lt;/title&gt;&lt;secondary-title&gt;Australian Journal of Ecology&lt;/secondary-title&gt;&lt;/titles&gt;&lt;periodical&gt;&lt;full-title&gt;Australian Journal of Ecology&lt;/full-title&gt;&lt;/periodical&gt;&lt;pages&gt;117-143&lt;/pages&gt;&lt;volume&gt;18&lt;/volume&gt;&lt;dates&gt;&lt;year&gt;1993&lt;/year&gt;&lt;/dates&gt;&lt;urls&gt;&lt;/urls&gt;&lt;/record&gt;&lt;/Cite&gt;&lt;Cite&gt;&lt;Author&gt;Warton&lt;/Author&gt;&lt;Year&gt;2012&lt;/Year&gt;&lt;RecNum&gt;272&lt;/RecNum&gt;&lt;record&gt;&lt;rec-number&gt;272&lt;/rec-number&gt;&lt;foreign-keys&gt;&lt;key app="EN" db-id="25xswdedsr0wr7evd9mxf9vys20rr0vtd50r" timestamp="1524789650"&gt;272&lt;/key&gt;&lt;key app="ENWeb" db-id=""&gt;0&lt;/key&gt;&lt;/foreign-keys&gt;&lt;ref-type name="Journal Article"&gt;17&lt;/ref-type&gt;&lt;contributors&gt;&lt;authors&gt;&lt;author&gt;Warton, David I.&lt;/author&gt;&lt;author&gt;Wright, Stephen T.&lt;/author&gt;&lt;author&gt;Wang, Yi&lt;/author&gt;&lt;/authors&gt;&lt;/contributors&gt;&lt;titles&gt;&lt;title&gt;Distance-based multivariate analyses confound location and dispersion effects&lt;/title&gt;&lt;secondary-title&gt;Methods in Ecology and Evolution&lt;/secondary-title&gt;&lt;/titles&gt;&lt;periodical&gt;&lt;full-title&gt;Methods in Ecology and Evolution&lt;/full-title&gt;&lt;/periodical&gt;&lt;pages&gt;89-101&lt;/pages&gt;&lt;volume&gt;3&lt;/volume&gt;&lt;number&gt;1&lt;/number&gt;&lt;dates&gt;&lt;year&gt;2012&lt;/year&gt;&lt;/dates&gt;&lt;isbn&gt;2041210X&lt;/isbn&gt;&lt;urls&gt;&lt;/urls&gt;&lt;electronic-resource-num&gt;10.1111/j.2041-210X.2011.00127.x&lt;/electronic-resource-num&gt;&lt;/record&gt;&lt;/Cite&gt;&lt;/EndNote&gt;</w:instrText>
      </w:r>
      <w:r>
        <w:rPr>
          <w:rFonts w:cs="Times New Roman"/>
          <w:sz w:val="21"/>
          <w:szCs w:val="21"/>
        </w:rPr>
        <w:fldChar w:fldCharType="separate"/>
      </w:r>
      <w:r>
        <w:rPr>
          <w:rFonts w:cs="Times New Roman"/>
          <w:noProof/>
          <w:sz w:val="21"/>
          <w:szCs w:val="21"/>
        </w:rPr>
        <w:t>[4, 5]</w:t>
      </w:r>
      <w:r>
        <w:rPr>
          <w:rFonts w:cs="Times New Roman"/>
          <w:sz w:val="21"/>
          <w:szCs w:val="21"/>
        </w:rPr>
        <w:fldChar w:fldCharType="end"/>
      </w:r>
      <w:r>
        <w:rPr>
          <w:rFonts w:cs="Times New Roman"/>
          <w:sz w:val="21"/>
          <w:szCs w:val="21"/>
        </w:rPr>
        <w:t>.</w:t>
      </w:r>
    </w:p>
    <w:p w14:paraId="4AFDEE67" w14:textId="154918E0" w:rsidR="00D60BB9" w:rsidRDefault="00537E35">
      <w:pPr>
        <w:pStyle w:val="TextBody"/>
        <w:spacing w:before="0" w:after="0" w:line="360" w:lineRule="auto"/>
        <w:ind w:firstLineChars="200" w:firstLine="420"/>
        <w:contextualSpacing/>
        <w:jc w:val="both"/>
        <w:rPr>
          <w:rFonts w:eastAsiaTheme="minorEastAsia" w:cs="Times New Roman"/>
          <w:sz w:val="21"/>
          <w:szCs w:val="21"/>
        </w:rPr>
      </w:pPr>
      <w:r>
        <w:rPr>
          <w:rFonts w:cs="Times New Roman"/>
          <w:sz w:val="21"/>
          <w:szCs w:val="21"/>
        </w:rPr>
        <w:t xml:space="preserve">Taxa abundances at the phylum, class, order, family, genus and species levels were statistically compared among samples or groups by Kruskal-Wallis test or </w:t>
      </w:r>
      <w:proofErr w:type="spellStart"/>
      <w:r>
        <w:rPr>
          <w:rFonts w:cs="Times New Roman"/>
          <w:sz w:val="21"/>
          <w:szCs w:val="21"/>
        </w:rPr>
        <w:t>LEfSe</w:t>
      </w:r>
      <w:proofErr w:type="spellEnd"/>
      <w:r>
        <w:rPr>
          <w:rFonts w:cs="Times New Roman"/>
          <w:sz w:val="21"/>
          <w:szCs w:val="21"/>
        </w:rPr>
        <w:t xml:space="preserve"> (Linear discriminant analysis effect size) which was performed to detect differentially abundant taxa across groups using the default parameters</w:t>
      </w:r>
      <w:r>
        <w:rPr>
          <w:rFonts w:cs="Times New Roman" w:hint="eastAsia"/>
          <w:sz w:val="21"/>
          <w:szCs w:val="21"/>
        </w:rPr>
        <w:t xml:space="preserve"> </w:t>
      </w:r>
      <w:r>
        <w:rPr>
          <w:rFonts w:cs="Times New Roman"/>
          <w:sz w:val="21"/>
          <w:szCs w:val="21"/>
        </w:rPr>
        <w:fldChar w:fldCharType="begin"/>
      </w:r>
      <w:r>
        <w:rPr>
          <w:rFonts w:cs="Times New Roman"/>
          <w:sz w:val="21"/>
          <w:szCs w:val="21"/>
        </w:rPr>
        <w:instrText xml:space="preserve"> ADDIN EN.CITE &lt;EndNote&gt;&lt;Cite&gt;&lt;Author&gt;Segata&lt;/Author&gt;&lt;Year&gt;2011&lt;/Year&gt;&lt;RecNum&gt;277&lt;/RecNum&gt;&lt;DisplayText&gt;[6]&lt;/DisplayText&gt;&lt;record&gt;&lt;rec-number&gt;277&lt;/rec-number&gt;&lt;foreign-keys&gt;&lt;key app="EN" db-id="25xswdedsr0wr7evd9mxf9vys20rr0vtd50r" timestamp="1524792068"&gt;277&lt;/key&gt;&lt;/foreign-keys&gt;&lt;ref-type name="Journal Article"&gt;17&lt;/ref-type&gt;&lt;contributors&gt;&lt;authors&gt;&lt;author&gt;Segata, N.&lt;/author&gt;&lt;author&gt;Izard, J.&lt;/author&gt;&lt;author&gt;Waldron, L.&lt;/author&gt;&lt;author&gt;Gevers, D.&lt;/author&gt;&lt;author&gt;Miropolsky, L.&lt;/author&gt;&lt;author&gt;Garrett, W. S.&lt;/author&gt;&lt;author&gt;Huttenhower, C.&lt;/author&gt;&lt;/authors&gt;&lt;/contributors&gt;&lt;auth-address&gt;Department of Biostatistics, 677 Huntington Avenue, Harvard School of Public Health, Boston, MA 02115, USA.&lt;/auth-address&gt;&lt;titles&gt;&lt;title&gt;Metagenomic biomarker discovery and explanation&lt;/title&gt;&lt;secondary-title&gt;Genome Biol&lt;/secondary-title&gt;&lt;/titles&gt;&lt;periodical&gt;&lt;full-title&gt;Genome Biol&lt;/full-title&gt;&lt;/periodical&gt;&lt;pages&gt;R60&lt;/pages&gt;&lt;volume&gt;12&lt;/volume&gt;&lt;number&gt;6&lt;/number&gt;&lt;keywords&gt;&lt;keyword&gt;Adult&lt;/keyword&gt;&lt;keyword&gt;Animals&lt;/keyword&gt;&lt;keyword&gt;Bacteria/classification&lt;/keyword&gt;&lt;keyword&gt;*Biomarkers&lt;/keyword&gt;&lt;keyword&gt;Colitis, Ulcerative/microbiology&lt;/keyword&gt;&lt;keyword&gt;Data Mining&lt;/keyword&gt;&lt;keyword&gt;Humans&lt;/keyword&gt;&lt;keyword&gt;Infant&lt;/keyword&gt;&lt;keyword&gt;*Metagenome&lt;/keyword&gt;&lt;keyword&gt;Metagenomics/*methods&lt;/keyword&gt;&lt;keyword&gt;Mice&lt;/keyword&gt;&lt;keyword&gt;Mice, Inbred BALB C&lt;/keyword&gt;&lt;keyword&gt;Mice, Knockout&lt;/keyword&gt;&lt;keyword&gt;Mucous Membrane/microbiology&lt;/keyword&gt;&lt;keyword&gt;Sensitivity and Specificity&lt;/keyword&gt;&lt;keyword&gt;*Software&lt;/keyword&gt;&lt;keyword&gt;Viruses/classification&lt;/keyword&gt;&lt;/keywords&gt;&lt;dates&gt;&lt;year&gt;2011&lt;/year&gt;&lt;pub-dates&gt;&lt;date&gt;Jun 24&lt;/date&gt;&lt;/pub-dates&gt;&lt;/dates&gt;&lt;isbn&gt;1474-760X (Electronic)&amp;#xD;1474-7596 (Linking)&lt;/isbn&gt;&lt;accession-num&gt;21702898&lt;/accession-num&gt;&lt;urls&gt;&lt;related-urls&gt;&lt;url&gt;https://www.ncbi.nlm.nih.gov/pubmed/21702898&lt;/url&gt;&lt;/related-urls&gt;&lt;/urls&gt;&lt;custom2&gt;PMC3218848&lt;/custom2&gt;&lt;electronic-resource-num&gt;10.1186/gb-2011-12-6-r60&lt;/electronic-resource-num&gt;&lt;/record&gt;&lt;/Cite&gt;&lt;/EndNote&gt;</w:instrText>
      </w:r>
      <w:r>
        <w:rPr>
          <w:rFonts w:cs="Times New Roman"/>
          <w:sz w:val="21"/>
          <w:szCs w:val="21"/>
        </w:rPr>
        <w:fldChar w:fldCharType="separate"/>
      </w:r>
      <w:r>
        <w:rPr>
          <w:rFonts w:cs="Times New Roman"/>
          <w:noProof/>
          <w:sz w:val="21"/>
          <w:szCs w:val="21"/>
        </w:rPr>
        <w:t>[6]</w:t>
      </w:r>
      <w:r>
        <w:rPr>
          <w:rFonts w:cs="Times New Roman"/>
          <w:sz w:val="21"/>
          <w:szCs w:val="21"/>
        </w:rPr>
        <w:fldChar w:fldCharType="end"/>
      </w:r>
      <w:r>
        <w:rPr>
          <w:rFonts w:cs="Times New Roman"/>
          <w:sz w:val="21"/>
          <w:szCs w:val="21"/>
        </w:rPr>
        <w:t xml:space="preserve">. </w:t>
      </w:r>
      <w:r>
        <w:rPr>
          <w:rFonts w:eastAsiaTheme="minorEastAsia" w:cs="Times New Roman"/>
          <w:sz w:val="21"/>
          <w:szCs w:val="21"/>
        </w:rPr>
        <w:t xml:space="preserve">Correlation analysis was carried out by using R language to analyze the relative abundance of metabolites detected and the relative abundance of bacteria. The correlation analysis method was Spearman. The metabolic data were selected from 64 metabolites with a high degree of substance identification and a detection rate of more than 50% among samples. The 16s data were selected from the relative abundance data of genus level and the abundance data of bacteria with significant difference in </w:t>
      </w:r>
      <w:proofErr w:type="spellStart"/>
      <w:r>
        <w:rPr>
          <w:rFonts w:eastAsiaTheme="minorEastAsia" w:cs="Times New Roman"/>
          <w:sz w:val="21"/>
          <w:szCs w:val="21"/>
        </w:rPr>
        <w:t>LefSE</w:t>
      </w:r>
      <w:proofErr w:type="spellEnd"/>
      <w:r>
        <w:rPr>
          <w:rFonts w:eastAsiaTheme="minorEastAsia" w:cs="Times New Roman"/>
          <w:sz w:val="21"/>
          <w:szCs w:val="21"/>
        </w:rPr>
        <w:t xml:space="preserve"> analysis. The results were shown by the correlation heat map, in which the color represented the correlation coefficient, * indicated that the correlation P value was less than 0.05, and ** indicated that the correlation P value was less than 0.001.</w:t>
      </w:r>
      <w:r>
        <w:rPr>
          <w:rFonts w:cs="Times New Roman"/>
          <w:sz w:val="21"/>
          <w:szCs w:val="21"/>
        </w:rPr>
        <w:t xml:space="preserve"> All other plots were made </w:t>
      </w:r>
      <w:r>
        <w:rPr>
          <w:rFonts w:eastAsia="宋体" w:cs="Times New Roman"/>
          <w:sz w:val="21"/>
          <w:szCs w:val="21"/>
        </w:rPr>
        <w:t>by</w:t>
      </w:r>
      <w:r>
        <w:rPr>
          <w:rFonts w:cs="Times New Roman"/>
          <w:sz w:val="21"/>
          <w:szCs w:val="21"/>
        </w:rPr>
        <w:t xml:space="preserve"> Prism 7.</w:t>
      </w:r>
    </w:p>
    <w:p w14:paraId="0AAFC75A" w14:textId="77777777" w:rsidR="00D60BB9" w:rsidRDefault="00537E35">
      <w:pPr>
        <w:pStyle w:val="TextBody"/>
        <w:spacing w:before="0" w:after="0" w:line="360" w:lineRule="auto"/>
        <w:contextualSpacing/>
        <w:jc w:val="both"/>
        <w:rPr>
          <w:rFonts w:cs="Times New Roman"/>
          <w:b/>
          <w:sz w:val="21"/>
          <w:szCs w:val="21"/>
        </w:rPr>
      </w:pPr>
      <w:r>
        <w:rPr>
          <w:rFonts w:cs="Times New Roman"/>
          <w:b/>
          <w:sz w:val="21"/>
          <w:szCs w:val="21"/>
        </w:rPr>
        <w:t>Metabolite extraction for LC-MS</w:t>
      </w:r>
    </w:p>
    <w:p w14:paraId="147F8AAF" w14:textId="77777777" w:rsidR="00D60BB9" w:rsidRDefault="00537E35">
      <w:pPr>
        <w:pStyle w:val="TextBody"/>
        <w:spacing w:before="0" w:after="0" w:line="360" w:lineRule="auto"/>
        <w:ind w:firstLineChars="200" w:firstLine="420"/>
        <w:contextualSpacing/>
        <w:jc w:val="both"/>
        <w:rPr>
          <w:rFonts w:eastAsiaTheme="minorEastAsia" w:cs="Times New Roman"/>
          <w:sz w:val="21"/>
          <w:szCs w:val="21"/>
        </w:rPr>
      </w:pPr>
      <w:r>
        <w:rPr>
          <w:rFonts w:cs="Times New Roman"/>
          <w:sz w:val="21"/>
          <w:szCs w:val="21"/>
        </w:rPr>
        <w:t>Fecal samples were reconstituted with PBS and centrifuged at 3,000 rpm for 30 min to obtain the supernatant which was filtered twice using 0.22 µm filters (Millipore, Billerica, MA, USA). Supernatant w</w:t>
      </w:r>
      <w:r>
        <w:rPr>
          <w:rFonts w:eastAsia="宋体" w:cs="Times New Roman"/>
          <w:sz w:val="21"/>
          <w:szCs w:val="21"/>
        </w:rPr>
        <w:t>as</w:t>
      </w:r>
      <w:r>
        <w:rPr>
          <w:rFonts w:cs="Times New Roman"/>
          <w:sz w:val="21"/>
          <w:szCs w:val="21"/>
        </w:rPr>
        <w:t xml:space="preserve"> reconstituted by dissolving in 1 mL solvent mixture containing methanol/acetonitrile (1</w:t>
      </w:r>
      <w:r>
        <w:rPr>
          <w:rFonts w:ascii="Cambria Math" w:eastAsia="MS Mincho" w:hAnsi="Cambria Math" w:cs="Cambria Math"/>
          <w:sz w:val="21"/>
          <w:szCs w:val="21"/>
        </w:rPr>
        <w:t>∶</w:t>
      </w:r>
      <w:r>
        <w:rPr>
          <w:rFonts w:cs="Times New Roman"/>
          <w:sz w:val="21"/>
          <w:szCs w:val="21"/>
        </w:rPr>
        <w:t xml:space="preserve">1). The samples were vortexed for 30 s and -20 °C for 2 h. Then centrifuged at 13,000 g for 15 min at 4 °C and transferred to LC vial for LC–MS analysis. Quality control (QC) samples were prepared by mixing each aliquot with a </w:t>
      </w:r>
      <w:r>
        <w:rPr>
          <w:rFonts w:cs="Times New Roman"/>
          <w:sz w:val="21"/>
          <w:szCs w:val="21"/>
        </w:rPr>
        <w:lastRenderedPageBreak/>
        <w:t xml:space="preserve">pooled sample and analyzing them in parallel using the same method. The QCs were </w:t>
      </w:r>
      <w:r>
        <w:rPr>
          <w:rFonts w:eastAsiaTheme="minorEastAsia" w:cs="Times New Roman"/>
          <w:sz w:val="21"/>
          <w:szCs w:val="21"/>
        </w:rPr>
        <w:t>injected at regular intervals (every 8 samples) throughout the analytical run to provide a set of data from which repeatability could be assessed.</w:t>
      </w:r>
    </w:p>
    <w:p w14:paraId="7BF81DE2" w14:textId="77777777" w:rsidR="00D60BB9" w:rsidRDefault="00537E35">
      <w:pPr>
        <w:pStyle w:val="TextBody"/>
        <w:spacing w:before="0" w:after="0" w:line="360" w:lineRule="auto"/>
        <w:contextualSpacing/>
        <w:jc w:val="both"/>
        <w:rPr>
          <w:rFonts w:cs="Times New Roman"/>
          <w:b/>
          <w:sz w:val="21"/>
          <w:szCs w:val="21"/>
        </w:rPr>
      </w:pPr>
      <w:r>
        <w:rPr>
          <w:rFonts w:cs="Times New Roman"/>
          <w:b/>
          <w:sz w:val="21"/>
          <w:szCs w:val="21"/>
        </w:rPr>
        <w:t>Identification of metabolites by LC-MS</w:t>
      </w:r>
    </w:p>
    <w:p w14:paraId="789F5DC9" w14:textId="77777777" w:rsidR="00D60BB9" w:rsidRDefault="00537E35">
      <w:pPr>
        <w:pStyle w:val="Firstparagraph"/>
        <w:spacing w:line="360" w:lineRule="auto"/>
        <w:ind w:firstLineChars="200" w:firstLine="420"/>
        <w:contextualSpacing/>
        <w:jc w:val="both"/>
        <w:rPr>
          <w:rFonts w:cs="Times New Roman"/>
          <w:sz w:val="21"/>
          <w:szCs w:val="21"/>
        </w:rPr>
      </w:pPr>
      <w:r>
        <w:rPr>
          <w:rFonts w:cs="Times New Roman"/>
          <w:sz w:val="21"/>
          <w:szCs w:val="21"/>
        </w:rPr>
        <w:t xml:space="preserve">The separation was performed by </w:t>
      </w:r>
      <w:proofErr w:type="spellStart"/>
      <w:r>
        <w:rPr>
          <w:rFonts w:cs="Times New Roman"/>
          <w:sz w:val="21"/>
          <w:szCs w:val="21"/>
        </w:rPr>
        <w:t>Ekspert</w:t>
      </w:r>
      <w:proofErr w:type="spellEnd"/>
      <w:r>
        <w:rPr>
          <w:rFonts w:cs="Times New Roman"/>
          <w:sz w:val="21"/>
          <w:szCs w:val="21"/>
        </w:rPr>
        <w:t xml:space="preserve"> </w:t>
      </w:r>
      <w:proofErr w:type="spellStart"/>
      <w:r>
        <w:rPr>
          <w:rFonts w:cs="Times New Roman"/>
          <w:sz w:val="21"/>
          <w:szCs w:val="21"/>
        </w:rPr>
        <w:t>UltraLC</w:t>
      </w:r>
      <w:proofErr w:type="spellEnd"/>
      <w:r>
        <w:rPr>
          <w:rFonts w:cs="Times New Roman"/>
          <w:sz w:val="21"/>
          <w:szCs w:val="21"/>
        </w:rPr>
        <w:t xml:space="preserve"> (110, AB </w:t>
      </w:r>
      <w:proofErr w:type="spellStart"/>
      <w:r>
        <w:rPr>
          <w:rFonts w:cs="Times New Roman"/>
          <w:sz w:val="21"/>
          <w:szCs w:val="21"/>
        </w:rPr>
        <w:t>Sciex</w:t>
      </w:r>
      <w:proofErr w:type="spellEnd"/>
      <w:r>
        <w:rPr>
          <w:rFonts w:cs="Times New Roman"/>
          <w:sz w:val="21"/>
          <w:szCs w:val="21"/>
        </w:rPr>
        <w:t xml:space="preserve">) and equipped with ACQUITY UPLC HSS T3 (1.8 </w:t>
      </w:r>
      <w:proofErr w:type="spellStart"/>
      <w:r>
        <w:rPr>
          <w:rFonts w:cs="Times New Roman"/>
          <w:sz w:val="21"/>
          <w:szCs w:val="21"/>
        </w:rPr>
        <w:t>μm</w:t>
      </w:r>
      <w:proofErr w:type="spellEnd"/>
      <w:r>
        <w:rPr>
          <w:rFonts w:cs="Times New Roman"/>
          <w:sz w:val="21"/>
          <w:szCs w:val="21"/>
        </w:rPr>
        <w:t xml:space="preserve"> 2.1×100 mm, Waters) column at a flow rate of 0.3 mL/min under a gradient program in mobile phase A (water: acetonitrile: formic acid 900:100:1) and mobile phase B (acetonitrile: water: formic acid 900:100:1). The gradient program was applied as follows: t=4 min, 0% B; t=6 min, 25% B; t=25min, 100% B; t=29.1 min, 100% B; t=31 min, 0% B; t=33 min, 0% B. The stop time was 40 min. For MS analysis, data were acquired by AB 5600 + Triple TOF mass spectrometer (SCIEX, Redwood City, CA, USA) operating in the positive ion mode. The capillary voltage was set at + 5500 V (positive mode). Other source conditions were kept constant in all the experiments as follows: the pressure of nebulizer gas (nitrogen) was 40 </w:t>
      </w:r>
      <w:proofErr w:type="gramStart"/>
      <w:r>
        <w:rPr>
          <w:rFonts w:cs="Times New Roman"/>
          <w:sz w:val="21"/>
          <w:szCs w:val="21"/>
        </w:rPr>
        <w:t>pa</w:t>
      </w:r>
      <w:proofErr w:type="gramEnd"/>
      <w:r>
        <w:rPr>
          <w:rFonts w:cs="Times New Roman"/>
          <w:sz w:val="21"/>
          <w:szCs w:val="21"/>
        </w:rPr>
        <w:t xml:space="preserve">. The sheath gas was maintained at a temperature of 550 °C. The scan range was adjusted to 100–1200 m/z. </w:t>
      </w:r>
    </w:p>
    <w:p w14:paraId="14DDDD6F" w14:textId="77777777" w:rsidR="00D60BB9" w:rsidRDefault="00537E35">
      <w:pPr>
        <w:pStyle w:val="TextBody"/>
        <w:spacing w:before="0" w:after="0" w:line="360" w:lineRule="auto"/>
        <w:contextualSpacing/>
        <w:jc w:val="both"/>
        <w:rPr>
          <w:rFonts w:cs="Times New Roman"/>
          <w:b/>
          <w:sz w:val="21"/>
          <w:szCs w:val="21"/>
        </w:rPr>
      </w:pPr>
      <w:r>
        <w:rPr>
          <w:rFonts w:cs="Times New Roman"/>
          <w:b/>
          <w:sz w:val="21"/>
          <w:szCs w:val="21"/>
        </w:rPr>
        <w:t>Data processing and statistical data analysis</w:t>
      </w:r>
    </w:p>
    <w:p w14:paraId="1E84B714" w14:textId="5A67C7C5" w:rsidR="00D60BB9" w:rsidRDefault="00537E35">
      <w:pPr>
        <w:pStyle w:val="TextBody"/>
        <w:spacing w:before="0" w:after="0" w:line="360" w:lineRule="auto"/>
        <w:ind w:firstLineChars="200" w:firstLine="420"/>
        <w:contextualSpacing/>
        <w:jc w:val="both"/>
        <w:rPr>
          <w:rFonts w:cs="Times New Roman"/>
          <w:sz w:val="21"/>
          <w:szCs w:val="21"/>
        </w:rPr>
      </w:pPr>
      <w:r>
        <w:rPr>
          <w:rFonts w:cs="Times New Roman"/>
          <w:sz w:val="21"/>
          <w:szCs w:val="21"/>
        </w:rPr>
        <w:t xml:space="preserve">The raw MS files (WIFF format file) were converted to ABF (analysis base file format) using the freely available </w:t>
      </w:r>
      <w:proofErr w:type="spellStart"/>
      <w:r>
        <w:rPr>
          <w:rFonts w:cs="Times New Roman"/>
          <w:sz w:val="21"/>
          <w:szCs w:val="21"/>
        </w:rPr>
        <w:t>Reifycs</w:t>
      </w:r>
      <w:proofErr w:type="spellEnd"/>
      <w:r>
        <w:rPr>
          <w:rFonts w:cs="Times New Roman"/>
          <w:sz w:val="21"/>
          <w:szCs w:val="21"/>
        </w:rPr>
        <w:t xml:space="preserve"> file converter (http://www.reifycs.com/AbfConverter/). Peak picking and alignment were performed using MS-DIAL version </w:t>
      </w:r>
      <w:r>
        <w:rPr>
          <w:rFonts w:eastAsiaTheme="minorEastAsia" w:cs="Times New Roman"/>
          <w:sz w:val="21"/>
          <w:szCs w:val="21"/>
        </w:rPr>
        <w:t>3.70</w:t>
      </w:r>
      <w:r>
        <w:rPr>
          <w:rFonts w:cs="Times New Roman"/>
          <w:sz w:val="21"/>
          <w:szCs w:val="21"/>
        </w:rPr>
        <w:t xml:space="preserve"> and the parameters were set as follows: Alignment: MS1 tolerance, 0.015 Da; Retention time tolerance, </w:t>
      </w:r>
      <w:r>
        <w:rPr>
          <w:rFonts w:eastAsiaTheme="minorEastAsia" w:cs="Times New Roman"/>
          <w:sz w:val="21"/>
          <w:szCs w:val="21"/>
        </w:rPr>
        <w:t>0.3</w:t>
      </w:r>
      <w:r>
        <w:rPr>
          <w:rFonts w:cs="Times New Roman"/>
          <w:sz w:val="21"/>
          <w:szCs w:val="21"/>
        </w:rPr>
        <w:t>min</w:t>
      </w:r>
      <w:r>
        <w:rPr>
          <w:rFonts w:eastAsiaTheme="minorEastAsia" w:cs="Times New Roman"/>
          <w:sz w:val="21"/>
          <w:szCs w:val="21"/>
        </w:rPr>
        <w:t>;</w:t>
      </w:r>
      <w:r>
        <w:rPr>
          <w:rFonts w:cs="Times New Roman"/>
          <w:sz w:val="21"/>
          <w:szCs w:val="21"/>
        </w:rPr>
        <w:t xml:space="preserve"> Identification: Accurate mass tolerance (MS1), 0.0</w:t>
      </w:r>
      <w:r>
        <w:rPr>
          <w:rFonts w:eastAsiaTheme="minorEastAsia" w:cs="Times New Roman"/>
          <w:sz w:val="21"/>
          <w:szCs w:val="21"/>
        </w:rPr>
        <w:t>1</w:t>
      </w:r>
      <w:r>
        <w:rPr>
          <w:rFonts w:cs="Times New Roman"/>
          <w:sz w:val="21"/>
          <w:szCs w:val="21"/>
        </w:rPr>
        <w:t>Da; Accurate mass tolerance(MS</w:t>
      </w:r>
      <w:r>
        <w:rPr>
          <w:rFonts w:eastAsiaTheme="minorEastAsia" w:cs="Times New Roman"/>
          <w:sz w:val="21"/>
          <w:szCs w:val="21"/>
        </w:rPr>
        <w:t>2</w:t>
      </w:r>
      <w:r>
        <w:rPr>
          <w:rFonts w:cs="Times New Roman"/>
          <w:sz w:val="21"/>
          <w:szCs w:val="21"/>
        </w:rPr>
        <w:t>), 0.</w:t>
      </w:r>
      <w:r>
        <w:rPr>
          <w:rFonts w:eastAsiaTheme="minorEastAsia" w:cs="Times New Roman"/>
          <w:sz w:val="21"/>
          <w:szCs w:val="21"/>
        </w:rPr>
        <w:t>0</w:t>
      </w:r>
      <w:r>
        <w:rPr>
          <w:rFonts w:cs="Times New Roman"/>
          <w:sz w:val="21"/>
          <w:szCs w:val="21"/>
        </w:rPr>
        <w:t xml:space="preserve">5Da. Representative MS/MS spectra were exported in </w:t>
      </w:r>
      <w:proofErr w:type="spellStart"/>
      <w:r>
        <w:rPr>
          <w:rFonts w:cs="Times New Roman"/>
          <w:sz w:val="21"/>
          <w:szCs w:val="21"/>
        </w:rPr>
        <w:t>abf</w:t>
      </w:r>
      <w:proofErr w:type="spellEnd"/>
      <w:r>
        <w:rPr>
          <w:rFonts w:cs="Times New Roman"/>
          <w:sz w:val="21"/>
          <w:szCs w:val="21"/>
        </w:rPr>
        <w:t xml:space="preserve"> format for MS-DIAL, and compound identification was performed against MS/MS libraries including </w:t>
      </w:r>
      <w:r>
        <w:rPr>
          <w:rFonts w:eastAsiaTheme="minorEastAsia" w:cs="Times New Roman"/>
          <w:sz w:val="21"/>
          <w:szCs w:val="21"/>
        </w:rPr>
        <w:t>METLIN</w:t>
      </w:r>
      <w:r>
        <w:rPr>
          <w:rFonts w:eastAsiaTheme="minorEastAsia" w:cs="Times New Roman" w:hint="eastAsia"/>
          <w:sz w:val="21"/>
          <w:szCs w:val="21"/>
        </w:rPr>
        <w:t xml:space="preserve"> </w:t>
      </w:r>
      <w:r>
        <w:rPr>
          <w:rFonts w:eastAsiaTheme="minorEastAsia" w:cs="Times New Roman"/>
          <w:sz w:val="21"/>
          <w:szCs w:val="21"/>
        </w:rPr>
        <w:fldChar w:fldCharType="begin"/>
      </w:r>
      <w:r>
        <w:rPr>
          <w:rFonts w:eastAsiaTheme="minorEastAsia" w:cs="Times New Roman"/>
          <w:sz w:val="21"/>
          <w:szCs w:val="21"/>
        </w:rPr>
        <w:instrText xml:space="preserve"> ADDIN EN.CITE &lt;EndNote&gt;&lt;Cite&gt;&lt;Author&gt;Guijas&lt;/Author&gt;&lt;Year&gt;2018&lt;/Year&gt;&lt;RecNum&gt;25&lt;/RecNum&gt;&lt;DisplayText&gt;[7]&lt;/DisplayText&gt;&lt;record&gt;&lt;rec-number&gt;25&lt;/rec-number&gt;&lt;foreign-keys&gt;&lt;key app="EN" db-id="swavzspf9eezvkeaxwb5a9rgdt9vzss0p9rz" timestamp="1641548500"&gt;25&lt;/key&gt;&lt;key app="ENWeb" db-id=""&gt;0&lt;/key&gt;&lt;/foreign-keys&gt;&lt;ref-type name="Journal Article"&gt;17&lt;/ref-type&gt;&lt;contributors&gt;&lt;authors&gt;&lt;author&gt;Guijas, C.&lt;/author&gt;&lt;author&gt;Montenegro-Burke, J. R.&lt;/author&gt;&lt;author&gt;Domingo-Almenara, X.&lt;/author&gt;&lt;author&gt;Palermo, A.&lt;/author&gt;&lt;author&gt;Warth, B.&lt;/author&gt;&lt;author&gt;Hermann, G.&lt;/author&gt;&lt;author&gt;Koellensperger, G.&lt;/author&gt;&lt;author&gt;Huan, T.&lt;/author&gt;&lt;author&gt;Uritboonthai, W.&lt;/author&gt;&lt;author&gt;Aisporna, A. E.&lt;/author&gt;&lt;author&gt;Wolan, D. W.&lt;/author&gt;&lt;author&gt;Spilker, M. E.&lt;/author&gt;&lt;author&gt;Benton, H. P.&lt;/author&gt;&lt;author&gt;Siuzdak, G.&lt;/author&gt;&lt;/authors&gt;&lt;/contributors&gt;&lt;auth-address&gt;ISOtopic Solutions , Waehringerstrasse 38 , Vienna 1090 , Austria.&lt;/auth-address&gt;&lt;titles&gt;&lt;title&gt;METLIN: A Technology Platform for Identifying Knowns and Unknowns&lt;/title&gt;&lt;secondary-title&gt;Anal Chem&lt;/secondary-title&gt;&lt;/titles&gt;&lt;periodical&gt;&lt;full-title&gt;Anal Chem&lt;/full-title&gt;&lt;/periodical&gt;&lt;pages&gt;3156-3164&lt;/pages&gt;&lt;volume&gt;90&lt;/volume&gt;&lt;number&gt;5&lt;/number&gt;&lt;edition&gt;2018/01/31&lt;/edition&gt;&lt;keywords&gt;&lt;keyword&gt;Cell Extracts/*analysis&lt;/keyword&gt;&lt;keyword&gt;Databases, Chemical/*statistics &amp;amp; numerical data&lt;/keyword&gt;&lt;keyword&gt;Datasets as Topic/*statistics &amp;amp; numerical data&lt;/keyword&gt;&lt;keyword&gt;Metabolomics/methods/statistics &amp;amp; numerical data&lt;/keyword&gt;&lt;keyword&gt;Pichia/chemistry/metabolism&lt;/keyword&gt;&lt;keyword&gt;Tandem Mass Spectrometry/statistics &amp;amp; numerical data&lt;/keyword&gt;&lt;/keywords&gt;&lt;dates&gt;&lt;year&gt;2018&lt;/year&gt;&lt;pub-dates&gt;&lt;date&gt;Mar 6&lt;/date&gt;&lt;/pub-dates&gt;&lt;/dates&gt;&lt;isbn&gt;1520-6882 (Electronic)&amp;#xD;0003-2700 (Linking)&lt;/isbn&gt;&lt;accession-num&gt;29381867&lt;/accession-num&gt;&lt;urls&gt;&lt;related-urls&gt;&lt;url&gt;https://www.ncbi.nlm.nih.gov/pubmed/29381867&lt;/url&gt;&lt;/related-urls&gt;&lt;/urls&gt;&lt;custom2&gt;PMC5933435&lt;/custom2&gt;&lt;electronic-resource-num&gt;10.1021/acs.analchem.7b04424&lt;/electronic-resource-num&gt;&lt;/record&gt;&lt;/Cite&gt;&lt;/EndNote&gt;</w:instrText>
      </w:r>
      <w:r>
        <w:rPr>
          <w:rFonts w:eastAsiaTheme="minorEastAsia" w:cs="Times New Roman"/>
          <w:sz w:val="21"/>
          <w:szCs w:val="21"/>
        </w:rPr>
        <w:fldChar w:fldCharType="separate"/>
      </w:r>
      <w:r>
        <w:rPr>
          <w:rFonts w:eastAsiaTheme="minorEastAsia" w:cs="Times New Roman"/>
          <w:noProof/>
          <w:sz w:val="21"/>
          <w:szCs w:val="21"/>
        </w:rPr>
        <w:t>[7]</w:t>
      </w:r>
      <w:r>
        <w:rPr>
          <w:rFonts w:eastAsiaTheme="minorEastAsia" w:cs="Times New Roman"/>
          <w:sz w:val="21"/>
          <w:szCs w:val="21"/>
        </w:rPr>
        <w:fldChar w:fldCharType="end"/>
      </w:r>
      <w:r>
        <w:rPr>
          <w:rFonts w:eastAsiaTheme="minorEastAsia" w:cs="Times New Roman"/>
          <w:sz w:val="21"/>
          <w:szCs w:val="21"/>
        </w:rPr>
        <w:t>,</w:t>
      </w:r>
      <w:r>
        <w:rPr>
          <w:rFonts w:eastAsia="Times New Roman" w:cs="Times New Roman"/>
          <w:sz w:val="21"/>
          <w:szCs w:val="21"/>
        </w:rPr>
        <w:t xml:space="preserve"> </w:t>
      </w:r>
      <w:proofErr w:type="spellStart"/>
      <w:r>
        <w:rPr>
          <w:rFonts w:cs="Times New Roman"/>
          <w:sz w:val="21"/>
          <w:szCs w:val="21"/>
        </w:rPr>
        <w:t>MassBank</w:t>
      </w:r>
      <w:proofErr w:type="spellEnd"/>
      <w:r>
        <w:rPr>
          <w:rFonts w:eastAsia="Times New Roman" w:cs="Times New Roman" w:hint="eastAsia"/>
          <w:sz w:val="21"/>
          <w:szCs w:val="21"/>
        </w:rPr>
        <w:t xml:space="preserve"> </w:t>
      </w:r>
      <w:r>
        <w:rPr>
          <w:rFonts w:eastAsia="Times New Roman" w:cs="Times New Roman"/>
          <w:sz w:val="21"/>
          <w:szCs w:val="21"/>
        </w:rPr>
        <w:fldChar w:fldCharType="begin">
          <w:fldData xml:space="preserve">PEVuZE5vdGU+PENpdGU+PEF1dGhvcj5Ib3JhaTwvQXV0aG9yPjxZZWFyPjIwMTA8L1llYXI+PFJl
Y051bT4yNjwvUmVjTnVtPjxEaXNwbGF5VGV4dD5bOF08L0Rpc3BsYXlUZXh0PjxyZWNvcmQ+PHJl
Yy1udW1iZXI+MjY8L3JlYy1udW1iZXI+PGZvcmVpZ24ta2V5cz48a2V5IGFwcD0iRU4iIGRiLWlk
PSJzd2F2enNwZjllZXp2a2VheHdiNWE5cmdkdDl2enNzMHA5cnoiIHRpbWVzdGFtcD0iMTY0MTU0
ODUxMiI+MjY8L2tleT48a2V5IGFwcD0iRU5XZWIiIGRiLWlkPSIiPjA8L2tleT48L2ZvcmVpZ24t
a2V5cz48cmVmLXR5cGUgbmFtZT0iSm91cm5hbCBBcnRpY2xlIj4xNzwvcmVmLXR5cGU+PGNvbnRy
aWJ1dG9ycz48YXV0aG9ycz48YXV0aG9yPkhvcmFpLCBILjwvYXV0aG9yPjxhdXRob3I+QXJpdGEs
IE0uPC9hdXRob3I+PGF1dGhvcj5LYW5heWEsIFMuPC9hdXRob3I+PGF1dGhvcj5OaWhlaSwgWS48
L2F1dGhvcj48YXV0aG9yPklrZWRhLCBULjwvYXV0aG9yPjxhdXRob3I+U3V3YSwgSy48L2F1dGhv
cj48YXV0aG9yPk9qaW1hLCBZLjwvYXV0aG9yPjxhdXRob3I+VGFuYWthLCBLLjwvYXV0aG9yPjxh
dXRob3I+VGFuYWthLCBTLjwvYXV0aG9yPjxhdXRob3I+QW9zaGltYSwgSy48L2F1dGhvcj48YXV0
aG9yPk9kYSwgWS48L2F1dGhvcj48YXV0aG9yPktha2F6dSwgWS48L2F1dGhvcj48YXV0aG9yPkt1
c2FubywgTS48L2F1dGhvcj48YXV0aG9yPlRvaGdlLCBULjwvYXV0aG9yPjxhdXRob3I+TWF0c3Vk
YSwgRi48L2F1dGhvcj48YXV0aG9yPlNhd2FkYSwgWS48L2F1dGhvcj48YXV0aG9yPkhpcmFpLCBN
LiBZLjwvYXV0aG9yPjxhdXRob3I+TmFrYW5pc2hpLCBILjwvYXV0aG9yPjxhdXRob3I+SWtlZGEs
IEsuPC9hdXRob3I+PGF1dGhvcj5Ba2ltb3RvLCBOLjwvYXV0aG9yPjxhdXRob3I+TWFva2EsIFQu
PC9hdXRob3I+PGF1dGhvcj5UYWthaGFzaGksIEguPC9hdXRob3I+PGF1dGhvcj5BcmEsIFQuPC9h
dXRob3I+PGF1dGhvcj5TYWt1cmFpLCBOLjwvYXV0aG9yPjxhdXRob3I+U3V6dWtpLCBILjwvYXV0
aG9yPjxhdXRob3I+U2hpYmF0YSwgRC48L2F1dGhvcj48YXV0aG9yPk5ldW1hbm4sIFMuPC9hdXRo
b3I+PGF1dGhvcj5JaWRhLCBULjwvYXV0aG9yPjxhdXRob3I+VGFuYWthLCBLLjwvYXV0aG9yPjxh
dXRob3I+RnVuYXRzdSwgSy48L2F1dGhvcj48YXV0aG9yPk1hdHN1dXJhLCBGLjwvYXV0aG9yPjxh
dXRob3I+U29nYSwgVC48L2F1dGhvcj48YXV0aG9yPlRhZ3VjaGksIFIuPC9hdXRob3I+PGF1dGhv
cj5TYWl0bywgSy48L2F1dGhvcj48YXV0aG9yPk5pc2hpb2thLCBULjwvYXV0aG9yPjwvYXV0aG9y
cz48L2NvbnRyaWJ1dG9ycz48YXV0aC1hZGRyZXNzPkluc3RpdHV0ZSBmb3IgQWR2YW5jZWQgQmlv
c2NpZW5jZXMsIEtlaW8gVW5pdmVyc2l0eSwgVHN1cnVva2EsIFlhbWFnYXRhIDk5Ny0wMDM1LCBK
YXBhbi48L2F1dGgtYWRkcmVzcz48dGl0bGVzPjx0aXRsZT5NYXNzQmFuazogYSBwdWJsaWMgcmVw
b3NpdG9yeSBmb3Igc2hhcmluZyBtYXNzIHNwZWN0cmFsIGRhdGEgZm9yIGxpZmUgc2NpZW5jZXM8
L3RpdGxlPjxzZWNvbmRhcnktdGl0bGU+SiBNYXNzIFNwZWN0cm9tPC9zZWNvbmRhcnktdGl0bGU+
PC90aXRsZXM+PHBlcmlvZGljYWw+PGZ1bGwtdGl0bGU+SiBNYXNzIFNwZWN0cm9tPC9mdWxsLXRp
dGxlPjwvcGVyaW9kaWNhbD48cGFnZXM+NzAzLTE0PC9wYWdlcz48dm9sdW1lPjQ1PC92b2x1bWU+
PG51bWJlcj43PC9udW1iZXI+PGVkaXRpb24+MjAxMC8wNy8xNDwvZWRpdGlvbj48a2V5d29yZHM+
PGtleXdvcmQ+KkRhdGFiYXNlcywgRmFjdHVhbDwva2V5d29yZD48a2V5d29yZD5JbmZvcm1hdGlv
biBEaXNzZW1pbmF0aW9uLyptZXRob2RzPC9rZXl3b3JkPjxrZXl3b3JkPipNYXNzIFNwZWN0cm9t
ZXRyeS9tZXRob2RzPC9rZXl3b3JkPjxrZXl3b3JkPlBoYXJtYWNldXRpY2FsIFByZXBhcmF0aW9u
cy9jaGVtaXN0cnk8L2tleXdvcmQ+PGtleXdvcmQ+U3BlY3Ryb21ldHJ5LCBNYXNzLCBFbGVjdHJv
c3ByYXkgSW9uaXphdGlvbi9tZXRob2RzPC9rZXl3b3JkPjwva2V5d29yZHM+PGRhdGVzPjx5ZWFy
PjIwMTA8L3llYXI+PHB1Yi1kYXRlcz48ZGF0ZT5KdWw8L2RhdGU+PC9wdWItZGF0ZXM+PC9kYXRl
cz48aXNibj4xMDk2LTk4ODggKEVsZWN0cm9uaWMpJiN4RDsxMDc2LTUxNzQgKExpbmtpbmcpPC9p
c2JuPjxhY2Nlc3Npb24tbnVtPjIwNjIzNjI3PC9hY2Nlc3Npb24tbnVtPjx1cmxzPjxyZWxhdGVk
LXVybHM+PHVybD5odHRwczovL3d3dy5uY2JpLm5sbS5uaWguZ292L3B1Ym1lZC8yMDYyMzYyNzwv
dXJsPjwvcmVsYXRlZC11cmxzPjwvdXJscz48ZWxlY3Ryb25pYy1yZXNvdXJjZS1udW0+MTAuMTAw
Mi9qbXMuMTc3NzwvZWxlY3Ryb25pYy1yZXNvdXJjZS1udW0+PC9yZWNvcmQ+PC9DaXRlPjwvRW5k
Tm90ZT4A
</w:fldData>
        </w:fldChar>
      </w:r>
      <w:r>
        <w:rPr>
          <w:rFonts w:eastAsia="Times New Roman" w:cs="Times New Roman"/>
          <w:sz w:val="21"/>
          <w:szCs w:val="21"/>
        </w:rPr>
        <w:instrText xml:space="preserve"> ADDIN EN.CITE </w:instrText>
      </w:r>
      <w:r>
        <w:rPr>
          <w:rFonts w:eastAsia="Times New Roman" w:cs="Times New Roman"/>
          <w:sz w:val="21"/>
          <w:szCs w:val="21"/>
        </w:rPr>
        <w:fldChar w:fldCharType="begin">
          <w:fldData xml:space="preserve">PEVuZE5vdGU+PENpdGU+PEF1dGhvcj5Ib3JhaTwvQXV0aG9yPjxZZWFyPjIwMTA8L1llYXI+PFJl
Y051bT4yNjwvUmVjTnVtPjxEaXNwbGF5VGV4dD5bOF08L0Rpc3BsYXlUZXh0PjxyZWNvcmQ+PHJl
Yy1udW1iZXI+MjY8L3JlYy1udW1iZXI+PGZvcmVpZ24ta2V5cz48a2V5IGFwcD0iRU4iIGRiLWlk
PSJzd2F2enNwZjllZXp2a2VheHdiNWE5cmdkdDl2enNzMHA5cnoiIHRpbWVzdGFtcD0iMTY0MTU0
ODUxMiI+MjY8L2tleT48a2V5IGFwcD0iRU5XZWIiIGRiLWlkPSIiPjA8L2tleT48L2ZvcmVpZ24t
a2V5cz48cmVmLXR5cGUgbmFtZT0iSm91cm5hbCBBcnRpY2xlIj4xNzwvcmVmLXR5cGU+PGNvbnRy
aWJ1dG9ycz48YXV0aG9ycz48YXV0aG9yPkhvcmFpLCBILjwvYXV0aG9yPjxhdXRob3I+QXJpdGEs
IE0uPC9hdXRob3I+PGF1dGhvcj5LYW5heWEsIFMuPC9hdXRob3I+PGF1dGhvcj5OaWhlaSwgWS48
L2F1dGhvcj48YXV0aG9yPklrZWRhLCBULjwvYXV0aG9yPjxhdXRob3I+U3V3YSwgSy48L2F1dGhv
cj48YXV0aG9yPk9qaW1hLCBZLjwvYXV0aG9yPjxhdXRob3I+VGFuYWthLCBLLjwvYXV0aG9yPjxh
dXRob3I+VGFuYWthLCBTLjwvYXV0aG9yPjxhdXRob3I+QW9zaGltYSwgSy48L2F1dGhvcj48YXV0
aG9yPk9kYSwgWS48L2F1dGhvcj48YXV0aG9yPktha2F6dSwgWS48L2F1dGhvcj48YXV0aG9yPkt1
c2FubywgTS48L2F1dGhvcj48YXV0aG9yPlRvaGdlLCBULjwvYXV0aG9yPjxhdXRob3I+TWF0c3Vk
YSwgRi48L2F1dGhvcj48YXV0aG9yPlNhd2FkYSwgWS48L2F1dGhvcj48YXV0aG9yPkhpcmFpLCBN
LiBZLjwvYXV0aG9yPjxhdXRob3I+TmFrYW5pc2hpLCBILjwvYXV0aG9yPjxhdXRob3I+SWtlZGEs
IEsuPC9hdXRob3I+PGF1dGhvcj5Ba2ltb3RvLCBOLjwvYXV0aG9yPjxhdXRob3I+TWFva2EsIFQu
PC9hdXRob3I+PGF1dGhvcj5UYWthaGFzaGksIEguPC9hdXRob3I+PGF1dGhvcj5BcmEsIFQuPC9h
dXRob3I+PGF1dGhvcj5TYWt1cmFpLCBOLjwvYXV0aG9yPjxhdXRob3I+U3V6dWtpLCBILjwvYXV0
aG9yPjxhdXRob3I+U2hpYmF0YSwgRC48L2F1dGhvcj48YXV0aG9yPk5ldW1hbm4sIFMuPC9hdXRo
b3I+PGF1dGhvcj5JaWRhLCBULjwvYXV0aG9yPjxhdXRob3I+VGFuYWthLCBLLjwvYXV0aG9yPjxh
dXRob3I+RnVuYXRzdSwgSy48L2F1dGhvcj48YXV0aG9yPk1hdHN1dXJhLCBGLjwvYXV0aG9yPjxh
dXRob3I+U29nYSwgVC48L2F1dGhvcj48YXV0aG9yPlRhZ3VjaGksIFIuPC9hdXRob3I+PGF1dGhv
cj5TYWl0bywgSy48L2F1dGhvcj48YXV0aG9yPk5pc2hpb2thLCBULjwvYXV0aG9yPjwvYXV0aG9y
cz48L2NvbnRyaWJ1dG9ycz48YXV0aC1hZGRyZXNzPkluc3RpdHV0ZSBmb3IgQWR2YW5jZWQgQmlv
c2NpZW5jZXMsIEtlaW8gVW5pdmVyc2l0eSwgVHN1cnVva2EsIFlhbWFnYXRhIDk5Ny0wMDM1LCBK
YXBhbi48L2F1dGgtYWRkcmVzcz48dGl0bGVzPjx0aXRsZT5NYXNzQmFuazogYSBwdWJsaWMgcmVw
b3NpdG9yeSBmb3Igc2hhcmluZyBtYXNzIHNwZWN0cmFsIGRhdGEgZm9yIGxpZmUgc2NpZW5jZXM8
L3RpdGxlPjxzZWNvbmRhcnktdGl0bGU+SiBNYXNzIFNwZWN0cm9tPC9zZWNvbmRhcnktdGl0bGU+
PC90aXRsZXM+PHBlcmlvZGljYWw+PGZ1bGwtdGl0bGU+SiBNYXNzIFNwZWN0cm9tPC9mdWxsLXRp
dGxlPjwvcGVyaW9kaWNhbD48cGFnZXM+NzAzLTE0PC9wYWdlcz48dm9sdW1lPjQ1PC92b2x1bWU+
PG51bWJlcj43PC9udW1iZXI+PGVkaXRpb24+MjAxMC8wNy8xNDwvZWRpdGlvbj48a2V5d29yZHM+
PGtleXdvcmQ+KkRhdGFiYXNlcywgRmFjdHVhbDwva2V5d29yZD48a2V5d29yZD5JbmZvcm1hdGlv
biBEaXNzZW1pbmF0aW9uLyptZXRob2RzPC9rZXl3b3JkPjxrZXl3b3JkPipNYXNzIFNwZWN0cm9t
ZXRyeS9tZXRob2RzPC9rZXl3b3JkPjxrZXl3b3JkPlBoYXJtYWNldXRpY2FsIFByZXBhcmF0aW9u
cy9jaGVtaXN0cnk8L2tleXdvcmQ+PGtleXdvcmQ+U3BlY3Ryb21ldHJ5LCBNYXNzLCBFbGVjdHJv
c3ByYXkgSW9uaXphdGlvbi9tZXRob2RzPC9rZXl3b3JkPjwva2V5d29yZHM+PGRhdGVzPjx5ZWFy
PjIwMTA8L3llYXI+PHB1Yi1kYXRlcz48ZGF0ZT5KdWw8L2RhdGU+PC9wdWItZGF0ZXM+PC9kYXRl
cz48aXNibj4xMDk2LTk4ODggKEVsZWN0cm9uaWMpJiN4RDsxMDc2LTUxNzQgKExpbmtpbmcpPC9p
c2JuPjxhY2Nlc3Npb24tbnVtPjIwNjIzNjI3PC9hY2Nlc3Npb24tbnVtPjx1cmxzPjxyZWxhdGVk
LXVybHM+PHVybD5odHRwczovL3d3dy5uY2JpLm5sbS5uaWguZ292L3B1Ym1lZC8yMDYyMzYyNzwv
dXJsPjwvcmVsYXRlZC11cmxzPjwvdXJscz48ZWxlY3Ryb25pYy1yZXNvdXJjZS1udW0+MTAuMTAw
Mi9qbXMuMTc3NzwvZWxlY3Ryb25pYy1yZXNvdXJjZS1udW0+PC9yZWNvcmQ+PC9DaXRlPjwvRW5k
Tm90ZT4A
</w:fldData>
        </w:fldChar>
      </w:r>
      <w:r>
        <w:rPr>
          <w:rFonts w:eastAsia="Times New Roman" w:cs="Times New Roman"/>
          <w:sz w:val="21"/>
          <w:szCs w:val="21"/>
        </w:rPr>
        <w:instrText xml:space="preserve"> ADDIN EN.CITE.DATA </w:instrText>
      </w:r>
      <w:r>
        <w:rPr>
          <w:rFonts w:eastAsia="Times New Roman" w:cs="Times New Roman"/>
          <w:sz w:val="21"/>
          <w:szCs w:val="21"/>
        </w:rPr>
      </w:r>
      <w:r>
        <w:rPr>
          <w:rFonts w:eastAsia="Times New Roman" w:cs="Times New Roman"/>
          <w:sz w:val="21"/>
          <w:szCs w:val="21"/>
        </w:rPr>
        <w:fldChar w:fldCharType="end"/>
      </w:r>
      <w:r>
        <w:rPr>
          <w:rFonts w:eastAsia="Times New Roman" w:cs="Times New Roman"/>
          <w:sz w:val="21"/>
          <w:szCs w:val="21"/>
        </w:rPr>
      </w:r>
      <w:r>
        <w:rPr>
          <w:rFonts w:eastAsia="Times New Roman" w:cs="Times New Roman"/>
          <w:sz w:val="21"/>
          <w:szCs w:val="21"/>
        </w:rPr>
        <w:fldChar w:fldCharType="separate"/>
      </w:r>
      <w:r>
        <w:rPr>
          <w:rFonts w:eastAsia="Times New Roman" w:cs="Times New Roman"/>
          <w:noProof/>
          <w:sz w:val="21"/>
          <w:szCs w:val="21"/>
        </w:rPr>
        <w:t>[8]</w:t>
      </w:r>
      <w:r>
        <w:rPr>
          <w:rFonts w:eastAsia="Times New Roman" w:cs="Times New Roman"/>
          <w:sz w:val="21"/>
          <w:szCs w:val="21"/>
        </w:rPr>
        <w:fldChar w:fldCharType="end"/>
      </w:r>
      <w:r>
        <w:rPr>
          <w:rFonts w:cs="Times New Roman"/>
          <w:sz w:val="21"/>
          <w:szCs w:val="21"/>
        </w:rPr>
        <w:t xml:space="preserve"> and MONA</w:t>
      </w:r>
      <w:r>
        <w:rPr>
          <w:rFonts w:cs="Times New Roman" w:hint="eastAsia"/>
          <w:sz w:val="21"/>
          <w:szCs w:val="21"/>
        </w:rPr>
        <w:t xml:space="preserve"> </w:t>
      </w:r>
      <w:r>
        <w:rPr>
          <w:rFonts w:cs="Times New Roman"/>
          <w:sz w:val="21"/>
          <w:szCs w:val="21"/>
        </w:rPr>
        <w:fldChar w:fldCharType="begin"/>
      </w:r>
      <w:r>
        <w:rPr>
          <w:rFonts w:cs="Times New Roman"/>
          <w:sz w:val="21"/>
          <w:szCs w:val="21"/>
        </w:rPr>
        <w:instrText xml:space="preserve"> ADDIN EN.CITE &lt;EndNote&gt;&lt;Cite&gt;&lt;Author&gt;Hilbig&lt;/Author&gt;&lt;Year&gt;2015&lt;/Year&gt;&lt;RecNum&gt;28&lt;/RecNum&gt;&lt;DisplayText&gt;[9]&lt;/DisplayText&gt;&lt;record&gt;&lt;rec-number&gt;28&lt;/rec-number&gt;&lt;foreign-keys&gt;&lt;key app="EN" db-id="swavzspf9eezvkeaxwb5a9rgdt9vzss0p9rz" timestamp="1641548541"&gt;28&lt;/key&gt;&lt;key app="ENWeb" db-id=""&gt;0&lt;/key&gt;&lt;/foreign-keys&gt;&lt;ref-type name="Journal Article"&gt;17&lt;/ref-type&gt;&lt;contributors&gt;&lt;authors&gt;&lt;author&gt;Hilbig, M.&lt;/author&gt;&lt;author&gt;Rarey, M.&lt;/author&gt;&lt;/authors&gt;&lt;/contributors&gt;&lt;auth-address&gt;University of Hamburg, Center for Bioinformatics , Research Group for Computational Molecular Design, Bundesstrasse 43, 20146 Hamburg, Germany.&lt;/auth-address&gt;&lt;titles&gt;&lt;title&gt;MONA 2: A Light Cheminformatics Platform for Interactive Compound Library Processing&lt;/title&gt;&lt;secondary-title&gt;J Chem Inf Model&lt;/secondary-title&gt;&lt;/titles&gt;&lt;periodical&gt;&lt;full-title&gt;J Chem Inf Model&lt;/full-title&gt;&lt;/periodical&gt;&lt;pages&gt;2071-8&lt;/pages&gt;&lt;volume&gt;55&lt;/volume&gt;&lt;number&gt;10&lt;/number&gt;&lt;edition&gt;2015/09/22&lt;/edition&gt;&lt;keywords&gt;&lt;keyword&gt;Computational Biology/*methods&lt;/keyword&gt;&lt;keyword&gt;*Databases as Topic&lt;/keyword&gt;&lt;keyword&gt;Molecular Structure&lt;/keyword&gt;&lt;keyword&gt;*Small Molecule Libraries&lt;/keyword&gt;&lt;keyword&gt;*User-Computer Interface&lt;/keyword&gt;&lt;/keywords&gt;&lt;dates&gt;&lt;year&gt;2015&lt;/year&gt;&lt;pub-dates&gt;&lt;date&gt;Oct 26&lt;/date&gt;&lt;/pub-dates&gt;&lt;/dates&gt;&lt;isbn&gt;1549-960X (Electronic)&amp;#xD;1549-9596 (Linking)&lt;/isbn&gt;&lt;accession-num&gt;26389652&lt;/accession-num&gt;&lt;urls&gt;&lt;related-urls&gt;&lt;url&gt;https://www.ncbi.nlm.nih.gov/pubmed/26389652&lt;/url&gt;&lt;/related-urls&gt;&lt;/urls&gt;&lt;electronic-resource-num&gt;10.1021/acs.jcim.5b00292&lt;/electronic-resource-num&gt;&lt;/record&gt;&lt;/Cite&gt;&lt;/EndNote&gt;</w:instrText>
      </w:r>
      <w:r>
        <w:rPr>
          <w:rFonts w:cs="Times New Roman"/>
          <w:sz w:val="21"/>
          <w:szCs w:val="21"/>
        </w:rPr>
        <w:fldChar w:fldCharType="separate"/>
      </w:r>
      <w:r>
        <w:rPr>
          <w:rFonts w:cs="Times New Roman"/>
          <w:noProof/>
          <w:sz w:val="21"/>
          <w:szCs w:val="21"/>
        </w:rPr>
        <w:t>[9]</w:t>
      </w:r>
      <w:r>
        <w:rPr>
          <w:rFonts w:cs="Times New Roman"/>
          <w:sz w:val="21"/>
          <w:szCs w:val="21"/>
        </w:rPr>
        <w:fldChar w:fldCharType="end"/>
      </w:r>
      <w:r>
        <w:rPr>
          <w:rFonts w:cs="Times New Roman"/>
          <w:sz w:val="21"/>
          <w:szCs w:val="21"/>
        </w:rPr>
        <w:t xml:space="preserve">. </w:t>
      </w:r>
      <w:r>
        <w:rPr>
          <w:rFonts w:eastAsiaTheme="minorEastAsia" w:cs="Times New Roman"/>
          <w:sz w:val="21"/>
          <w:szCs w:val="21"/>
        </w:rPr>
        <w:t xml:space="preserve">Single-factor variable analysis of material abundance data was analyzed by R-language T test, and PLS-DA was analyzed by R-language software package </w:t>
      </w:r>
      <w:proofErr w:type="spellStart"/>
      <w:r>
        <w:rPr>
          <w:rFonts w:eastAsiaTheme="minorEastAsia" w:cs="Times New Roman"/>
          <w:sz w:val="21"/>
          <w:szCs w:val="21"/>
        </w:rPr>
        <w:t>MetaboAnalystR</w:t>
      </w:r>
      <w:proofErr w:type="spellEnd"/>
      <w:r>
        <w:rPr>
          <w:rFonts w:eastAsiaTheme="minorEastAsia" w:cs="Times New Roman"/>
          <w:sz w:val="21"/>
          <w:szCs w:val="21"/>
        </w:rPr>
        <w:t>. Hypergeometric distribution test was used for KEGG enrichment analysis, and "BH" method was used for false positive correction. P &lt; 0.05 after correction was used as the screening threshold of significant enrichment pathway.</w:t>
      </w:r>
    </w:p>
    <w:p w14:paraId="6470463E" w14:textId="77777777" w:rsidR="00D60BB9" w:rsidRDefault="00537E35">
      <w:pPr>
        <w:spacing w:line="360" w:lineRule="auto"/>
        <w:jc w:val="both"/>
        <w:rPr>
          <w:rFonts w:ascii="Times New Roman" w:hAnsi="Times New Roman" w:cs="Times New Roman"/>
          <w:sz w:val="21"/>
          <w:szCs w:val="21"/>
        </w:rPr>
      </w:pPr>
      <w:r>
        <w:rPr>
          <w:rFonts w:ascii="Times New Roman" w:hAnsi="Times New Roman" w:cs="Times New Roman"/>
          <w:b/>
          <w:sz w:val="21"/>
          <w:szCs w:val="21"/>
        </w:rPr>
        <w:t xml:space="preserve">Supplementary Table S1. </w:t>
      </w:r>
      <w:bookmarkStart w:id="10" w:name="OLE_LINK32"/>
      <w:r>
        <w:rPr>
          <w:rFonts w:ascii="Times New Roman" w:hAnsi="Times New Roman" w:cs="Times New Roman"/>
          <w:b/>
          <w:sz w:val="21"/>
          <w:szCs w:val="21"/>
        </w:rPr>
        <w:t>Characteristics of the participants enrolled for metabolome analysis in this study</w:t>
      </w:r>
      <w:bookmarkEnd w:id="10"/>
      <w:r>
        <w:rPr>
          <w:rFonts w:ascii="Times New Roman" w:hAnsi="Times New Roman" w:cs="Times New Roman"/>
          <w:b/>
          <w:sz w:val="21"/>
          <w:szCs w:val="21"/>
        </w:rPr>
        <w:t>.</w:t>
      </w:r>
      <w:r>
        <w:rPr>
          <w:rFonts w:ascii="Times New Roman" w:hAnsi="Times New Roman" w:cs="Times New Roman"/>
          <w:sz w:val="21"/>
          <w:szCs w:val="21"/>
        </w:rPr>
        <w:t xml:space="preserve"> </w:t>
      </w:r>
    </w:p>
    <w:p w14:paraId="42439968" w14:textId="77777777" w:rsidR="00D60BB9" w:rsidRDefault="00537E35">
      <w:pPr>
        <w:spacing w:line="360" w:lineRule="auto"/>
        <w:jc w:val="both"/>
        <w:rPr>
          <w:rFonts w:ascii="Times New Roman" w:hAnsi="Times New Roman" w:cs="Times New Roman"/>
          <w:sz w:val="21"/>
          <w:szCs w:val="21"/>
        </w:rPr>
      </w:pPr>
      <w:r>
        <w:rPr>
          <w:rFonts w:ascii="Times New Roman" w:hAnsi="Times New Roman" w:cs="Times New Roman"/>
          <w:sz w:val="21"/>
          <w:szCs w:val="21"/>
        </w:rPr>
        <w:t xml:space="preserve">Data are divided into the study groups described in the text. The number of subjects, average age, gender distribution and time on HRZE treatment are shown. Healthy volunteers are IGRA−. Active tuberculosis </w:t>
      </w:r>
      <w:bookmarkStart w:id="11" w:name="OLE_LINK4"/>
      <w:r>
        <w:rPr>
          <w:rFonts w:ascii="Times New Roman" w:hAnsi="Times New Roman" w:cs="Times New Roman"/>
          <w:sz w:val="21"/>
          <w:szCs w:val="21"/>
        </w:rPr>
        <w:t>patients were</w:t>
      </w:r>
      <w:bookmarkEnd w:id="11"/>
      <w:r>
        <w:rPr>
          <w:rFonts w:ascii="Times New Roman" w:hAnsi="Times New Roman" w:cs="Times New Roman"/>
          <w:sz w:val="21"/>
          <w:szCs w:val="21"/>
        </w:rPr>
        <w:t xml:space="preserve"> finally diagnosed by positive test of </w:t>
      </w:r>
      <w:proofErr w:type="spellStart"/>
      <w:r>
        <w:rPr>
          <w:rFonts w:ascii="Times New Roman" w:hAnsi="Times New Roman" w:cs="Times New Roman" w:hint="eastAsia"/>
          <w:sz w:val="21"/>
          <w:szCs w:val="21"/>
        </w:rPr>
        <w:t>Mtb</w:t>
      </w:r>
      <w:proofErr w:type="spellEnd"/>
      <w:r>
        <w:rPr>
          <w:rFonts w:ascii="Times New Roman" w:hAnsi="Times New Roman" w:cs="Times New Roman"/>
          <w:sz w:val="21"/>
          <w:szCs w:val="21"/>
        </w:rPr>
        <w:t xml:space="preserve"> in sputum specimens.</w:t>
      </w:r>
    </w:p>
    <w:tbl>
      <w:tblPr>
        <w:tblStyle w:val="ad"/>
        <w:tblW w:w="908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
        <w:gridCol w:w="894"/>
        <w:gridCol w:w="1407"/>
        <w:gridCol w:w="1107"/>
        <w:gridCol w:w="1035"/>
        <w:gridCol w:w="1518"/>
        <w:gridCol w:w="1126"/>
        <w:gridCol w:w="1146"/>
      </w:tblGrid>
      <w:tr w:rsidR="00D60BB9" w14:paraId="1AEA9113" w14:textId="77777777">
        <w:trPr>
          <w:trHeight w:val="735"/>
        </w:trPr>
        <w:tc>
          <w:tcPr>
            <w:tcW w:w="849" w:type="dxa"/>
            <w:tcBorders>
              <w:top w:val="single" w:sz="4" w:space="0" w:color="auto"/>
              <w:bottom w:val="single" w:sz="4" w:space="0" w:color="auto"/>
            </w:tcBorders>
          </w:tcPr>
          <w:p w14:paraId="3660FF4D" w14:textId="77777777" w:rsidR="00D60BB9" w:rsidRDefault="00537E35">
            <w:pPr>
              <w:spacing w:line="360" w:lineRule="auto"/>
              <w:rPr>
                <w:rFonts w:ascii="Times New Roman" w:hAnsi="Times New Roman" w:cs="Times New Roman"/>
                <w:sz w:val="21"/>
                <w:szCs w:val="21"/>
              </w:rPr>
            </w:pPr>
            <w:proofErr w:type="spellStart"/>
            <w:r>
              <w:rPr>
                <w:rFonts w:ascii="Times New Roman" w:hAnsi="Times New Roman" w:cs="Times New Roman"/>
                <w:sz w:val="21"/>
                <w:szCs w:val="21"/>
              </w:rPr>
              <w:t>Group</w:t>
            </w:r>
            <w:r>
              <w:rPr>
                <w:rFonts w:ascii="Times New Roman" w:hAnsi="Times New Roman" w:cs="Times New Roman"/>
                <w:sz w:val="21"/>
                <w:szCs w:val="21"/>
                <w:vertAlign w:val="superscript"/>
              </w:rPr>
              <w:t>a</w:t>
            </w:r>
            <w:proofErr w:type="spellEnd"/>
          </w:p>
        </w:tc>
        <w:tc>
          <w:tcPr>
            <w:tcW w:w="894" w:type="dxa"/>
            <w:tcBorders>
              <w:top w:val="single" w:sz="4" w:space="0" w:color="auto"/>
              <w:bottom w:val="single" w:sz="4" w:space="0" w:color="auto"/>
            </w:tcBorders>
          </w:tcPr>
          <w:p w14:paraId="422F029E" w14:textId="77777777" w:rsidR="00D60BB9" w:rsidRDefault="00537E35">
            <w:pPr>
              <w:spacing w:line="360" w:lineRule="auto"/>
              <w:rPr>
                <w:rFonts w:ascii="Times New Roman" w:hAnsi="Times New Roman" w:cs="Times New Roman"/>
                <w:sz w:val="21"/>
                <w:szCs w:val="21"/>
              </w:rPr>
            </w:pPr>
            <w:r>
              <w:rPr>
                <w:rFonts w:ascii="Times New Roman" w:hAnsi="Times New Roman" w:cs="Times New Roman"/>
                <w:sz w:val="21"/>
                <w:szCs w:val="21"/>
              </w:rPr>
              <w:t>No. of subjects</w:t>
            </w:r>
          </w:p>
        </w:tc>
        <w:tc>
          <w:tcPr>
            <w:tcW w:w="1407" w:type="dxa"/>
            <w:tcBorders>
              <w:top w:val="single" w:sz="4" w:space="0" w:color="auto"/>
              <w:bottom w:val="single" w:sz="4" w:space="0" w:color="auto"/>
            </w:tcBorders>
          </w:tcPr>
          <w:p w14:paraId="2084327B" w14:textId="77777777" w:rsidR="00D60BB9" w:rsidRDefault="00537E35">
            <w:pPr>
              <w:spacing w:line="360" w:lineRule="auto"/>
              <w:rPr>
                <w:rFonts w:ascii="Times New Roman" w:hAnsi="Times New Roman" w:cs="Times New Roman"/>
                <w:sz w:val="21"/>
                <w:szCs w:val="21"/>
              </w:rPr>
            </w:pPr>
            <w:r>
              <w:rPr>
                <w:rFonts w:ascii="Times New Roman" w:hAnsi="Times New Roman" w:cs="Times New Roman"/>
                <w:sz w:val="21"/>
                <w:szCs w:val="21"/>
              </w:rPr>
              <w:t>Age, mean ± SD, year</w:t>
            </w:r>
          </w:p>
        </w:tc>
        <w:tc>
          <w:tcPr>
            <w:tcW w:w="1107" w:type="dxa"/>
            <w:tcBorders>
              <w:top w:val="single" w:sz="4" w:space="0" w:color="auto"/>
              <w:bottom w:val="single" w:sz="4" w:space="0" w:color="auto"/>
            </w:tcBorders>
          </w:tcPr>
          <w:p w14:paraId="0A914C50" w14:textId="77777777" w:rsidR="00D60BB9" w:rsidRDefault="00537E35">
            <w:pPr>
              <w:spacing w:line="360" w:lineRule="auto"/>
              <w:rPr>
                <w:rFonts w:ascii="Times New Roman" w:hAnsi="Times New Roman" w:cs="Times New Roman"/>
                <w:sz w:val="21"/>
                <w:szCs w:val="21"/>
              </w:rPr>
            </w:pPr>
            <w:r>
              <w:rPr>
                <w:rFonts w:ascii="Times New Roman" w:hAnsi="Times New Roman" w:cs="Times New Roman"/>
                <w:sz w:val="21"/>
                <w:szCs w:val="21"/>
              </w:rPr>
              <w:t xml:space="preserve">Male, </w:t>
            </w:r>
            <w:proofErr w:type="gramStart"/>
            <w:r>
              <w:rPr>
                <w:rFonts w:ascii="Times New Roman" w:hAnsi="Times New Roman" w:cs="Times New Roman"/>
                <w:sz w:val="21"/>
                <w:szCs w:val="21"/>
              </w:rPr>
              <w:t>n(</w:t>
            </w:r>
            <w:proofErr w:type="gramEnd"/>
            <w:r>
              <w:rPr>
                <w:rFonts w:ascii="Times New Roman" w:hAnsi="Times New Roman" w:cs="Times New Roman"/>
                <w:sz w:val="21"/>
                <w:szCs w:val="21"/>
              </w:rPr>
              <w:t>%)</w:t>
            </w:r>
          </w:p>
        </w:tc>
        <w:tc>
          <w:tcPr>
            <w:tcW w:w="1035" w:type="dxa"/>
            <w:tcBorders>
              <w:top w:val="single" w:sz="4" w:space="0" w:color="auto"/>
              <w:bottom w:val="single" w:sz="4" w:space="0" w:color="auto"/>
            </w:tcBorders>
          </w:tcPr>
          <w:p w14:paraId="03295250" w14:textId="77777777" w:rsidR="00D60BB9" w:rsidRDefault="00537E35">
            <w:pPr>
              <w:spacing w:line="360" w:lineRule="auto"/>
              <w:rPr>
                <w:rFonts w:ascii="Times New Roman" w:hAnsi="Times New Roman" w:cs="Times New Roman"/>
                <w:sz w:val="21"/>
                <w:szCs w:val="21"/>
              </w:rPr>
            </w:pPr>
            <w:r>
              <w:rPr>
                <w:rFonts w:ascii="Times New Roman" w:hAnsi="Times New Roman" w:cs="Times New Roman"/>
                <w:sz w:val="21"/>
                <w:szCs w:val="21"/>
              </w:rPr>
              <w:t>Anti-TB duration</w:t>
            </w:r>
          </w:p>
        </w:tc>
        <w:tc>
          <w:tcPr>
            <w:tcW w:w="1518" w:type="dxa"/>
            <w:tcBorders>
              <w:top w:val="single" w:sz="4" w:space="0" w:color="auto"/>
              <w:bottom w:val="single" w:sz="4" w:space="0" w:color="auto"/>
            </w:tcBorders>
          </w:tcPr>
          <w:p w14:paraId="634771D8" w14:textId="77777777" w:rsidR="00D60BB9" w:rsidRDefault="00537E35">
            <w:pPr>
              <w:spacing w:line="360" w:lineRule="auto"/>
              <w:rPr>
                <w:rFonts w:ascii="Times New Roman" w:hAnsi="Times New Roman" w:cs="Times New Roman"/>
                <w:sz w:val="21"/>
                <w:szCs w:val="21"/>
              </w:rPr>
            </w:pPr>
            <w:r>
              <w:rPr>
                <w:rFonts w:ascii="Times New Roman" w:hAnsi="Times New Roman" w:cs="Times New Roman"/>
                <w:sz w:val="21"/>
                <w:szCs w:val="21"/>
              </w:rPr>
              <w:t>No. of reads</w:t>
            </w:r>
          </w:p>
        </w:tc>
        <w:tc>
          <w:tcPr>
            <w:tcW w:w="1126" w:type="dxa"/>
            <w:tcBorders>
              <w:top w:val="single" w:sz="4" w:space="0" w:color="auto"/>
              <w:bottom w:val="single" w:sz="4" w:space="0" w:color="auto"/>
            </w:tcBorders>
          </w:tcPr>
          <w:p w14:paraId="46E760CF" w14:textId="77777777" w:rsidR="00D60BB9" w:rsidRDefault="00537E35">
            <w:pPr>
              <w:spacing w:line="360" w:lineRule="auto"/>
              <w:rPr>
                <w:rFonts w:ascii="Times New Roman" w:hAnsi="Times New Roman" w:cs="Times New Roman"/>
                <w:sz w:val="21"/>
                <w:szCs w:val="21"/>
              </w:rPr>
            </w:pPr>
            <w:r>
              <w:rPr>
                <w:rFonts w:ascii="Times New Roman" w:hAnsi="Times New Roman" w:cs="Times New Roman"/>
                <w:sz w:val="21"/>
                <w:szCs w:val="21"/>
              </w:rPr>
              <w:t>No. of OTUs</w:t>
            </w:r>
          </w:p>
        </w:tc>
        <w:tc>
          <w:tcPr>
            <w:tcW w:w="1146" w:type="dxa"/>
            <w:tcBorders>
              <w:top w:val="single" w:sz="4" w:space="0" w:color="auto"/>
              <w:bottom w:val="single" w:sz="4" w:space="0" w:color="auto"/>
            </w:tcBorders>
          </w:tcPr>
          <w:p w14:paraId="3579C0EA" w14:textId="77777777" w:rsidR="00D60BB9" w:rsidRDefault="00537E35">
            <w:pPr>
              <w:spacing w:line="360" w:lineRule="auto"/>
              <w:rPr>
                <w:rFonts w:ascii="Times New Roman" w:hAnsi="Times New Roman" w:cs="Times New Roman"/>
                <w:sz w:val="21"/>
                <w:szCs w:val="21"/>
              </w:rPr>
            </w:pPr>
            <w:r>
              <w:rPr>
                <w:rFonts w:ascii="Times New Roman" w:hAnsi="Times New Roman" w:cs="Times New Roman"/>
                <w:sz w:val="21"/>
                <w:szCs w:val="21"/>
              </w:rPr>
              <w:t>Diagnosis</w:t>
            </w:r>
          </w:p>
        </w:tc>
      </w:tr>
      <w:tr w:rsidR="00D60BB9" w14:paraId="22F9FD07" w14:textId="77777777">
        <w:trPr>
          <w:trHeight w:val="758"/>
        </w:trPr>
        <w:tc>
          <w:tcPr>
            <w:tcW w:w="849" w:type="dxa"/>
            <w:tcBorders>
              <w:top w:val="single" w:sz="4" w:space="0" w:color="auto"/>
            </w:tcBorders>
          </w:tcPr>
          <w:p w14:paraId="33CC44FE" w14:textId="77777777" w:rsidR="00D60BB9" w:rsidRDefault="00537E35">
            <w:pPr>
              <w:spacing w:line="360" w:lineRule="auto"/>
              <w:rPr>
                <w:rFonts w:ascii="Times New Roman" w:hAnsi="Times New Roman" w:cs="Times New Roman"/>
                <w:sz w:val="21"/>
                <w:szCs w:val="21"/>
              </w:rPr>
            </w:pPr>
            <w:r>
              <w:rPr>
                <w:rFonts w:ascii="Times New Roman" w:hAnsi="Times New Roman" w:cs="Times New Roman"/>
                <w:sz w:val="21"/>
                <w:szCs w:val="21"/>
              </w:rPr>
              <w:t>HV</w:t>
            </w:r>
          </w:p>
        </w:tc>
        <w:tc>
          <w:tcPr>
            <w:tcW w:w="894" w:type="dxa"/>
            <w:tcBorders>
              <w:top w:val="single" w:sz="4" w:space="0" w:color="auto"/>
            </w:tcBorders>
          </w:tcPr>
          <w:p w14:paraId="3E7F9BDD" w14:textId="77777777" w:rsidR="00D60BB9" w:rsidRDefault="00537E35">
            <w:pPr>
              <w:spacing w:line="360" w:lineRule="auto"/>
              <w:rPr>
                <w:rFonts w:ascii="Times New Roman" w:hAnsi="Times New Roman" w:cs="Times New Roman"/>
                <w:sz w:val="21"/>
                <w:szCs w:val="21"/>
              </w:rPr>
            </w:pPr>
            <w:r>
              <w:rPr>
                <w:rFonts w:ascii="Times New Roman" w:hAnsi="Times New Roman" w:cs="Times New Roman"/>
                <w:sz w:val="21"/>
                <w:szCs w:val="21"/>
              </w:rPr>
              <w:t>28</w:t>
            </w:r>
          </w:p>
        </w:tc>
        <w:tc>
          <w:tcPr>
            <w:tcW w:w="1407" w:type="dxa"/>
            <w:tcBorders>
              <w:top w:val="single" w:sz="4" w:space="0" w:color="auto"/>
            </w:tcBorders>
          </w:tcPr>
          <w:p w14:paraId="408B5416" w14:textId="77777777" w:rsidR="00D60BB9" w:rsidRDefault="00537E35">
            <w:pP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38.5±11.8</w:t>
            </w:r>
          </w:p>
          <w:p w14:paraId="3C25B1ED" w14:textId="77777777" w:rsidR="00D60BB9" w:rsidRDefault="00D60BB9">
            <w:pPr>
              <w:spacing w:line="360" w:lineRule="auto"/>
              <w:rPr>
                <w:rFonts w:ascii="Times New Roman" w:eastAsia="Times New Roman" w:hAnsi="Times New Roman" w:cs="Times New Roman"/>
                <w:sz w:val="21"/>
                <w:szCs w:val="21"/>
              </w:rPr>
            </w:pPr>
          </w:p>
        </w:tc>
        <w:tc>
          <w:tcPr>
            <w:tcW w:w="1107" w:type="dxa"/>
            <w:tcBorders>
              <w:top w:val="single" w:sz="4" w:space="0" w:color="auto"/>
            </w:tcBorders>
          </w:tcPr>
          <w:p w14:paraId="0D279416" w14:textId="77777777" w:rsidR="00D60BB9" w:rsidRDefault="00537E35">
            <w:pPr>
              <w:spacing w:line="360" w:lineRule="auto"/>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8(29.6) </w:t>
            </w:r>
          </w:p>
        </w:tc>
        <w:tc>
          <w:tcPr>
            <w:tcW w:w="1035" w:type="dxa"/>
            <w:tcBorders>
              <w:top w:val="single" w:sz="4" w:space="0" w:color="auto"/>
            </w:tcBorders>
          </w:tcPr>
          <w:p w14:paraId="4268D24E" w14:textId="77777777" w:rsidR="00D60BB9" w:rsidRDefault="00537E35">
            <w:pPr>
              <w:spacing w:line="360" w:lineRule="auto"/>
              <w:rPr>
                <w:rFonts w:ascii="Times New Roman" w:hAnsi="Times New Roman" w:cs="Times New Roman"/>
                <w:sz w:val="21"/>
                <w:szCs w:val="21"/>
              </w:rPr>
            </w:pPr>
            <w:r>
              <w:rPr>
                <w:rFonts w:ascii="Times New Roman" w:hAnsi="Times New Roman" w:cs="Times New Roman"/>
                <w:sz w:val="21"/>
                <w:szCs w:val="21"/>
              </w:rPr>
              <w:t>N/A</w:t>
            </w:r>
          </w:p>
        </w:tc>
        <w:tc>
          <w:tcPr>
            <w:tcW w:w="1518" w:type="dxa"/>
            <w:tcBorders>
              <w:top w:val="single" w:sz="4" w:space="0" w:color="auto"/>
            </w:tcBorders>
          </w:tcPr>
          <w:p w14:paraId="4A58CAA9" w14:textId="77777777" w:rsidR="00D60BB9" w:rsidRDefault="00537E35">
            <w:pP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105839.9±</w:t>
            </w:r>
          </w:p>
          <w:p w14:paraId="4B638472" w14:textId="77777777" w:rsidR="00D60BB9" w:rsidRDefault="00537E35">
            <w:pP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13623.5</w:t>
            </w:r>
          </w:p>
        </w:tc>
        <w:tc>
          <w:tcPr>
            <w:tcW w:w="1126" w:type="dxa"/>
            <w:tcBorders>
              <w:top w:val="single" w:sz="4" w:space="0" w:color="auto"/>
            </w:tcBorders>
          </w:tcPr>
          <w:p w14:paraId="43DCD517" w14:textId="77777777" w:rsidR="00D60BB9" w:rsidRDefault="00537E35">
            <w:pP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93.0±21.5</w:t>
            </w:r>
          </w:p>
          <w:p w14:paraId="09E7BEBB" w14:textId="77777777" w:rsidR="00D60BB9" w:rsidRDefault="00D60BB9">
            <w:pPr>
              <w:rPr>
                <w:rFonts w:ascii="Times New Roman" w:eastAsia="Times New Roman" w:hAnsi="Times New Roman" w:cs="Times New Roman"/>
                <w:color w:val="000000"/>
                <w:sz w:val="21"/>
                <w:szCs w:val="21"/>
              </w:rPr>
            </w:pPr>
          </w:p>
          <w:p w14:paraId="1A8CCA94" w14:textId="77777777" w:rsidR="00D60BB9" w:rsidRDefault="00D60BB9">
            <w:pPr>
              <w:spacing w:line="360" w:lineRule="auto"/>
              <w:rPr>
                <w:rFonts w:ascii="Times New Roman" w:eastAsia="Times New Roman" w:hAnsi="Times New Roman" w:cs="Times New Roman"/>
                <w:color w:val="000000"/>
                <w:sz w:val="21"/>
                <w:szCs w:val="21"/>
              </w:rPr>
            </w:pPr>
          </w:p>
        </w:tc>
        <w:tc>
          <w:tcPr>
            <w:tcW w:w="1146" w:type="dxa"/>
            <w:tcBorders>
              <w:top w:val="single" w:sz="4" w:space="0" w:color="auto"/>
            </w:tcBorders>
          </w:tcPr>
          <w:p w14:paraId="26443D8C" w14:textId="77777777" w:rsidR="00D60BB9" w:rsidRDefault="00537E35">
            <w:pPr>
              <w:spacing w:line="360" w:lineRule="auto"/>
              <w:rPr>
                <w:rFonts w:ascii="Times New Roman" w:hAnsi="Times New Roman" w:cs="Times New Roman"/>
                <w:sz w:val="21"/>
                <w:szCs w:val="21"/>
              </w:rPr>
            </w:pPr>
            <w:proofErr w:type="spellStart"/>
            <w:r>
              <w:rPr>
                <w:rFonts w:ascii="Times New Roman" w:hAnsi="Times New Roman" w:cs="Times New Roman" w:hint="eastAsia"/>
                <w:sz w:val="21"/>
                <w:szCs w:val="21"/>
              </w:rPr>
              <w:t>Mtb</w:t>
            </w:r>
            <w:proofErr w:type="spellEnd"/>
            <w:r>
              <w:rPr>
                <w:rFonts w:ascii="Times New Roman" w:hAnsi="Times New Roman" w:cs="Times New Roman"/>
                <w:sz w:val="21"/>
                <w:szCs w:val="21"/>
              </w:rPr>
              <w:t>-/IGRA-</w:t>
            </w:r>
          </w:p>
        </w:tc>
      </w:tr>
      <w:tr w:rsidR="00D60BB9" w14:paraId="3274CFD4" w14:textId="77777777">
        <w:trPr>
          <w:trHeight w:val="691"/>
        </w:trPr>
        <w:tc>
          <w:tcPr>
            <w:tcW w:w="849" w:type="dxa"/>
          </w:tcPr>
          <w:p w14:paraId="6B6CAEDC" w14:textId="77777777" w:rsidR="00D60BB9" w:rsidRDefault="00537E35">
            <w:pPr>
              <w:spacing w:line="360" w:lineRule="auto"/>
              <w:rPr>
                <w:rFonts w:ascii="Times New Roman" w:hAnsi="Times New Roman" w:cs="Times New Roman"/>
                <w:sz w:val="21"/>
                <w:szCs w:val="21"/>
              </w:rPr>
            </w:pPr>
            <w:r>
              <w:rPr>
                <w:rFonts w:ascii="Times New Roman" w:hAnsi="Times New Roman" w:cs="Times New Roman"/>
                <w:sz w:val="21"/>
                <w:szCs w:val="21"/>
              </w:rPr>
              <w:t>ATB</w:t>
            </w:r>
          </w:p>
        </w:tc>
        <w:tc>
          <w:tcPr>
            <w:tcW w:w="894" w:type="dxa"/>
          </w:tcPr>
          <w:p w14:paraId="437D2C67" w14:textId="77777777" w:rsidR="00D60BB9" w:rsidRDefault="00537E35">
            <w:pPr>
              <w:spacing w:line="360" w:lineRule="auto"/>
              <w:rPr>
                <w:rFonts w:ascii="Times New Roman" w:hAnsi="Times New Roman" w:cs="Times New Roman"/>
                <w:sz w:val="21"/>
                <w:szCs w:val="21"/>
              </w:rPr>
            </w:pPr>
            <w:r>
              <w:rPr>
                <w:rFonts w:ascii="Times New Roman" w:hAnsi="Times New Roman" w:cs="Times New Roman"/>
                <w:sz w:val="21"/>
                <w:szCs w:val="21"/>
              </w:rPr>
              <w:t>33</w:t>
            </w:r>
          </w:p>
        </w:tc>
        <w:tc>
          <w:tcPr>
            <w:tcW w:w="1407" w:type="dxa"/>
          </w:tcPr>
          <w:p w14:paraId="341D3646" w14:textId="77777777" w:rsidR="00D60BB9" w:rsidRDefault="00537E35">
            <w:pP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35.6±12.0</w:t>
            </w:r>
          </w:p>
          <w:p w14:paraId="5FB7E083" w14:textId="77777777" w:rsidR="00D60BB9" w:rsidRDefault="00D60BB9">
            <w:pPr>
              <w:spacing w:line="360" w:lineRule="auto"/>
              <w:rPr>
                <w:rFonts w:ascii="Times New Roman" w:eastAsia="Times New Roman" w:hAnsi="Times New Roman" w:cs="Times New Roman"/>
                <w:sz w:val="21"/>
                <w:szCs w:val="21"/>
              </w:rPr>
            </w:pPr>
          </w:p>
        </w:tc>
        <w:tc>
          <w:tcPr>
            <w:tcW w:w="1107" w:type="dxa"/>
          </w:tcPr>
          <w:p w14:paraId="2C2CED90" w14:textId="77777777" w:rsidR="00D60BB9" w:rsidRDefault="00537E35">
            <w:pPr>
              <w:spacing w:line="360" w:lineRule="auto"/>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22(66.7) </w:t>
            </w:r>
          </w:p>
        </w:tc>
        <w:tc>
          <w:tcPr>
            <w:tcW w:w="1035" w:type="dxa"/>
          </w:tcPr>
          <w:p w14:paraId="52A27D56" w14:textId="77777777" w:rsidR="00D60BB9" w:rsidRDefault="00537E35">
            <w:pPr>
              <w:spacing w:line="360" w:lineRule="auto"/>
              <w:rPr>
                <w:rFonts w:ascii="Times New Roman" w:hAnsi="Times New Roman" w:cs="Times New Roman"/>
                <w:sz w:val="21"/>
                <w:szCs w:val="21"/>
              </w:rPr>
            </w:pPr>
            <w:r>
              <w:rPr>
                <w:rFonts w:ascii="Times New Roman" w:hAnsi="Times New Roman" w:cs="Times New Roman"/>
                <w:sz w:val="21"/>
                <w:szCs w:val="21"/>
              </w:rPr>
              <w:t>N/A</w:t>
            </w:r>
          </w:p>
        </w:tc>
        <w:tc>
          <w:tcPr>
            <w:tcW w:w="1518" w:type="dxa"/>
          </w:tcPr>
          <w:p w14:paraId="3EAF25C8" w14:textId="77777777" w:rsidR="00D60BB9" w:rsidRDefault="00537E35">
            <w:pP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119036.1±</w:t>
            </w:r>
          </w:p>
          <w:p w14:paraId="604945D1" w14:textId="77777777" w:rsidR="00D60BB9" w:rsidRDefault="00537E35">
            <w:pP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43303.5</w:t>
            </w:r>
          </w:p>
          <w:p w14:paraId="76084CCC" w14:textId="77777777" w:rsidR="00D60BB9" w:rsidRDefault="00537E35">
            <w:pPr>
              <w:spacing w:line="360" w:lineRule="auto"/>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1</w:t>
            </w:r>
          </w:p>
        </w:tc>
        <w:tc>
          <w:tcPr>
            <w:tcW w:w="1126" w:type="dxa"/>
          </w:tcPr>
          <w:p w14:paraId="37772133" w14:textId="77777777" w:rsidR="00D60BB9" w:rsidRDefault="00537E35">
            <w:pP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78.8±32.5</w:t>
            </w:r>
          </w:p>
          <w:p w14:paraId="70417B5D" w14:textId="77777777" w:rsidR="00D60BB9" w:rsidRDefault="00D60BB9">
            <w:pPr>
              <w:spacing w:line="360" w:lineRule="auto"/>
              <w:rPr>
                <w:rFonts w:ascii="Times New Roman" w:eastAsia="Times New Roman" w:hAnsi="Times New Roman" w:cs="Times New Roman"/>
                <w:color w:val="000000"/>
                <w:sz w:val="21"/>
                <w:szCs w:val="21"/>
              </w:rPr>
            </w:pPr>
          </w:p>
        </w:tc>
        <w:tc>
          <w:tcPr>
            <w:tcW w:w="1146" w:type="dxa"/>
          </w:tcPr>
          <w:p w14:paraId="1B2696D3" w14:textId="77777777" w:rsidR="00D60BB9" w:rsidRDefault="00537E35">
            <w:pPr>
              <w:spacing w:line="360" w:lineRule="auto"/>
              <w:rPr>
                <w:rFonts w:ascii="Times New Roman" w:hAnsi="Times New Roman" w:cs="Times New Roman"/>
                <w:sz w:val="21"/>
                <w:szCs w:val="21"/>
              </w:rPr>
            </w:pPr>
            <w:proofErr w:type="spellStart"/>
            <w:r>
              <w:rPr>
                <w:rFonts w:ascii="Times New Roman" w:hAnsi="Times New Roman" w:cs="Times New Roman" w:hint="eastAsia"/>
                <w:sz w:val="21"/>
                <w:szCs w:val="21"/>
              </w:rPr>
              <w:t>Mtb</w:t>
            </w:r>
            <w:proofErr w:type="spellEnd"/>
            <w:r>
              <w:rPr>
                <w:rFonts w:ascii="Times New Roman" w:hAnsi="Times New Roman" w:cs="Times New Roman"/>
                <w:sz w:val="21"/>
                <w:szCs w:val="21"/>
              </w:rPr>
              <w:t>+</w:t>
            </w:r>
          </w:p>
        </w:tc>
      </w:tr>
      <w:tr w:rsidR="00D60BB9" w14:paraId="2F55DBA6" w14:textId="77777777">
        <w:trPr>
          <w:trHeight w:val="706"/>
        </w:trPr>
        <w:tc>
          <w:tcPr>
            <w:tcW w:w="849" w:type="dxa"/>
          </w:tcPr>
          <w:p w14:paraId="4655D42D" w14:textId="77777777" w:rsidR="00D60BB9" w:rsidRDefault="00537E35">
            <w:pPr>
              <w:spacing w:line="360" w:lineRule="auto"/>
              <w:rPr>
                <w:rFonts w:ascii="Times New Roman" w:hAnsi="Times New Roman" w:cs="Times New Roman"/>
                <w:sz w:val="21"/>
                <w:szCs w:val="21"/>
              </w:rPr>
            </w:pPr>
            <w:r>
              <w:rPr>
                <w:rFonts w:ascii="Times New Roman" w:hAnsi="Times New Roman" w:cs="Times New Roman"/>
                <w:sz w:val="21"/>
                <w:szCs w:val="21"/>
              </w:rPr>
              <w:lastRenderedPageBreak/>
              <w:t>T2</w:t>
            </w:r>
          </w:p>
        </w:tc>
        <w:tc>
          <w:tcPr>
            <w:tcW w:w="894" w:type="dxa"/>
          </w:tcPr>
          <w:p w14:paraId="65B9AC38" w14:textId="77777777" w:rsidR="00D60BB9" w:rsidRDefault="00537E35">
            <w:pPr>
              <w:spacing w:line="360" w:lineRule="auto"/>
              <w:rPr>
                <w:rFonts w:ascii="Times New Roman" w:hAnsi="Times New Roman" w:cs="Times New Roman"/>
                <w:sz w:val="21"/>
                <w:szCs w:val="21"/>
              </w:rPr>
            </w:pPr>
            <w:r>
              <w:rPr>
                <w:rFonts w:ascii="Times New Roman" w:hAnsi="Times New Roman" w:cs="Times New Roman"/>
                <w:sz w:val="21"/>
                <w:szCs w:val="21"/>
              </w:rPr>
              <w:t>28</w:t>
            </w:r>
          </w:p>
        </w:tc>
        <w:tc>
          <w:tcPr>
            <w:tcW w:w="1407" w:type="dxa"/>
          </w:tcPr>
          <w:p w14:paraId="1F10D370" w14:textId="77777777" w:rsidR="00D60BB9" w:rsidRDefault="00537E35">
            <w:pP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34.2±10.7</w:t>
            </w:r>
          </w:p>
          <w:p w14:paraId="638C2329" w14:textId="77777777" w:rsidR="00D60BB9" w:rsidRDefault="00D60BB9">
            <w:pPr>
              <w:spacing w:line="360" w:lineRule="auto"/>
              <w:rPr>
                <w:rFonts w:ascii="Times New Roman" w:eastAsia="Times New Roman" w:hAnsi="Times New Roman" w:cs="Times New Roman"/>
                <w:sz w:val="21"/>
                <w:szCs w:val="21"/>
              </w:rPr>
            </w:pPr>
          </w:p>
        </w:tc>
        <w:tc>
          <w:tcPr>
            <w:tcW w:w="1107" w:type="dxa"/>
          </w:tcPr>
          <w:p w14:paraId="122DD3EF" w14:textId="77777777" w:rsidR="00D60BB9" w:rsidRDefault="00537E35">
            <w:pPr>
              <w:spacing w:line="360" w:lineRule="auto"/>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22(75) </w:t>
            </w:r>
          </w:p>
        </w:tc>
        <w:tc>
          <w:tcPr>
            <w:tcW w:w="1035" w:type="dxa"/>
          </w:tcPr>
          <w:p w14:paraId="03282ADB" w14:textId="77777777" w:rsidR="00D60BB9" w:rsidRDefault="00537E35">
            <w:pPr>
              <w:spacing w:line="360" w:lineRule="auto"/>
              <w:rPr>
                <w:rFonts w:ascii="Times New Roman" w:hAnsi="Times New Roman" w:cs="Times New Roman"/>
                <w:sz w:val="21"/>
                <w:szCs w:val="21"/>
              </w:rPr>
            </w:pPr>
            <w:r>
              <w:rPr>
                <w:rFonts w:ascii="Times New Roman" w:hAnsi="Times New Roman" w:cs="Times New Roman"/>
                <w:sz w:val="21"/>
                <w:szCs w:val="21"/>
              </w:rPr>
              <w:t>2 months</w:t>
            </w:r>
          </w:p>
        </w:tc>
        <w:tc>
          <w:tcPr>
            <w:tcW w:w="1518" w:type="dxa"/>
          </w:tcPr>
          <w:p w14:paraId="3700BB6C" w14:textId="77777777" w:rsidR="00D60BB9" w:rsidRDefault="00537E35">
            <w:pP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108212.1±</w:t>
            </w:r>
          </w:p>
          <w:p w14:paraId="3222E9FE" w14:textId="77777777" w:rsidR="00D60BB9" w:rsidRDefault="00537E35">
            <w:pP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14328.4</w:t>
            </w:r>
          </w:p>
        </w:tc>
        <w:tc>
          <w:tcPr>
            <w:tcW w:w="1126" w:type="dxa"/>
          </w:tcPr>
          <w:p w14:paraId="007771E5" w14:textId="77777777" w:rsidR="00D60BB9" w:rsidRDefault="00537E35">
            <w:pP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68.6±28.4</w:t>
            </w:r>
          </w:p>
          <w:p w14:paraId="01590FA6" w14:textId="77777777" w:rsidR="00D60BB9" w:rsidRDefault="00D60BB9">
            <w:pPr>
              <w:rPr>
                <w:rFonts w:ascii="Times New Roman" w:eastAsia="Times New Roman" w:hAnsi="Times New Roman" w:cs="Times New Roman"/>
                <w:color w:val="000000"/>
                <w:sz w:val="21"/>
                <w:szCs w:val="21"/>
              </w:rPr>
            </w:pPr>
          </w:p>
          <w:p w14:paraId="50BA0249" w14:textId="77777777" w:rsidR="00D60BB9" w:rsidRDefault="00D60BB9">
            <w:pPr>
              <w:spacing w:line="360" w:lineRule="auto"/>
              <w:rPr>
                <w:rFonts w:ascii="Times New Roman" w:eastAsia="Times New Roman" w:hAnsi="Times New Roman" w:cs="Times New Roman"/>
                <w:color w:val="000000"/>
                <w:sz w:val="21"/>
                <w:szCs w:val="21"/>
              </w:rPr>
            </w:pPr>
          </w:p>
        </w:tc>
        <w:tc>
          <w:tcPr>
            <w:tcW w:w="1146" w:type="dxa"/>
          </w:tcPr>
          <w:p w14:paraId="0AF68B97" w14:textId="77777777" w:rsidR="00D60BB9" w:rsidRDefault="00537E35">
            <w:pPr>
              <w:spacing w:line="360" w:lineRule="auto"/>
              <w:rPr>
                <w:rFonts w:ascii="Times New Roman" w:hAnsi="Times New Roman" w:cs="Times New Roman"/>
                <w:sz w:val="21"/>
                <w:szCs w:val="21"/>
              </w:rPr>
            </w:pPr>
            <w:r>
              <w:rPr>
                <w:rFonts w:ascii="Times New Roman" w:hAnsi="Times New Roman" w:cs="Times New Roman"/>
                <w:sz w:val="21"/>
                <w:szCs w:val="21"/>
              </w:rPr>
              <w:t>-</w:t>
            </w:r>
          </w:p>
        </w:tc>
      </w:tr>
      <w:tr w:rsidR="00D60BB9" w14:paraId="7AE02094" w14:textId="77777777">
        <w:trPr>
          <w:trHeight w:val="215"/>
        </w:trPr>
        <w:tc>
          <w:tcPr>
            <w:tcW w:w="849" w:type="dxa"/>
          </w:tcPr>
          <w:p w14:paraId="0BD84733" w14:textId="77777777" w:rsidR="00D60BB9" w:rsidRDefault="00537E35">
            <w:pPr>
              <w:spacing w:line="360" w:lineRule="auto"/>
              <w:rPr>
                <w:rFonts w:ascii="Times New Roman" w:hAnsi="Times New Roman" w:cs="Times New Roman"/>
                <w:sz w:val="21"/>
                <w:szCs w:val="21"/>
              </w:rPr>
            </w:pPr>
            <w:r>
              <w:rPr>
                <w:rFonts w:ascii="Times New Roman" w:hAnsi="Times New Roman" w:cs="Times New Roman"/>
                <w:sz w:val="21"/>
                <w:szCs w:val="21"/>
              </w:rPr>
              <w:t>T6</w:t>
            </w:r>
          </w:p>
        </w:tc>
        <w:tc>
          <w:tcPr>
            <w:tcW w:w="894" w:type="dxa"/>
          </w:tcPr>
          <w:p w14:paraId="0330257B" w14:textId="77777777" w:rsidR="00D60BB9" w:rsidRDefault="00537E35">
            <w:pPr>
              <w:spacing w:line="360" w:lineRule="auto"/>
              <w:rPr>
                <w:rFonts w:ascii="Times New Roman" w:hAnsi="Times New Roman" w:cs="Times New Roman"/>
                <w:sz w:val="21"/>
                <w:szCs w:val="21"/>
              </w:rPr>
            </w:pPr>
            <w:r>
              <w:rPr>
                <w:rFonts w:ascii="Times New Roman" w:hAnsi="Times New Roman" w:cs="Times New Roman"/>
                <w:sz w:val="21"/>
                <w:szCs w:val="21"/>
              </w:rPr>
              <w:t>18</w:t>
            </w:r>
          </w:p>
        </w:tc>
        <w:tc>
          <w:tcPr>
            <w:tcW w:w="1407" w:type="dxa"/>
          </w:tcPr>
          <w:p w14:paraId="691A8AC4" w14:textId="77777777" w:rsidR="00D60BB9" w:rsidRDefault="00537E35">
            <w:pP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39.4±13.3</w:t>
            </w:r>
          </w:p>
          <w:p w14:paraId="3A4A6C0E" w14:textId="77777777" w:rsidR="00D60BB9" w:rsidRDefault="00D60BB9">
            <w:pPr>
              <w:spacing w:line="360" w:lineRule="auto"/>
              <w:rPr>
                <w:rFonts w:ascii="Times New Roman" w:eastAsia="Times New Roman" w:hAnsi="Times New Roman" w:cs="Times New Roman"/>
                <w:sz w:val="21"/>
                <w:szCs w:val="21"/>
              </w:rPr>
            </w:pPr>
          </w:p>
        </w:tc>
        <w:tc>
          <w:tcPr>
            <w:tcW w:w="1107" w:type="dxa"/>
          </w:tcPr>
          <w:p w14:paraId="54202050" w14:textId="77777777" w:rsidR="00D60BB9" w:rsidRDefault="00537E35">
            <w:pPr>
              <w:spacing w:line="360" w:lineRule="auto"/>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11(61.1) </w:t>
            </w:r>
          </w:p>
        </w:tc>
        <w:tc>
          <w:tcPr>
            <w:tcW w:w="1035" w:type="dxa"/>
          </w:tcPr>
          <w:p w14:paraId="6F8484FC" w14:textId="77777777" w:rsidR="00D60BB9" w:rsidRDefault="00537E35">
            <w:pPr>
              <w:spacing w:line="360" w:lineRule="auto"/>
              <w:rPr>
                <w:rFonts w:ascii="Times New Roman" w:hAnsi="Times New Roman" w:cs="Times New Roman"/>
                <w:sz w:val="21"/>
                <w:szCs w:val="21"/>
              </w:rPr>
            </w:pPr>
            <w:r>
              <w:rPr>
                <w:rFonts w:ascii="Times New Roman" w:hAnsi="Times New Roman" w:cs="Times New Roman"/>
                <w:sz w:val="21"/>
                <w:szCs w:val="21"/>
              </w:rPr>
              <w:t>6 months</w:t>
            </w:r>
          </w:p>
        </w:tc>
        <w:tc>
          <w:tcPr>
            <w:tcW w:w="1518" w:type="dxa"/>
          </w:tcPr>
          <w:p w14:paraId="49EEB547" w14:textId="77777777" w:rsidR="00D60BB9" w:rsidRDefault="00537E35">
            <w:pP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94627.8±</w:t>
            </w:r>
          </w:p>
          <w:p w14:paraId="65AD36D6" w14:textId="77777777" w:rsidR="00D60BB9" w:rsidRDefault="00537E35">
            <w:pP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20775.0</w:t>
            </w:r>
          </w:p>
        </w:tc>
        <w:tc>
          <w:tcPr>
            <w:tcW w:w="1126" w:type="dxa"/>
          </w:tcPr>
          <w:p w14:paraId="411DABF9" w14:textId="77777777" w:rsidR="00D60BB9" w:rsidRDefault="00537E35">
            <w:pP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64.5±22.4</w:t>
            </w:r>
          </w:p>
          <w:p w14:paraId="2A5B4F71" w14:textId="77777777" w:rsidR="00D60BB9" w:rsidRDefault="00D60BB9">
            <w:pPr>
              <w:spacing w:line="360" w:lineRule="auto"/>
              <w:rPr>
                <w:rFonts w:ascii="Times New Roman" w:eastAsia="Times New Roman" w:hAnsi="Times New Roman" w:cs="Times New Roman"/>
                <w:color w:val="000000"/>
                <w:sz w:val="21"/>
                <w:szCs w:val="21"/>
              </w:rPr>
            </w:pPr>
          </w:p>
        </w:tc>
        <w:tc>
          <w:tcPr>
            <w:tcW w:w="1146" w:type="dxa"/>
          </w:tcPr>
          <w:p w14:paraId="0C036FAE" w14:textId="77777777" w:rsidR="00D60BB9" w:rsidRDefault="00537E35">
            <w:pPr>
              <w:spacing w:line="360" w:lineRule="auto"/>
              <w:rPr>
                <w:rFonts w:ascii="Times New Roman" w:hAnsi="Times New Roman" w:cs="Times New Roman"/>
                <w:sz w:val="21"/>
                <w:szCs w:val="21"/>
              </w:rPr>
            </w:pPr>
            <w:r>
              <w:rPr>
                <w:rFonts w:ascii="Times New Roman" w:hAnsi="Times New Roman" w:cs="Times New Roman"/>
                <w:sz w:val="21"/>
                <w:szCs w:val="21"/>
              </w:rPr>
              <w:t>-</w:t>
            </w:r>
          </w:p>
        </w:tc>
      </w:tr>
    </w:tbl>
    <w:p w14:paraId="034EBAB7" w14:textId="77777777" w:rsidR="00D60BB9" w:rsidRDefault="00537E35">
      <w:pPr>
        <w:spacing w:line="360" w:lineRule="auto"/>
        <w:jc w:val="both"/>
        <w:rPr>
          <w:rFonts w:ascii="Times New Roman" w:hAnsi="Times New Roman" w:cs="Times New Roman"/>
          <w:sz w:val="21"/>
          <w:szCs w:val="21"/>
        </w:rPr>
      </w:pPr>
      <w:proofErr w:type="spellStart"/>
      <w:r>
        <w:rPr>
          <w:rFonts w:ascii="Times New Roman" w:hAnsi="Times New Roman" w:cs="Times New Roman"/>
          <w:sz w:val="21"/>
          <w:szCs w:val="21"/>
          <w:vertAlign w:val="superscript"/>
        </w:rPr>
        <w:t>a</w:t>
      </w:r>
      <w:r>
        <w:rPr>
          <w:rFonts w:ascii="Times New Roman" w:hAnsi="Times New Roman" w:cs="Times New Roman"/>
          <w:sz w:val="21"/>
          <w:szCs w:val="21"/>
        </w:rPr>
        <w:t>HV</w:t>
      </w:r>
      <w:proofErr w:type="spellEnd"/>
      <w:r>
        <w:rPr>
          <w:rFonts w:ascii="Times New Roman" w:hAnsi="Times New Roman" w:cs="Times New Roman"/>
          <w:sz w:val="21"/>
          <w:szCs w:val="21"/>
        </w:rPr>
        <w:t xml:space="preserve">: </w:t>
      </w:r>
      <w:proofErr w:type="spellStart"/>
      <w:r>
        <w:rPr>
          <w:rFonts w:ascii="Times New Roman" w:hAnsi="Times New Roman" w:cs="Times New Roman" w:hint="eastAsia"/>
          <w:sz w:val="21"/>
          <w:szCs w:val="21"/>
        </w:rPr>
        <w:t>Mtb</w:t>
      </w:r>
      <w:proofErr w:type="spellEnd"/>
      <w:r>
        <w:rPr>
          <w:rFonts w:ascii="Times New Roman" w:hAnsi="Times New Roman" w:cs="Times New Roman"/>
          <w:sz w:val="21"/>
          <w:szCs w:val="21"/>
        </w:rPr>
        <w:t xml:space="preserve"> uninfected; LTBI: individuals with latent TB infection; ATB: Active TB; </w:t>
      </w:r>
      <w:r>
        <w:rPr>
          <w:rFonts w:ascii="Times New Roman" w:hAnsi="Times New Roman" w:cs="Times New Roman" w:hint="eastAsia"/>
          <w:sz w:val="21"/>
          <w:szCs w:val="21"/>
        </w:rPr>
        <w:t>T2</w:t>
      </w:r>
      <w:r>
        <w:rPr>
          <w:rFonts w:ascii="Times New Roman" w:hAnsi="Times New Roman" w:cs="Times New Roman"/>
          <w:sz w:val="21"/>
          <w:szCs w:val="21"/>
        </w:rPr>
        <w:t xml:space="preserve">: TB patients with anti-TB therapy (HRZE) for 2 months; </w:t>
      </w:r>
      <w:r>
        <w:rPr>
          <w:rFonts w:ascii="Times New Roman" w:hAnsi="Times New Roman" w:cs="Times New Roman" w:hint="eastAsia"/>
          <w:sz w:val="21"/>
          <w:szCs w:val="21"/>
        </w:rPr>
        <w:t>T6</w:t>
      </w:r>
      <w:r>
        <w:rPr>
          <w:rFonts w:ascii="Times New Roman" w:hAnsi="Times New Roman" w:cs="Times New Roman"/>
          <w:sz w:val="21"/>
          <w:szCs w:val="21"/>
        </w:rPr>
        <w:t>: TB patients with anti-TB therapy (HRZE) for 6 months.</w:t>
      </w:r>
    </w:p>
    <w:p w14:paraId="7E5DB626" w14:textId="77777777" w:rsidR="00D60BB9" w:rsidRDefault="00D60BB9">
      <w:pPr>
        <w:spacing w:line="360" w:lineRule="auto"/>
        <w:jc w:val="both"/>
        <w:rPr>
          <w:rFonts w:ascii="Times New Roman" w:hAnsi="Times New Roman" w:cs="Times New Roman"/>
          <w:sz w:val="21"/>
          <w:szCs w:val="21"/>
        </w:rPr>
      </w:pPr>
    </w:p>
    <w:p w14:paraId="6C21CE6F" w14:textId="77777777" w:rsidR="00D60BB9" w:rsidRDefault="00537E35">
      <w:pPr>
        <w:autoSpaceDE w:val="0"/>
        <w:autoSpaceDN w:val="0"/>
        <w:spacing w:line="360" w:lineRule="auto"/>
        <w:contextualSpacing/>
        <w:jc w:val="both"/>
        <w:rPr>
          <w:rFonts w:ascii="Times New Roman" w:hAnsi="Times New Roman" w:cs="Times New Roman"/>
          <w:b/>
          <w:sz w:val="21"/>
          <w:szCs w:val="21"/>
        </w:rPr>
      </w:pPr>
      <w:r>
        <w:rPr>
          <w:rFonts w:ascii="Times New Roman" w:hAnsi="Times New Roman" w:cs="Times New Roman"/>
          <w:b/>
          <w:sz w:val="21"/>
          <w:szCs w:val="21"/>
        </w:rPr>
        <w:t xml:space="preserve">Supplemental Table S2. </w:t>
      </w:r>
      <w:bookmarkStart w:id="12" w:name="OLE_LINK143"/>
      <w:bookmarkStart w:id="13" w:name="OLE_LINK142"/>
      <w:r>
        <w:rPr>
          <w:rFonts w:ascii="Times New Roman" w:hAnsi="Times New Roman" w:cs="Times New Roman"/>
          <w:b/>
          <w:sz w:val="21"/>
          <w:szCs w:val="21"/>
        </w:rPr>
        <w:t xml:space="preserve">Differential metabolites of stool samples in ATB subjects compared to those in HV subjects identified by LC-MS </w:t>
      </w:r>
      <w:proofErr w:type="spellStart"/>
      <w:r>
        <w:rPr>
          <w:rFonts w:ascii="Times New Roman" w:eastAsia="SIL-Hei-Med-Jian" w:hAnsi="Times New Roman" w:cs="Times New Roman"/>
          <w:b/>
          <w:sz w:val="21"/>
          <w:szCs w:val="21"/>
        </w:rPr>
        <w:t>metabonomics</w:t>
      </w:r>
      <w:proofErr w:type="spellEnd"/>
      <w:r>
        <w:rPr>
          <w:rFonts w:ascii="Times New Roman" w:hAnsi="Times New Roman" w:cs="Times New Roman"/>
          <w:b/>
          <w:sz w:val="21"/>
          <w:szCs w:val="21"/>
        </w:rPr>
        <w:t>.</w:t>
      </w:r>
      <w:bookmarkEnd w:id="12"/>
      <w:bookmarkEnd w:id="13"/>
    </w:p>
    <w:p w14:paraId="67F96831" w14:textId="77777777" w:rsidR="00D60BB9" w:rsidRDefault="00537E35">
      <w:pPr>
        <w:autoSpaceDE w:val="0"/>
        <w:autoSpaceDN w:val="0"/>
        <w:spacing w:line="360" w:lineRule="auto"/>
        <w:contextualSpacing/>
        <w:jc w:val="both"/>
        <w:rPr>
          <w:rFonts w:ascii="Times New Roman" w:hAnsi="Times New Roman" w:cs="Times New Roman"/>
          <w:b/>
          <w:sz w:val="21"/>
          <w:szCs w:val="21"/>
        </w:rPr>
      </w:pPr>
      <w:r>
        <w:rPr>
          <w:rFonts w:ascii="Times New Roman" w:hAnsi="Times New Roman" w:cs="Times New Roman"/>
          <w:b/>
          <w:sz w:val="21"/>
          <w:szCs w:val="21"/>
        </w:rPr>
        <w:t xml:space="preserve">Supplemental Table S3. Differential metabolites of stool samples in T2 and T6 subjects respectively compared to those in ATB subjects identified by LC-MS </w:t>
      </w:r>
      <w:proofErr w:type="spellStart"/>
      <w:r>
        <w:rPr>
          <w:rFonts w:ascii="Times New Roman" w:eastAsia="SIL-Hei-Med-Jian" w:hAnsi="Times New Roman" w:cs="Times New Roman"/>
          <w:b/>
          <w:sz w:val="21"/>
          <w:szCs w:val="21"/>
        </w:rPr>
        <w:t>metabonomics</w:t>
      </w:r>
      <w:proofErr w:type="spellEnd"/>
      <w:r>
        <w:rPr>
          <w:rFonts w:ascii="Times New Roman" w:hAnsi="Times New Roman" w:cs="Times New Roman"/>
          <w:b/>
          <w:sz w:val="21"/>
          <w:szCs w:val="21"/>
        </w:rPr>
        <w:t>.</w:t>
      </w:r>
    </w:p>
    <w:p w14:paraId="661F00FB" w14:textId="77777777" w:rsidR="00D60BB9" w:rsidRDefault="00D60BB9">
      <w:pPr>
        <w:autoSpaceDE w:val="0"/>
        <w:autoSpaceDN w:val="0"/>
        <w:spacing w:line="360" w:lineRule="auto"/>
        <w:contextualSpacing/>
        <w:jc w:val="both"/>
        <w:rPr>
          <w:rFonts w:ascii="Times New Roman" w:hAnsi="Times New Roman" w:cs="Times New Roman"/>
          <w:b/>
          <w:sz w:val="21"/>
          <w:szCs w:val="21"/>
        </w:rPr>
      </w:pPr>
    </w:p>
    <w:p w14:paraId="4E758D93" w14:textId="77777777" w:rsidR="00D60BB9" w:rsidRDefault="00537E35">
      <w:pPr>
        <w:autoSpaceDE w:val="0"/>
        <w:autoSpaceDN w:val="0"/>
        <w:spacing w:line="360" w:lineRule="auto"/>
        <w:contextualSpacing/>
        <w:jc w:val="both"/>
        <w:rPr>
          <w:rFonts w:ascii="Times New Roman" w:hAnsi="Times New Roman" w:cs="Times New Roman"/>
          <w:b/>
          <w:sz w:val="21"/>
          <w:szCs w:val="21"/>
        </w:rPr>
      </w:pPr>
      <w:r>
        <w:rPr>
          <w:rFonts w:ascii="Times New Roman" w:hAnsi="Times New Roman" w:cs="Times New Roman"/>
          <w:b/>
          <w:sz w:val="21"/>
          <w:szCs w:val="21"/>
        </w:rPr>
        <w:t>Supplementary Figures</w:t>
      </w:r>
    </w:p>
    <w:p w14:paraId="0EC52BEE" w14:textId="77777777" w:rsidR="00D60BB9" w:rsidRDefault="00537E35">
      <w:pPr>
        <w:autoSpaceDE w:val="0"/>
        <w:autoSpaceDN w:val="0"/>
        <w:adjustRightInd w:val="0"/>
        <w:snapToGrid w:val="0"/>
        <w:spacing w:line="360" w:lineRule="auto"/>
        <w:contextualSpacing/>
        <w:jc w:val="both"/>
        <w:rPr>
          <w:rFonts w:ascii="Times New Roman" w:hAnsi="Times New Roman" w:cs="Times New Roman"/>
          <w:sz w:val="21"/>
          <w:szCs w:val="21"/>
        </w:rPr>
      </w:pPr>
      <w:r>
        <w:rPr>
          <w:rFonts w:ascii="Times New Roman" w:hAnsi="Times New Roman" w:cs="Times New Roman"/>
          <w:b/>
          <w:sz w:val="21"/>
          <w:szCs w:val="21"/>
        </w:rPr>
        <w:t>Supplemental Figure S1.</w:t>
      </w:r>
      <w:r>
        <w:rPr>
          <w:rFonts w:ascii="Times New Roman" w:hAnsi="Times New Roman" w:cs="Times New Roman"/>
          <w:sz w:val="21"/>
          <w:szCs w:val="21"/>
        </w:rPr>
        <w:t xml:space="preserve"> </w:t>
      </w:r>
      <w:r>
        <w:rPr>
          <w:rFonts w:ascii="Times New Roman" w:hAnsi="Times New Roman" w:cs="Times New Roman"/>
          <w:b/>
          <w:sz w:val="21"/>
          <w:szCs w:val="21"/>
        </w:rPr>
        <w:t xml:space="preserve">Outline of experimental scheme for exploration of alterations in the gut microbiota and metabolites induced by </w:t>
      </w:r>
      <w:proofErr w:type="spellStart"/>
      <w:r>
        <w:rPr>
          <w:rFonts w:ascii="Times New Roman" w:hAnsi="Times New Roman" w:cs="Times New Roman" w:hint="eastAsia"/>
          <w:b/>
          <w:bCs/>
          <w:sz w:val="21"/>
          <w:szCs w:val="21"/>
        </w:rPr>
        <w:t>Mtb</w:t>
      </w:r>
      <w:proofErr w:type="spellEnd"/>
      <w:r>
        <w:rPr>
          <w:rFonts w:ascii="Times New Roman" w:hAnsi="Times New Roman" w:cs="Times New Roman"/>
          <w:b/>
          <w:sz w:val="21"/>
          <w:szCs w:val="21"/>
        </w:rPr>
        <w:t xml:space="preserve"> infection and/or anti-TB therapy.</w:t>
      </w:r>
      <w:r>
        <w:rPr>
          <w:rFonts w:ascii="Times New Roman" w:hAnsi="Times New Roman" w:cs="Times New Roman"/>
          <w:sz w:val="21"/>
          <w:szCs w:val="21"/>
        </w:rPr>
        <w:t xml:space="preserve"> </w:t>
      </w:r>
    </w:p>
    <w:p w14:paraId="3D32EFAD" w14:textId="77777777" w:rsidR="00D60BB9" w:rsidRDefault="00537E35">
      <w:pPr>
        <w:autoSpaceDE w:val="0"/>
        <w:autoSpaceDN w:val="0"/>
        <w:adjustRightInd w:val="0"/>
        <w:snapToGrid w:val="0"/>
        <w:spacing w:line="360" w:lineRule="auto"/>
        <w:contextualSpacing/>
        <w:jc w:val="both"/>
        <w:rPr>
          <w:rFonts w:ascii="Times New Roman" w:hAnsi="Times New Roman" w:cs="Times New Roman"/>
          <w:b/>
          <w:sz w:val="21"/>
          <w:szCs w:val="21"/>
        </w:rPr>
      </w:pPr>
      <w:r>
        <w:rPr>
          <w:rFonts w:ascii="Times New Roman" w:hAnsi="Times New Roman" w:cs="Times New Roman"/>
          <w:sz w:val="21"/>
          <w:szCs w:val="21"/>
        </w:rPr>
        <w:t xml:space="preserve">The healthy controls contain two groups, viz. </w:t>
      </w:r>
      <w:r>
        <w:rPr>
          <w:rFonts w:ascii="Times New Roman" w:hAnsi="Times New Roman" w:cs="Times New Roman"/>
          <w:bCs/>
          <w:sz w:val="21"/>
          <w:szCs w:val="21"/>
        </w:rPr>
        <w:t>healthy volunteers (</w:t>
      </w:r>
      <w:r>
        <w:rPr>
          <w:rFonts w:ascii="Times New Roman" w:hAnsi="Times New Roman" w:cs="Times New Roman"/>
          <w:sz w:val="21"/>
          <w:szCs w:val="21"/>
        </w:rPr>
        <w:t xml:space="preserve">HV) and </w:t>
      </w:r>
      <w:r>
        <w:rPr>
          <w:rFonts w:ascii="Times New Roman" w:hAnsi="Times New Roman" w:cs="Times New Roman"/>
          <w:bCs/>
          <w:sz w:val="21"/>
          <w:szCs w:val="21"/>
        </w:rPr>
        <w:t xml:space="preserve">volunteers with latent </w:t>
      </w:r>
      <w:proofErr w:type="spellStart"/>
      <w:r>
        <w:rPr>
          <w:rFonts w:ascii="Times New Roman" w:hAnsi="Times New Roman" w:cs="Times New Roman" w:hint="eastAsia"/>
          <w:bCs/>
          <w:sz w:val="21"/>
          <w:szCs w:val="21"/>
        </w:rPr>
        <w:t>Mtb</w:t>
      </w:r>
      <w:proofErr w:type="spellEnd"/>
      <w:r>
        <w:rPr>
          <w:rFonts w:ascii="Times New Roman" w:hAnsi="Times New Roman" w:cs="Times New Roman"/>
          <w:bCs/>
          <w:sz w:val="21"/>
          <w:szCs w:val="21"/>
        </w:rPr>
        <w:t xml:space="preserve"> infection (</w:t>
      </w:r>
      <w:r>
        <w:rPr>
          <w:rFonts w:ascii="Times New Roman" w:hAnsi="Times New Roman" w:cs="Times New Roman"/>
          <w:sz w:val="21"/>
          <w:szCs w:val="21"/>
        </w:rPr>
        <w:t xml:space="preserve">LTBI). TB patients consisted of three groups. ATB, active TB patients without HRZE treatment; T2, patients treated by HRZE for 2 months; T6, patients with anti-TB therapy for 6 months. For the purpose of further detecting the effect caused by HRZE drugs, TB patients were employed to track the change of their intestinal microbiota with standard anti-TB treatment for two months and six months, respectively. </w:t>
      </w:r>
    </w:p>
    <w:p w14:paraId="66218BBF" w14:textId="77777777" w:rsidR="00D60BB9" w:rsidRDefault="00537E35">
      <w:pPr>
        <w:autoSpaceDE w:val="0"/>
        <w:autoSpaceDN w:val="0"/>
        <w:spacing w:line="360" w:lineRule="auto"/>
        <w:contextualSpacing/>
        <w:jc w:val="both"/>
        <w:rPr>
          <w:rFonts w:ascii="Times New Roman" w:hAnsi="Times New Roman" w:cs="Times New Roman"/>
          <w:b/>
          <w:sz w:val="21"/>
          <w:szCs w:val="21"/>
        </w:rPr>
      </w:pPr>
      <w:r>
        <w:rPr>
          <w:rFonts w:ascii="Times New Roman" w:hAnsi="Times New Roman" w:cs="Times New Roman"/>
          <w:b/>
          <w:sz w:val="21"/>
          <w:szCs w:val="21"/>
        </w:rPr>
        <w:t xml:space="preserve">Supplemental Figure S2. </w:t>
      </w:r>
      <w:bookmarkStart w:id="14" w:name="OLE_LINK403"/>
      <w:bookmarkStart w:id="15" w:name="OLE_LINK402"/>
      <w:r>
        <w:rPr>
          <w:rFonts w:ascii="Times New Roman" w:hAnsi="Times New Roman" w:cs="Times New Roman"/>
          <w:b/>
          <w:sz w:val="21"/>
          <w:szCs w:val="21"/>
        </w:rPr>
        <w:t xml:space="preserve">The five taxonomic </w:t>
      </w:r>
      <w:proofErr w:type="gramStart"/>
      <w:r>
        <w:rPr>
          <w:rFonts w:ascii="Times New Roman" w:hAnsi="Times New Roman" w:cs="Times New Roman"/>
          <w:b/>
          <w:sz w:val="21"/>
          <w:szCs w:val="21"/>
        </w:rPr>
        <w:t>distribution</w:t>
      </w:r>
      <w:proofErr w:type="gramEnd"/>
      <w:r>
        <w:rPr>
          <w:rFonts w:ascii="Times New Roman" w:hAnsi="Times New Roman" w:cs="Times New Roman"/>
          <w:b/>
          <w:sz w:val="21"/>
          <w:szCs w:val="21"/>
        </w:rPr>
        <w:t xml:space="preserve"> of the intestinal microbiota from subjects in HV, LTBI, ATB, T2 and T6 groups. </w:t>
      </w:r>
    </w:p>
    <w:p w14:paraId="2FFB1EAA" w14:textId="77777777" w:rsidR="00D60BB9" w:rsidRDefault="00537E35">
      <w:pPr>
        <w:autoSpaceDE w:val="0"/>
        <w:autoSpaceDN w:val="0"/>
        <w:adjustRightInd w:val="0"/>
        <w:snapToGrid w:val="0"/>
        <w:spacing w:line="360" w:lineRule="auto"/>
        <w:contextualSpacing/>
        <w:jc w:val="both"/>
        <w:rPr>
          <w:rFonts w:ascii="Times New Roman" w:hAnsi="Times New Roman" w:cs="Times New Roman"/>
          <w:b/>
          <w:sz w:val="21"/>
          <w:szCs w:val="21"/>
        </w:rPr>
      </w:pPr>
      <w:r>
        <w:rPr>
          <w:rFonts w:ascii="Times New Roman" w:hAnsi="Times New Roman" w:cs="Times New Roman"/>
          <w:b/>
          <w:sz w:val="21"/>
          <w:szCs w:val="21"/>
        </w:rPr>
        <w:t xml:space="preserve">Supplemental Figure S3. HRZE treatment changes the overall community structure and composition of the gut microbiota. </w:t>
      </w:r>
    </w:p>
    <w:p w14:paraId="4FD43866" w14:textId="77777777" w:rsidR="00D60BB9" w:rsidRDefault="00537E35">
      <w:pPr>
        <w:autoSpaceDE w:val="0"/>
        <w:autoSpaceDN w:val="0"/>
        <w:adjustRightInd w:val="0"/>
        <w:snapToGrid w:val="0"/>
        <w:spacing w:line="360" w:lineRule="auto"/>
        <w:contextualSpacing/>
        <w:jc w:val="both"/>
        <w:rPr>
          <w:rFonts w:ascii="Times New Roman" w:hAnsi="Times New Roman" w:cs="Times New Roman"/>
          <w:sz w:val="21"/>
          <w:szCs w:val="21"/>
        </w:rPr>
      </w:pPr>
      <w:r>
        <w:rPr>
          <w:rFonts w:ascii="Times New Roman" w:hAnsi="Times New Roman" w:cs="Times New Roman"/>
          <w:b/>
          <w:sz w:val="21"/>
          <w:szCs w:val="21"/>
        </w:rPr>
        <w:t>(A)</w:t>
      </w:r>
      <w:r>
        <w:rPr>
          <w:rFonts w:ascii="Times New Roman" w:hAnsi="Times New Roman" w:cs="Times New Roman"/>
          <w:sz w:val="21"/>
          <w:szCs w:val="21"/>
        </w:rPr>
        <w:t xml:space="preserve"> α diversity was calculated by the Simpson index and </w:t>
      </w:r>
      <w:proofErr w:type="spellStart"/>
      <w:r>
        <w:rPr>
          <w:rFonts w:ascii="Times New Roman" w:hAnsi="Times New Roman" w:cs="Times New Roman"/>
          <w:sz w:val="21"/>
          <w:szCs w:val="21"/>
        </w:rPr>
        <w:t>Pielou's</w:t>
      </w:r>
      <w:proofErr w:type="spellEnd"/>
      <w:r>
        <w:rPr>
          <w:rFonts w:ascii="Times New Roman" w:hAnsi="Times New Roman" w:cs="Times New Roman"/>
          <w:sz w:val="21"/>
          <w:szCs w:val="21"/>
        </w:rPr>
        <w:t xml:space="preserve"> evenness index, which all revealed significant differences among active TB without HRZE treatment (ATB), TB treated for 2 months (T2) and TB treated for 6 months (T6) groups. *P&lt;0.05, **P&lt;0.01, ***P&lt;0.001. </w:t>
      </w:r>
      <w:r>
        <w:rPr>
          <w:rFonts w:ascii="Times New Roman" w:hAnsi="Times New Roman" w:cs="Times New Roman"/>
          <w:b/>
          <w:sz w:val="21"/>
          <w:szCs w:val="21"/>
        </w:rPr>
        <w:t>(B)</w:t>
      </w:r>
      <w:r>
        <w:rPr>
          <w:rFonts w:ascii="Times New Roman" w:hAnsi="Times New Roman" w:cs="Times New Roman"/>
          <w:sz w:val="21"/>
          <w:szCs w:val="21"/>
        </w:rPr>
        <w:t xml:space="preserve"> PCA analysis is based on OTUs from the sequences of the V3-V4 regions of the 16S rRNA in 89 stool samples. Significant differences across groups are established at the first principal component (PC1) values, and shown in the box plots above. *P value &lt;0.05, Wilcoxon rank sum test.</w:t>
      </w:r>
      <w:r>
        <w:rPr>
          <w:rFonts w:ascii="Times New Roman" w:hAnsi="Times New Roman" w:cs="Times New Roman"/>
          <w:b/>
          <w:sz w:val="21"/>
          <w:szCs w:val="21"/>
        </w:rPr>
        <w:t xml:space="preserve"> (C)</w:t>
      </w:r>
      <w:r>
        <w:rPr>
          <w:rFonts w:ascii="Times New Roman" w:hAnsi="Times New Roman" w:cs="Times New Roman"/>
          <w:sz w:val="21"/>
          <w:szCs w:val="21"/>
        </w:rPr>
        <w:t xml:space="preserve"> Genus taxonomic distribution of the intestinal microbiota from subjects in ATB, T2 and T6 groups. </w:t>
      </w:r>
      <w:r>
        <w:rPr>
          <w:rFonts w:ascii="Times New Roman" w:hAnsi="Times New Roman" w:cs="Times New Roman"/>
          <w:b/>
          <w:sz w:val="21"/>
          <w:szCs w:val="21"/>
        </w:rPr>
        <w:t>(D)</w:t>
      </w:r>
      <w:r>
        <w:rPr>
          <w:rFonts w:ascii="Times New Roman" w:hAnsi="Times New Roman" w:cs="Times New Roman"/>
          <w:sz w:val="21"/>
          <w:szCs w:val="21"/>
        </w:rPr>
        <w:t xml:space="preserve"> Relative abundances of the most common organizational taxonomic units identified in stool samples from ATB, T2 and T6 subjects. OTUs were compared by the Holm-</w:t>
      </w:r>
      <w:proofErr w:type="spellStart"/>
      <w:r>
        <w:rPr>
          <w:rFonts w:ascii="Times New Roman" w:hAnsi="Times New Roman" w:cs="Times New Roman"/>
          <w:sz w:val="21"/>
          <w:szCs w:val="21"/>
        </w:rPr>
        <w:t>Sidak</w:t>
      </w:r>
      <w:proofErr w:type="spellEnd"/>
      <w:r>
        <w:rPr>
          <w:rFonts w:ascii="Times New Roman" w:hAnsi="Times New Roman" w:cs="Times New Roman"/>
          <w:sz w:val="21"/>
          <w:szCs w:val="21"/>
        </w:rPr>
        <w:t xml:space="preserve"> method t-test for all OTUs, with average relative abundances of greater than 1% across all samples, and significant differences are demonstrated by asterisks (*P&lt;0.05; **P&lt;0.01; ***P&lt;0.001). Some genus designations appear more than once because multiple OTUs have the same consensus taxonomy.</w:t>
      </w:r>
    </w:p>
    <w:p w14:paraId="1B847653" w14:textId="77777777" w:rsidR="00D60BB9" w:rsidRDefault="00537E35">
      <w:pPr>
        <w:autoSpaceDE w:val="0"/>
        <w:autoSpaceDN w:val="0"/>
        <w:adjustRightInd w:val="0"/>
        <w:snapToGrid w:val="0"/>
        <w:spacing w:line="360" w:lineRule="auto"/>
        <w:contextualSpacing/>
        <w:jc w:val="both"/>
        <w:rPr>
          <w:rFonts w:ascii="Times New Roman" w:hAnsi="Times New Roman" w:cs="Times New Roman"/>
          <w:b/>
          <w:sz w:val="21"/>
          <w:szCs w:val="21"/>
        </w:rPr>
      </w:pPr>
      <w:r>
        <w:rPr>
          <w:rFonts w:ascii="Times New Roman" w:hAnsi="Times New Roman" w:cs="Times New Roman"/>
          <w:b/>
          <w:sz w:val="21"/>
          <w:szCs w:val="21"/>
        </w:rPr>
        <w:t xml:space="preserve">Supplemental Figure S4. Alterations in the gut metabolites induced by </w:t>
      </w:r>
      <w:proofErr w:type="spellStart"/>
      <w:r>
        <w:rPr>
          <w:rFonts w:ascii="Times New Roman" w:hAnsi="Times New Roman" w:cs="Times New Roman" w:hint="eastAsia"/>
          <w:b/>
          <w:bCs/>
          <w:iCs/>
          <w:sz w:val="21"/>
          <w:szCs w:val="21"/>
        </w:rPr>
        <w:t>Mtb</w:t>
      </w:r>
      <w:proofErr w:type="spellEnd"/>
      <w:r>
        <w:rPr>
          <w:rFonts w:ascii="Times New Roman" w:hAnsi="Times New Roman" w:cs="Times New Roman"/>
          <w:b/>
          <w:sz w:val="21"/>
          <w:szCs w:val="21"/>
        </w:rPr>
        <w:t xml:space="preserve"> infection or anti-TB therapy. </w:t>
      </w:r>
    </w:p>
    <w:p w14:paraId="43BC1CC1" w14:textId="77777777" w:rsidR="00D60BB9" w:rsidRDefault="00537E35">
      <w:pPr>
        <w:autoSpaceDE w:val="0"/>
        <w:autoSpaceDN w:val="0"/>
        <w:adjustRightInd w:val="0"/>
        <w:snapToGrid w:val="0"/>
        <w:spacing w:line="360" w:lineRule="auto"/>
        <w:contextualSpacing/>
        <w:jc w:val="both"/>
        <w:rPr>
          <w:rFonts w:ascii="Times New Roman" w:hAnsi="Times New Roman" w:cs="Times New Roman"/>
          <w:sz w:val="21"/>
          <w:szCs w:val="21"/>
        </w:rPr>
      </w:pPr>
      <w:r>
        <w:rPr>
          <w:rFonts w:ascii="Times New Roman" w:hAnsi="Times New Roman" w:cs="Times New Roman"/>
          <w:b/>
          <w:sz w:val="21"/>
          <w:szCs w:val="21"/>
        </w:rPr>
        <w:lastRenderedPageBreak/>
        <w:t xml:space="preserve">(A) </w:t>
      </w:r>
      <w:r>
        <w:rPr>
          <w:rFonts w:ascii="Times New Roman" w:hAnsi="Times New Roman" w:cs="Times New Roman"/>
          <w:sz w:val="21"/>
          <w:szCs w:val="21"/>
        </w:rPr>
        <w:t xml:space="preserve">PCA score plots based on the metabolic profiles in stool samples from HV, ATB, T2 and T6 group. </w:t>
      </w:r>
      <w:r>
        <w:rPr>
          <w:rFonts w:ascii="Times New Roman" w:hAnsi="Times New Roman" w:cs="Times New Roman"/>
          <w:b/>
          <w:sz w:val="21"/>
          <w:szCs w:val="21"/>
        </w:rPr>
        <w:t>(B)</w:t>
      </w:r>
      <w:r>
        <w:rPr>
          <w:rFonts w:ascii="Times New Roman" w:hAnsi="Times New Roman" w:cs="Times New Roman"/>
          <w:sz w:val="21"/>
          <w:szCs w:val="21"/>
        </w:rPr>
        <w:t xml:space="preserve"> Score scatter plots of PLS-DA comparing the metabolic differences identify the separation between HV and ATB. </w:t>
      </w:r>
      <w:r>
        <w:rPr>
          <w:rFonts w:ascii="Times New Roman" w:hAnsi="Times New Roman" w:cs="Times New Roman"/>
          <w:b/>
          <w:sz w:val="21"/>
          <w:szCs w:val="21"/>
        </w:rPr>
        <w:t xml:space="preserve">(C) </w:t>
      </w:r>
      <w:r>
        <w:rPr>
          <w:rFonts w:ascii="Times New Roman" w:hAnsi="Times New Roman" w:cs="Times New Roman"/>
          <w:sz w:val="21"/>
          <w:szCs w:val="21"/>
        </w:rPr>
        <w:t>Score scatter plots of PLS-DA comparing the metabolic differences identify the separation between ATB and T2. (D) Score scatter plots of PLS-DA comparing the metabolic differences identify the separation between ATB and T6.</w:t>
      </w:r>
    </w:p>
    <w:p w14:paraId="22A7E059" w14:textId="77777777" w:rsidR="00D60BB9" w:rsidRDefault="00537E35">
      <w:pPr>
        <w:autoSpaceDE w:val="0"/>
        <w:autoSpaceDN w:val="0"/>
        <w:spacing w:line="360" w:lineRule="auto"/>
        <w:contextualSpacing/>
        <w:jc w:val="both"/>
        <w:rPr>
          <w:rFonts w:ascii="Times New Roman" w:hAnsi="Times New Roman" w:cs="Times New Roman"/>
          <w:sz w:val="21"/>
          <w:szCs w:val="21"/>
        </w:rPr>
      </w:pPr>
      <w:r>
        <w:rPr>
          <w:rFonts w:ascii="Times New Roman" w:hAnsi="Times New Roman" w:cs="Times New Roman"/>
          <w:b/>
          <w:sz w:val="21"/>
          <w:szCs w:val="21"/>
        </w:rPr>
        <w:t xml:space="preserve">Supplementary Figure S5. </w:t>
      </w:r>
      <w:bookmarkEnd w:id="14"/>
      <w:bookmarkEnd w:id="15"/>
      <w:proofErr w:type="spellStart"/>
      <w:r>
        <w:rPr>
          <w:rFonts w:ascii="Times New Roman" w:hAnsi="Times New Roman" w:cs="Times New Roman"/>
          <w:b/>
          <w:sz w:val="21"/>
          <w:szCs w:val="21"/>
        </w:rPr>
        <w:t>LEfSe</w:t>
      </w:r>
      <w:proofErr w:type="spellEnd"/>
      <w:r>
        <w:rPr>
          <w:rFonts w:ascii="Times New Roman" w:hAnsi="Times New Roman" w:cs="Times New Roman"/>
          <w:b/>
          <w:sz w:val="21"/>
          <w:szCs w:val="21"/>
        </w:rPr>
        <w:t xml:space="preserve"> comparisons showing the differentially abundant genera in the gut microbiota between the HV and ATB groups.</w:t>
      </w:r>
      <w:r>
        <w:rPr>
          <w:rFonts w:ascii="Times New Roman" w:hAnsi="Times New Roman" w:cs="Times New Roman"/>
          <w:sz w:val="21"/>
          <w:szCs w:val="21"/>
        </w:rPr>
        <w:t xml:space="preserve"> The bacteria significantly enriched in HV and ATB groups are shown with blue and red bars respectively. Data are filtered for P &lt; 0.05 and linear discriminant analysis (LDA) score &gt; 2.</w:t>
      </w:r>
    </w:p>
    <w:p w14:paraId="1D566DB5" w14:textId="77777777" w:rsidR="00D60BB9" w:rsidRDefault="00537E35">
      <w:pPr>
        <w:autoSpaceDE w:val="0"/>
        <w:autoSpaceDN w:val="0"/>
        <w:spacing w:line="360" w:lineRule="auto"/>
        <w:contextualSpacing/>
        <w:jc w:val="both"/>
        <w:rPr>
          <w:rFonts w:ascii="Times New Roman" w:hAnsi="Times New Roman" w:cs="Times New Roman"/>
          <w:color w:val="000000"/>
          <w:sz w:val="21"/>
          <w:szCs w:val="21"/>
        </w:rPr>
      </w:pPr>
      <w:r>
        <w:rPr>
          <w:rFonts w:ascii="Times New Roman" w:hAnsi="Times New Roman" w:cs="Times New Roman"/>
          <w:b/>
          <w:sz w:val="21"/>
          <w:szCs w:val="21"/>
        </w:rPr>
        <w:t xml:space="preserve">Supplementary Figure S6. </w:t>
      </w:r>
      <w:proofErr w:type="spellStart"/>
      <w:r>
        <w:rPr>
          <w:rFonts w:ascii="Times New Roman" w:hAnsi="Times New Roman" w:cs="Times New Roman"/>
          <w:b/>
          <w:sz w:val="21"/>
          <w:szCs w:val="21"/>
        </w:rPr>
        <w:t>LEfSe</w:t>
      </w:r>
      <w:proofErr w:type="spellEnd"/>
      <w:r>
        <w:rPr>
          <w:rFonts w:ascii="Times New Roman" w:hAnsi="Times New Roman" w:cs="Times New Roman"/>
          <w:b/>
          <w:sz w:val="21"/>
          <w:szCs w:val="21"/>
        </w:rPr>
        <w:t xml:space="preserve"> comparisons showing the differentially abundant genera in the gut microbiota between the ATB, T2 and T6 groups.</w:t>
      </w:r>
      <w:r>
        <w:rPr>
          <w:rFonts w:ascii="Times New Roman" w:hAnsi="Times New Roman" w:cs="Times New Roman"/>
          <w:sz w:val="21"/>
          <w:szCs w:val="21"/>
        </w:rPr>
        <w:t xml:space="preserve"> The bacteria significantly enriched in ATB, T2 and T6 groups are shown with red, blue and green bars respectively. Data are filtered for P &lt; 0.05 and linear discriminant analysis (LDA) score &gt; 2.</w:t>
      </w:r>
    </w:p>
    <w:p w14:paraId="17BB7526" w14:textId="77777777" w:rsidR="00D60BB9" w:rsidRDefault="00D60BB9">
      <w:pPr>
        <w:spacing w:line="360" w:lineRule="auto"/>
        <w:contextualSpacing/>
        <w:jc w:val="both"/>
        <w:rPr>
          <w:rFonts w:ascii="Times New Roman" w:hAnsi="Times New Roman" w:cs="Times New Roman"/>
          <w:sz w:val="21"/>
          <w:szCs w:val="21"/>
        </w:rPr>
      </w:pPr>
    </w:p>
    <w:p w14:paraId="0D89F5B8" w14:textId="77777777" w:rsidR="00D60BB9" w:rsidRDefault="00537E35">
      <w:pPr>
        <w:spacing w:line="360" w:lineRule="auto"/>
        <w:contextualSpacing/>
        <w:jc w:val="both"/>
        <w:rPr>
          <w:rFonts w:ascii="Times New Roman" w:hAnsi="Times New Roman" w:cs="Times New Roman"/>
          <w:b/>
          <w:bCs/>
          <w:sz w:val="21"/>
          <w:szCs w:val="21"/>
        </w:rPr>
      </w:pPr>
      <w:r>
        <w:rPr>
          <w:rFonts w:ascii="Times New Roman" w:hAnsi="Times New Roman" w:cs="Times New Roman"/>
          <w:b/>
          <w:bCs/>
          <w:sz w:val="21"/>
          <w:szCs w:val="21"/>
        </w:rPr>
        <w:t>Reference</w:t>
      </w:r>
    </w:p>
    <w:p w14:paraId="45F9ECD4" w14:textId="0474B4A0" w:rsidR="00537E35" w:rsidRPr="00537E35" w:rsidRDefault="00537E35" w:rsidP="00537E35">
      <w:pPr>
        <w:pStyle w:val="EndNoteBibliography"/>
        <w:rPr>
          <w:noProof/>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ADDIN EN.REFLIST </w:instrText>
      </w:r>
      <w:r>
        <w:rPr>
          <w:rFonts w:ascii="Times New Roman" w:hAnsi="Times New Roman" w:cs="Times New Roman"/>
          <w:sz w:val="21"/>
          <w:szCs w:val="21"/>
        </w:rPr>
        <w:fldChar w:fldCharType="separate"/>
      </w:r>
      <w:r w:rsidRPr="00537E35">
        <w:rPr>
          <w:noProof/>
        </w:rPr>
        <w:t xml:space="preserve">[1] Lozupone C A, M Hamady, S T Kelley, et al., (2007) Quantitative and qualitative beta diversity measures lead to different insights into factors that structure microbial communities. Appl Environ Microbiol 1576-85 </w:t>
      </w:r>
      <w:hyperlink r:id="rId9" w:history="1">
        <w:r w:rsidRPr="00537E35">
          <w:rPr>
            <w:rStyle w:val="af"/>
            <w:noProof/>
          </w:rPr>
          <w:t>http://dx.doi.org/10.1128/AEM.01996-06</w:t>
        </w:r>
      </w:hyperlink>
    </w:p>
    <w:p w14:paraId="24AEB9D1" w14:textId="6EF44A2E" w:rsidR="00537E35" w:rsidRPr="00537E35" w:rsidRDefault="00537E35" w:rsidP="00537E35">
      <w:pPr>
        <w:pStyle w:val="EndNoteBibliography"/>
        <w:rPr>
          <w:noProof/>
        </w:rPr>
      </w:pPr>
      <w:r w:rsidRPr="00537E35">
        <w:rPr>
          <w:noProof/>
        </w:rPr>
        <w:t xml:space="preserve">[2] Ramette A, (2007) Multivariate analyses in microbial ecology. FEMS Microbiol Ecol 142-60 </w:t>
      </w:r>
      <w:hyperlink r:id="rId10" w:history="1">
        <w:r w:rsidRPr="00537E35">
          <w:rPr>
            <w:rStyle w:val="af"/>
            <w:noProof/>
          </w:rPr>
          <w:t>http://dx.doi.org/10.1111/j.1574-6941.2007.00375.x</w:t>
        </w:r>
      </w:hyperlink>
    </w:p>
    <w:p w14:paraId="4B6DF2B8" w14:textId="77777777" w:rsidR="00537E35" w:rsidRPr="00537E35" w:rsidRDefault="00537E35" w:rsidP="00537E35">
      <w:pPr>
        <w:pStyle w:val="EndNoteBibliography"/>
        <w:rPr>
          <w:noProof/>
        </w:rPr>
      </w:pPr>
      <w:r w:rsidRPr="00537E35">
        <w:rPr>
          <w:noProof/>
        </w:rPr>
        <w:t xml:space="preserve">[3] McArdle B H A, M.J. , (2001) Fitting multivariate models to community data: a comment on distancebased redundancy analysis. Ecology 290-297 </w:t>
      </w:r>
    </w:p>
    <w:p w14:paraId="6A8AF860" w14:textId="77777777" w:rsidR="00537E35" w:rsidRPr="00537E35" w:rsidRDefault="00537E35" w:rsidP="00537E35">
      <w:pPr>
        <w:pStyle w:val="EndNoteBibliography"/>
        <w:rPr>
          <w:noProof/>
        </w:rPr>
      </w:pPr>
      <w:r w:rsidRPr="00537E35">
        <w:rPr>
          <w:noProof/>
        </w:rPr>
        <w:t xml:space="preserve">[4] Clarke K R, (1993) Non-parametric multivariate analyses of changes in community structure. Australian Journal of Ecology 117-143 </w:t>
      </w:r>
    </w:p>
    <w:p w14:paraId="6C6E0E78" w14:textId="44DBB61B" w:rsidR="00537E35" w:rsidRPr="00537E35" w:rsidRDefault="00537E35" w:rsidP="00537E35">
      <w:pPr>
        <w:pStyle w:val="EndNoteBibliography"/>
        <w:rPr>
          <w:noProof/>
        </w:rPr>
      </w:pPr>
      <w:r w:rsidRPr="00537E35">
        <w:rPr>
          <w:noProof/>
        </w:rPr>
        <w:t xml:space="preserve">[5] Warton D I, S T Wright, Y Wang, (2012) Distance-based multivariate analyses confound location and dispersion effects. Methods in Ecology and Evolution 89-101 </w:t>
      </w:r>
      <w:hyperlink r:id="rId11" w:history="1">
        <w:r w:rsidRPr="00537E35">
          <w:rPr>
            <w:rStyle w:val="af"/>
            <w:noProof/>
          </w:rPr>
          <w:t>http://dx.doi.org/10.1111/j.2041-210X.2011.00127.x</w:t>
        </w:r>
      </w:hyperlink>
    </w:p>
    <w:p w14:paraId="77C852B3" w14:textId="0A347050" w:rsidR="00537E35" w:rsidRPr="00537E35" w:rsidRDefault="00537E35" w:rsidP="00537E35">
      <w:pPr>
        <w:pStyle w:val="EndNoteBibliography"/>
        <w:rPr>
          <w:noProof/>
        </w:rPr>
      </w:pPr>
      <w:r w:rsidRPr="00537E35">
        <w:rPr>
          <w:noProof/>
        </w:rPr>
        <w:t xml:space="preserve">[6] Segata N, J Izard, L Waldron, et al., (2011) Metagenomic biomarker discovery and explanation. Genome Biol R60 </w:t>
      </w:r>
      <w:hyperlink r:id="rId12" w:history="1">
        <w:r w:rsidRPr="00537E35">
          <w:rPr>
            <w:rStyle w:val="af"/>
            <w:noProof/>
          </w:rPr>
          <w:t>http://dx.doi.org/10.1186/gb-2011-12-6-r60</w:t>
        </w:r>
      </w:hyperlink>
    </w:p>
    <w:p w14:paraId="7F80FFE3" w14:textId="1FCC4D43" w:rsidR="00537E35" w:rsidRPr="00537E35" w:rsidRDefault="00537E35" w:rsidP="00537E35">
      <w:pPr>
        <w:pStyle w:val="EndNoteBibliography"/>
        <w:rPr>
          <w:noProof/>
        </w:rPr>
      </w:pPr>
      <w:r w:rsidRPr="00537E35">
        <w:rPr>
          <w:noProof/>
        </w:rPr>
        <w:t xml:space="preserve">[7] Guijas C, J R Montenegro-Burke, X Domingo-Almenara, et al., (2018) METLIN: A Technology Platform for Identifying Knowns and Unknowns. Anal Chem 3156-3164 </w:t>
      </w:r>
      <w:hyperlink r:id="rId13" w:history="1">
        <w:r w:rsidRPr="00537E35">
          <w:rPr>
            <w:rStyle w:val="af"/>
            <w:noProof/>
          </w:rPr>
          <w:t>http://dx.doi.org/10.1021/acs.analchem.7b04424</w:t>
        </w:r>
      </w:hyperlink>
    </w:p>
    <w:p w14:paraId="60138BF4" w14:textId="3FE3A353" w:rsidR="00537E35" w:rsidRPr="00537E35" w:rsidRDefault="00537E35" w:rsidP="00537E35">
      <w:pPr>
        <w:pStyle w:val="EndNoteBibliography"/>
        <w:rPr>
          <w:noProof/>
        </w:rPr>
      </w:pPr>
      <w:r w:rsidRPr="00537E35">
        <w:rPr>
          <w:noProof/>
        </w:rPr>
        <w:t xml:space="preserve">[8] Horai H, M Arita, S Kanaya, et al., (2010) MassBank: a public repository for sharing mass spectral data for life sciences. J Mass Spectrom 703-14 </w:t>
      </w:r>
      <w:hyperlink r:id="rId14" w:history="1">
        <w:r w:rsidRPr="00537E35">
          <w:rPr>
            <w:rStyle w:val="af"/>
            <w:noProof/>
          </w:rPr>
          <w:t>http://dx.doi.org/10.1002/jms.1777</w:t>
        </w:r>
      </w:hyperlink>
    </w:p>
    <w:p w14:paraId="31A66E8D" w14:textId="5262F504" w:rsidR="00537E35" w:rsidRPr="00537E35" w:rsidRDefault="00537E35" w:rsidP="00537E35">
      <w:pPr>
        <w:pStyle w:val="EndNoteBibliography"/>
        <w:rPr>
          <w:noProof/>
        </w:rPr>
      </w:pPr>
      <w:r w:rsidRPr="00537E35">
        <w:rPr>
          <w:noProof/>
        </w:rPr>
        <w:t xml:space="preserve">[9] Hilbig M, M Rarey, (2015) MONA 2: A Light Cheminformatics Platform for Interactive Compound Library Processing. J Chem Inf Model 2071-8 </w:t>
      </w:r>
      <w:hyperlink r:id="rId15" w:history="1">
        <w:r w:rsidRPr="00537E35">
          <w:rPr>
            <w:rStyle w:val="af"/>
            <w:noProof/>
          </w:rPr>
          <w:t>http://dx.doi.org/10.1021/acs.jcim.5b00292</w:t>
        </w:r>
      </w:hyperlink>
    </w:p>
    <w:p w14:paraId="0B87F729" w14:textId="6689058A" w:rsidR="00D60BB9" w:rsidRDefault="00537E35">
      <w:pPr>
        <w:spacing w:line="360" w:lineRule="auto"/>
        <w:contextualSpacing/>
        <w:jc w:val="both"/>
        <w:rPr>
          <w:rFonts w:ascii="Times New Roman" w:hAnsi="Times New Roman" w:cs="Times New Roman"/>
          <w:sz w:val="21"/>
          <w:szCs w:val="21"/>
        </w:rPr>
      </w:pPr>
      <w:r>
        <w:rPr>
          <w:rFonts w:ascii="Times New Roman" w:hAnsi="Times New Roman" w:cs="Times New Roman"/>
          <w:sz w:val="21"/>
          <w:szCs w:val="21"/>
        </w:rPr>
        <w:fldChar w:fldCharType="end"/>
      </w:r>
    </w:p>
    <w:sectPr w:rsidR="00D60BB9">
      <w:pgSz w:w="11900" w:h="16840"/>
      <w:pgMar w:top="1440" w:right="1440" w:bottom="1440" w:left="1440" w:header="708" w:footer="708" w:gutter="0"/>
      <w:lnNumType w:countBy="1" w:restart="continuous"/>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C3600" w14:textId="77777777" w:rsidR="00D04567" w:rsidRDefault="00D04567" w:rsidP="006B21EF">
      <w:r>
        <w:separator/>
      </w:r>
    </w:p>
  </w:endnote>
  <w:endnote w:type="continuationSeparator" w:id="0">
    <w:p w14:paraId="216D0BD2" w14:textId="77777777" w:rsidR="00D04567" w:rsidRDefault="00D04567" w:rsidP="006B2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L-Hei-Med-Jian">
    <w:altName w:val="等线"/>
    <w:charset w:val="86"/>
    <w:family w:val="auto"/>
    <w:pitch w:val="default"/>
    <w:sig w:usb0="00000000" w:usb1="00000000" w:usb2="00000010"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7A62D" w14:textId="77777777" w:rsidR="00D04567" w:rsidRDefault="00D04567" w:rsidP="006B21EF">
      <w:r>
        <w:separator/>
      </w:r>
    </w:p>
  </w:footnote>
  <w:footnote w:type="continuationSeparator" w:id="0">
    <w:p w14:paraId="2240CE44" w14:textId="77777777" w:rsidR="00D04567" w:rsidRDefault="00D04567" w:rsidP="006B21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D670E4"/>
    <w:multiLevelType w:val="multilevel"/>
    <w:tmpl w:val="1CD670E4"/>
    <w:lvl w:ilvl="0">
      <w:start w:val="1"/>
      <w:numFmt w:val="none"/>
      <w:pStyle w:val="1"/>
      <w:suff w:val="nothing"/>
      <w:lvlText w:val=""/>
      <w:lvlJc w:val="left"/>
      <w:pPr>
        <w:ind w:left="0" w:firstLine="0"/>
      </w:p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clean"/>
  <w:defaultTabStop w:val="720"/>
  <w:drawingGridHorizontalSpacing w:val="120"/>
  <w:drawingGridVerticalSpacing w:val="2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ta Biomaterialia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wavzspf9eezvkeaxwb5a9rgdt9vzss0p9rz&quot;&gt;我的EndNote库&lt;record-ids&gt;&lt;item&gt;22&lt;/item&gt;&lt;item&gt;23&lt;/item&gt;&lt;item&gt;25&lt;/item&gt;&lt;item&gt;26&lt;/item&gt;&lt;item&gt;28&lt;/item&gt;&lt;/record-ids&gt;&lt;/item&gt;&lt;/Libraries&gt;"/>
  </w:docVars>
  <w:rsids>
    <w:rsidRoot w:val="007E329A"/>
    <w:rsid w:val="000056B7"/>
    <w:rsid w:val="00005D52"/>
    <w:rsid w:val="000333E7"/>
    <w:rsid w:val="0003375F"/>
    <w:rsid w:val="00055011"/>
    <w:rsid w:val="00057BCB"/>
    <w:rsid w:val="000671ED"/>
    <w:rsid w:val="000917DF"/>
    <w:rsid w:val="000B0576"/>
    <w:rsid w:val="00110113"/>
    <w:rsid w:val="00170B86"/>
    <w:rsid w:val="00172475"/>
    <w:rsid w:val="001A1CEB"/>
    <w:rsid w:val="001C3966"/>
    <w:rsid w:val="001D44DC"/>
    <w:rsid w:val="001E1097"/>
    <w:rsid w:val="00221D58"/>
    <w:rsid w:val="00261E00"/>
    <w:rsid w:val="00263871"/>
    <w:rsid w:val="002B2826"/>
    <w:rsid w:val="003001D9"/>
    <w:rsid w:val="00357564"/>
    <w:rsid w:val="0037393F"/>
    <w:rsid w:val="00373AD3"/>
    <w:rsid w:val="003B45FB"/>
    <w:rsid w:val="003E39A5"/>
    <w:rsid w:val="003F4C02"/>
    <w:rsid w:val="00444C93"/>
    <w:rsid w:val="004517B1"/>
    <w:rsid w:val="00471984"/>
    <w:rsid w:val="00480D94"/>
    <w:rsid w:val="00486E4A"/>
    <w:rsid w:val="004D234B"/>
    <w:rsid w:val="004D7BAA"/>
    <w:rsid w:val="00507911"/>
    <w:rsid w:val="00537E35"/>
    <w:rsid w:val="00553EB8"/>
    <w:rsid w:val="005C5669"/>
    <w:rsid w:val="00662130"/>
    <w:rsid w:val="006849A7"/>
    <w:rsid w:val="0069337C"/>
    <w:rsid w:val="006B21EF"/>
    <w:rsid w:val="006D3A09"/>
    <w:rsid w:val="006E0279"/>
    <w:rsid w:val="006E14B6"/>
    <w:rsid w:val="00702A8F"/>
    <w:rsid w:val="007153AF"/>
    <w:rsid w:val="00737A95"/>
    <w:rsid w:val="007717FE"/>
    <w:rsid w:val="007E329A"/>
    <w:rsid w:val="008328F6"/>
    <w:rsid w:val="00836AF6"/>
    <w:rsid w:val="0084324E"/>
    <w:rsid w:val="00856F79"/>
    <w:rsid w:val="00890207"/>
    <w:rsid w:val="008A30CD"/>
    <w:rsid w:val="008B063E"/>
    <w:rsid w:val="008E2015"/>
    <w:rsid w:val="008F4E1B"/>
    <w:rsid w:val="00903DEE"/>
    <w:rsid w:val="00907DC5"/>
    <w:rsid w:val="0092262E"/>
    <w:rsid w:val="0093266B"/>
    <w:rsid w:val="00973C4B"/>
    <w:rsid w:val="009860ED"/>
    <w:rsid w:val="009D09AA"/>
    <w:rsid w:val="009E0A2C"/>
    <w:rsid w:val="00A92F95"/>
    <w:rsid w:val="00AD16E0"/>
    <w:rsid w:val="00AD49F1"/>
    <w:rsid w:val="00B172D4"/>
    <w:rsid w:val="00B255C2"/>
    <w:rsid w:val="00B45F00"/>
    <w:rsid w:val="00B635D6"/>
    <w:rsid w:val="00BA05BC"/>
    <w:rsid w:val="00BB7E7A"/>
    <w:rsid w:val="00BD41F3"/>
    <w:rsid w:val="00BE4003"/>
    <w:rsid w:val="00BE4933"/>
    <w:rsid w:val="00C10237"/>
    <w:rsid w:val="00C620BA"/>
    <w:rsid w:val="00C8796E"/>
    <w:rsid w:val="00CE5C82"/>
    <w:rsid w:val="00CE738F"/>
    <w:rsid w:val="00D02AC1"/>
    <w:rsid w:val="00D04567"/>
    <w:rsid w:val="00D25CDF"/>
    <w:rsid w:val="00D26AE9"/>
    <w:rsid w:val="00D30CEC"/>
    <w:rsid w:val="00D40A8E"/>
    <w:rsid w:val="00D52AC3"/>
    <w:rsid w:val="00D60BB9"/>
    <w:rsid w:val="00D610BE"/>
    <w:rsid w:val="00D74221"/>
    <w:rsid w:val="00D87885"/>
    <w:rsid w:val="00DD2964"/>
    <w:rsid w:val="00E0330C"/>
    <w:rsid w:val="00E44987"/>
    <w:rsid w:val="00E5257C"/>
    <w:rsid w:val="00E80DF2"/>
    <w:rsid w:val="00E85719"/>
    <w:rsid w:val="00ED0DA0"/>
    <w:rsid w:val="00F062BC"/>
    <w:rsid w:val="00FB1FEC"/>
    <w:rsid w:val="00FD0F6F"/>
    <w:rsid w:val="450D5E00"/>
    <w:rsid w:val="6A060A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1E2B4F"/>
  <w14:defaultImageDpi w14:val="32767"/>
  <w15:docId w15:val="{A1494F8C-56B0-459E-BE4E-EDBA394AB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paragraph" w:styleId="1">
    <w:name w:val="heading 1"/>
    <w:basedOn w:val="a"/>
    <w:next w:val="a"/>
    <w:link w:val="10"/>
    <w:qFormat/>
    <w:pPr>
      <w:keepNext/>
      <w:widowControl w:val="0"/>
      <w:numPr>
        <w:numId w:val="1"/>
      </w:numPr>
      <w:spacing w:before="240" w:after="120"/>
      <w:outlineLvl w:val="0"/>
    </w:pPr>
    <w:rPr>
      <w:rFonts w:ascii="Arial" w:eastAsia="Lucida Sans Unicode" w:hAnsi="Arial" w:cs="Tahoma"/>
      <w:b/>
      <w:bCs/>
      <w:sz w:val="32"/>
      <w:szCs w:val="32"/>
    </w:rPr>
  </w:style>
  <w:style w:type="paragraph" w:styleId="2">
    <w:name w:val="heading 2"/>
    <w:basedOn w:val="a"/>
    <w:next w:val="TextBody"/>
    <w:link w:val="20"/>
    <w:qFormat/>
    <w:pPr>
      <w:keepNext/>
      <w:widowControl w:val="0"/>
      <w:numPr>
        <w:ilvl w:val="1"/>
        <w:numId w:val="1"/>
      </w:numPr>
      <w:spacing w:before="240" w:after="120"/>
      <w:outlineLvl w:val="1"/>
    </w:pPr>
    <w:rPr>
      <w:rFonts w:ascii="Arial" w:eastAsia="Lucida Sans Unicode" w:hAnsi="Arial" w:cs="Tahoma"/>
      <w:b/>
      <w:bCs/>
      <w:i/>
      <w:iCs/>
      <w:sz w:val="28"/>
      <w:szCs w:val="28"/>
    </w:rPr>
  </w:style>
  <w:style w:type="paragraph" w:styleId="3">
    <w:name w:val="heading 3"/>
    <w:basedOn w:val="a"/>
    <w:next w:val="TextBody"/>
    <w:link w:val="30"/>
    <w:qFormat/>
    <w:pPr>
      <w:keepNext/>
      <w:widowControl w:val="0"/>
      <w:numPr>
        <w:ilvl w:val="2"/>
        <w:numId w:val="1"/>
      </w:numPr>
      <w:spacing w:before="240" w:after="120"/>
      <w:outlineLvl w:val="2"/>
    </w:pPr>
    <w:rPr>
      <w:rFonts w:ascii="Arial" w:eastAsia="Lucida Sans Unicode" w:hAnsi="Arial" w:cs="Tahoma"/>
      <w:b/>
      <w:bCs/>
      <w:sz w:val="28"/>
      <w:szCs w:val="28"/>
    </w:rPr>
  </w:style>
  <w:style w:type="paragraph" w:styleId="4">
    <w:name w:val="heading 4"/>
    <w:basedOn w:val="a"/>
    <w:next w:val="TextBody"/>
    <w:link w:val="40"/>
    <w:qFormat/>
    <w:pPr>
      <w:keepNext/>
      <w:widowControl w:val="0"/>
      <w:numPr>
        <w:ilvl w:val="3"/>
        <w:numId w:val="1"/>
      </w:numPr>
      <w:spacing w:before="240" w:after="120"/>
      <w:outlineLvl w:val="3"/>
    </w:pPr>
    <w:rPr>
      <w:rFonts w:ascii="Arial" w:eastAsia="Lucida Sans Unicode" w:hAnsi="Arial" w:cs="Tahoma"/>
      <w:b/>
      <w:bCs/>
      <w:i/>
      <w:iCs/>
    </w:rPr>
  </w:style>
  <w:style w:type="paragraph" w:styleId="5">
    <w:name w:val="heading 5"/>
    <w:basedOn w:val="a"/>
    <w:next w:val="TextBody"/>
    <w:link w:val="50"/>
    <w:qFormat/>
    <w:pPr>
      <w:keepNext/>
      <w:widowControl w:val="0"/>
      <w:numPr>
        <w:ilvl w:val="4"/>
        <w:numId w:val="1"/>
      </w:numPr>
      <w:spacing w:before="240" w:after="120"/>
      <w:outlineLvl w:val="4"/>
    </w:pPr>
    <w:rPr>
      <w:rFonts w:ascii="Arial" w:eastAsia="Lucida Sans Unicode" w:hAnsi="Arial" w:cs="Tahoma"/>
      <w:b/>
      <w:bCs/>
    </w:rPr>
  </w:style>
  <w:style w:type="paragraph" w:styleId="6">
    <w:name w:val="heading 6"/>
    <w:basedOn w:val="a"/>
    <w:next w:val="TextBody"/>
    <w:link w:val="60"/>
    <w:qFormat/>
    <w:pPr>
      <w:keepNext/>
      <w:widowControl w:val="0"/>
      <w:numPr>
        <w:ilvl w:val="5"/>
        <w:numId w:val="1"/>
      </w:numPr>
      <w:spacing w:before="240" w:after="120"/>
      <w:outlineLvl w:val="5"/>
    </w:pPr>
    <w:rPr>
      <w:rFonts w:ascii="Arial" w:eastAsia="Lucida Sans Unicode" w:hAnsi="Arial" w:cs="Tahoma"/>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Body">
    <w:name w:val="Text Body"/>
    <w:basedOn w:val="a"/>
    <w:qFormat/>
    <w:pPr>
      <w:widowControl w:val="0"/>
      <w:spacing w:before="86" w:after="86"/>
    </w:pPr>
    <w:rPr>
      <w:rFonts w:ascii="Times New Roman" w:eastAsia="Lucida Sans Unicode" w:hAnsi="Times New Roman" w:cs="Tahoma"/>
    </w:rPr>
  </w:style>
  <w:style w:type="paragraph" w:styleId="a3">
    <w:name w:val="annotation text"/>
    <w:basedOn w:val="a"/>
    <w:link w:val="a4"/>
    <w:uiPriority w:val="99"/>
    <w:semiHidden/>
    <w:unhideWhenUsed/>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qFormat/>
    <w:pPr>
      <w:tabs>
        <w:tab w:val="center" w:pos="4153"/>
        <w:tab w:val="right" w:pos="8306"/>
      </w:tabs>
      <w:snapToGrid w:val="0"/>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line number"/>
    <w:basedOn w:val="a0"/>
    <w:uiPriority w:val="99"/>
    <w:semiHidden/>
    <w:unhideWhenUsed/>
    <w:qFormat/>
  </w:style>
  <w:style w:type="character" w:styleId="af">
    <w:name w:val="Hyperlink"/>
    <w:basedOn w:val="a0"/>
    <w:uiPriority w:val="99"/>
    <w:unhideWhenUsed/>
    <w:qFormat/>
    <w:rPr>
      <w:color w:val="0000FF"/>
      <w:u w:val="single"/>
    </w:rPr>
  </w:style>
  <w:style w:type="character" w:styleId="af0">
    <w:name w:val="annotation reference"/>
    <w:basedOn w:val="a0"/>
    <w:uiPriority w:val="99"/>
    <w:semiHidden/>
    <w:unhideWhenUsed/>
    <w:qFormat/>
    <w:rPr>
      <w:sz w:val="21"/>
      <w:szCs w:val="21"/>
    </w:rPr>
  </w:style>
  <w:style w:type="paragraph" w:customStyle="1" w:styleId="EndNoteBibliography">
    <w:name w:val="EndNote Bibliography"/>
    <w:basedOn w:val="a"/>
    <w:qFormat/>
    <w:pPr>
      <w:jc w:val="both"/>
    </w:pPr>
    <w:rPr>
      <w:rFonts w:ascii="Calibri" w:hAnsi="Calibri" w:cs="Calibri"/>
    </w:rPr>
  </w:style>
  <w:style w:type="paragraph" w:customStyle="1" w:styleId="EndNoteBibliographyTitle">
    <w:name w:val="EndNote Bibliography Title"/>
    <w:basedOn w:val="a"/>
    <w:pPr>
      <w:jc w:val="center"/>
    </w:pPr>
    <w:rPr>
      <w:rFonts w:ascii="Calibri" w:hAnsi="Calibri" w:cs="Calibri"/>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sz w:val="18"/>
      <w:szCs w:val="18"/>
    </w:rPr>
  </w:style>
  <w:style w:type="character" w:customStyle="1" w:styleId="a4">
    <w:name w:val="批注文字 字符"/>
    <w:basedOn w:val="a0"/>
    <w:link w:val="a3"/>
    <w:uiPriority w:val="99"/>
    <w:semiHidden/>
    <w:qFormat/>
  </w:style>
  <w:style w:type="character" w:customStyle="1" w:styleId="ac">
    <w:name w:val="批注主题 字符"/>
    <w:basedOn w:val="a4"/>
    <w:link w:val="ab"/>
    <w:uiPriority w:val="99"/>
    <w:semiHidden/>
    <w:qFormat/>
    <w:rPr>
      <w:b/>
      <w:bCs/>
    </w:rPr>
  </w:style>
  <w:style w:type="paragraph" w:customStyle="1" w:styleId="Firstparagraph">
    <w:name w:val="First paragraph"/>
    <w:basedOn w:val="a"/>
    <w:next w:val="TextBody"/>
    <w:qFormat/>
    <w:pPr>
      <w:widowControl w:val="0"/>
    </w:pPr>
    <w:rPr>
      <w:rFonts w:ascii="Times New Roman" w:eastAsia="Lucida Sans Unicode" w:hAnsi="Times New Roman" w:cs="Tahoma"/>
    </w:rPr>
  </w:style>
  <w:style w:type="character" w:customStyle="1" w:styleId="10">
    <w:name w:val="标题 1 字符"/>
    <w:basedOn w:val="a0"/>
    <w:link w:val="1"/>
    <w:qFormat/>
    <w:rPr>
      <w:rFonts w:ascii="Arial" w:eastAsia="Lucida Sans Unicode" w:hAnsi="Arial" w:cs="Tahoma"/>
      <w:b/>
      <w:bCs/>
      <w:sz w:val="32"/>
      <w:szCs w:val="32"/>
    </w:rPr>
  </w:style>
  <w:style w:type="character" w:customStyle="1" w:styleId="20">
    <w:name w:val="标题 2 字符"/>
    <w:basedOn w:val="a0"/>
    <w:link w:val="2"/>
    <w:qFormat/>
    <w:rPr>
      <w:rFonts w:ascii="Arial" w:eastAsia="Lucida Sans Unicode" w:hAnsi="Arial" w:cs="Tahoma"/>
      <w:b/>
      <w:bCs/>
      <w:i/>
      <w:iCs/>
      <w:sz w:val="28"/>
      <w:szCs w:val="28"/>
    </w:rPr>
  </w:style>
  <w:style w:type="character" w:customStyle="1" w:styleId="30">
    <w:name w:val="标题 3 字符"/>
    <w:basedOn w:val="a0"/>
    <w:link w:val="3"/>
    <w:qFormat/>
    <w:rPr>
      <w:rFonts w:ascii="Arial" w:eastAsia="Lucida Sans Unicode" w:hAnsi="Arial" w:cs="Tahoma"/>
      <w:b/>
      <w:bCs/>
      <w:sz w:val="28"/>
      <w:szCs w:val="28"/>
    </w:rPr>
  </w:style>
  <w:style w:type="character" w:customStyle="1" w:styleId="40">
    <w:name w:val="标题 4 字符"/>
    <w:basedOn w:val="a0"/>
    <w:link w:val="4"/>
    <w:qFormat/>
    <w:rPr>
      <w:rFonts w:ascii="Arial" w:eastAsia="Lucida Sans Unicode" w:hAnsi="Arial" w:cs="Tahoma"/>
      <w:b/>
      <w:bCs/>
      <w:i/>
      <w:iCs/>
    </w:rPr>
  </w:style>
  <w:style w:type="character" w:customStyle="1" w:styleId="50">
    <w:name w:val="标题 5 字符"/>
    <w:basedOn w:val="a0"/>
    <w:link w:val="5"/>
    <w:qFormat/>
    <w:rPr>
      <w:rFonts w:ascii="Arial" w:eastAsia="Lucida Sans Unicode" w:hAnsi="Arial" w:cs="Tahoma"/>
      <w:b/>
      <w:bCs/>
    </w:rPr>
  </w:style>
  <w:style w:type="character" w:customStyle="1" w:styleId="60">
    <w:name w:val="标题 6 字符"/>
    <w:basedOn w:val="a0"/>
    <w:link w:val="6"/>
    <w:rPr>
      <w:rFonts w:ascii="Arial" w:eastAsia="Lucida Sans Unicode" w:hAnsi="Arial" w:cs="Tahoma"/>
      <w:b/>
      <w:bCs/>
      <w:sz w:val="21"/>
      <w:szCs w:val="21"/>
    </w:rPr>
  </w:style>
  <w:style w:type="character" w:customStyle="1" w:styleId="11">
    <w:name w:val="未处理的提及1"/>
    <w:basedOn w:val="a0"/>
    <w:uiPriority w:val="99"/>
    <w:qFormat/>
    <w:rPr>
      <w:color w:val="605E5C"/>
      <w:shd w:val="clear" w:color="auto" w:fill="E1DFDD"/>
    </w:rPr>
  </w:style>
  <w:style w:type="character" w:styleId="af1">
    <w:name w:val="Unresolved Mention"/>
    <w:basedOn w:val="a0"/>
    <w:uiPriority w:val="99"/>
    <w:semiHidden/>
    <w:unhideWhenUsed/>
    <w:rsid w:val="00537E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x.doi.org/10.1021/acs.analchem.7b04424"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dx.doi.org/10.1186/gb-2011-12-6-r6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x.doi.org/10.1111/j.2041-210X.2011.00127.x" TargetMode="External"/><Relationship Id="rId5" Type="http://schemas.openxmlformats.org/officeDocument/2006/relationships/settings" Target="settings.xml"/><Relationship Id="rId15" Type="http://schemas.openxmlformats.org/officeDocument/2006/relationships/hyperlink" Target="http://dx.doi.org/10.1021/acs.jcim.5b00292" TargetMode="External"/><Relationship Id="rId10" Type="http://schemas.openxmlformats.org/officeDocument/2006/relationships/hyperlink" Target="http://dx.doi.org/10.1111/j.1574-6941.2007.00375.x" TargetMode="External"/><Relationship Id="rId4" Type="http://schemas.openxmlformats.org/officeDocument/2006/relationships/styles" Target="styles.xml"/><Relationship Id="rId9" Type="http://schemas.openxmlformats.org/officeDocument/2006/relationships/hyperlink" Target="http://dx.doi.org/10.1128/AEM.01996-06" TargetMode="External"/><Relationship Id="rId14" Type="http://schemas.openxmlformats.org/officeDocument/2006/relationships/hyperlink" Target="http://dx.doi.org/10.1002/jms.17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AF088604-2E23-FB4A-BD0E-EDF7AD5C640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4282</Words>
  <Characters>24409</Characters>
  <Application>Microsoft Office Word</Application>
  <DocSecurity>0</DocSecurity>
  <Lines>203</Lines>
  <Paragraphs>57</Paragraphs>
  <ScaleCrop>false</ScaleCrop>
  <Company/>
  <LinksUpToDate>false</LinksUpToDate>
  <CharactersWithSpaces>28634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Wenjing</dc:creator>
  <cp:lastModifiedBy>孟 瑞洁</cp:lastModifiedBy>
  <cp:revision>6</cp:revision>
  <dcterms:created xsi:type="dcterms:W3CDTF">2022-01-11T09:50:00Z</dcterms:created>
  <dcterms:modified xsi:type="dcterms:W3CDTF">2022-01-13T10:38:00Z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997148B5F22C4F9C83E1D79D38E816D2</vt:lpwstr>
  </property>
</Properties>
</file>