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0FD" w:rsidRDefault="002460FD" w:rsidP="002460FD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zh-CN"/>
        </w:rPr>
      </w:pPr>
      <w:r>
        <w:rPr>
          <w:rFonts w:ascii="Arial" w:eastAsiaTheme="minorEastAsia" w:hAnsi="Arial" w:cs="Arial"/>
          <w:sz w:val="24"/>
          <w:szCs w:val="24"/>
          <w:lang w:eastAsia="zh-CN"/>
        </w:rPr>
        <w:t>ADDITIONAL TABLE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6120"/>
        <w:gridCol w:w="2261"/>
      </w:tblGrid>
      <w:tr w:rsidR="002460FD" w:rsidTr="002460FD">
        <w:tc>
          <w:tcPr>
            <w:tcW w:w="6204" w:type="dxa"/>
          </w:tcPr>
          <w:p w:rsidR="002460FD" w:rsidRPr="00E2338C" w:rsidRDefault="002460FD" w:rsidP="0030402A">
            <w:pPr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Recommendations</w:t>
            </w:r>
          </w:p>
        </w:tc>
        <w:tc>
          <w:tcPr>
            <w:tcW w:w="2290" w:type="dxa"/>
          </w:tcPr>
          <w:p w:rsidR="002460FD" w:rsidRPr="00E2338C" w:rsidRDefault="002460FD" w:rsidP="0030402A">
            <w:pPr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Level of evidence</w:t>
            </w:r>
          </w:p>
        </w:tc>
      </w:tr>
      <w:tr w:rsidR="002460FD" w:rsidTr="002460FD">
        <w:tc>
          <w:tcPr>
            <w:tcW w:w="6204" w:type="dxa"/>
          </w:tcPr>
          <w:p w:rsidR="002460FD" w:rsidRPr="00A67537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Diagnosis: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PET-CT is </w:t>
            </w:r>
            <w:r w:rsidRPr="00612D4A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recommended in stage III–IV disease when definitive treatment is indicated or in those with equivocal findings on CT or MRI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III,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Diagnosis: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A biopsy is mandatory. </w:t>
            </w:r>
            <w:r w:rsidRPr="0049185C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HPV surrogate marker p16 immunohistochemistry in oropharynx and oral cavity tumours is strongly recommended</w:t>
            </w:r>
            <w:r w:rsidRPr="0049185C" w:rsidDel="00612D4A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A67537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Staging: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</w:t>
            </w:r>
            <w:r w:rsidRPr="00063DA9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Accurate staging is crucial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to coordinate and tailor </w:t>
            </w:r>
            <w:r w:rsidRPr="00063DA9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therapy to each individual patient.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9052A4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Cervical lymph nodes treatment based on sentinel node biopsy in T1-2N0 oral and oropharyngeal carcinoma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9052A4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Early disease: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If indicated cervical disection en T1-2N0 oral and oropharyngeal carcinoma, elective neck disection preferred over therapeutic neck disetion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9052A4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Early disease: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Elective treatmente of the neck in T1-2N0 hypopharynx and supraglòtic càncer is recommended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II,B</w:t>
            </w:r>
          </w:p>
        </w:tc>
      </w:tr>
      <w:tr w:rsidR="002460FD" w:rsidTr="002460FD">
        <w:tc>
          <w:tcPr>
            <w:tcW w:w="6204" w:type="dxa"/>
          </w:tcPr>
          <w:p w:rsidR="002460FD" w:rsidRPr="009052A4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Early disease: Elective treatment of the neck in T1-2N0 glottic neoplasm is not recommended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III,C</w:t>
            </w:r>
          </w:p>
        </w:tc>
      </w:tr>
      <w:tr w:rsidR="002460FD" w:rsidTr="002460FD">
        <w:tc>
          <w:tcPr>
            <w:tcW w:w="6204" w:type="dxa"/>
          </w:tcPr>
          <w:p w:rsidR="002460FD" w:rsidRPr="002259CC" w:rsidRDefault="002460FD" w:rsidP="0030402A">
            <w:pP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510CE6">
              <w:rPr>
                <w:rFonts w:ascii="Arial" w:hAnsi="Arial" w:cs="Arial"/>
                <w:b/>
                <w:sz w:val="24"/>
                <w:szCs w:val="24"/>
                <w:lang w:val="en-US"/>
              </w:rPr>
              <w:t>Preferred Radiation technique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as adjuvant treatment:</w:t>
            </w:r>
            <w:r w:rsidRPr="00510CE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 xml:space="preserve">Intensity Modulated Radiotherapy (IMRT)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2259CC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Preferred CT schedule as adjuvant: T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hree-weekly intravenous cisplatin 100 mg/m2 at days 1, 22, 43)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in high-risk pathological features: extracapsular lymph node extension and/or affected margins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2259CC" w:rsidRDefault="002460FD" w:rsidP="0030402A">
            <w:pPr>
              <w:jc w:val="both"/>
              <w:rPr>
                <w:rFonts w:ascii="Times" w:eastAsia="Times New Roman" w:hAnsi="Times" w:cs="Times New Roman"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Alternative CT schedule as adjuvant: </w:t>
            </w:r>
            <w:r w:rsidRPr="002259C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Weekly 40 mg/m2 cisplatin is a non-inferior alternative with better safety profile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>*</w:t>
            </w:r>
            <w:r w:rsidRPr="002259C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ES"/>
              </w:rPr>
              <w:t xml:space="preserve"> </w:t>
            </w:r>
          </w:p>
          <w:p w:rsidR="002460FD" w:rsidRPr="002259CC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I,B</w:t>
            </w:r>
          </w:p>
        </w:tc>
      </w:tr>
      <w:tr w:rsidR="002460FD" w:rsidTr="002460FD">
        <w:tc>
          <w:tcPr>
            <w:tcW w:w="6204" w:type="dxa"/>
          </w:tcPr>
          <w:p w:rsidR="002460FD" w:rsidRPr="002259CC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O</w:t>
            </w:r>
            <w:r w:rsidRPr="00510CE6">
              <w:rPr>
                <w:rFonts w:ascii="Arial" w:hAnsi="Arial" w:cs="Arial"/>
                <w:b/>
                <w:sz w:val="24"/>
                <w:szCs w:val="24"/>
                <w:lang w:val="en-US"/>
              </w:rPr>
              <w:t>ral cavity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Surgery</w:t>
            </w:r>
            <w:r w:rsidRPr="00510CE6">
              <w:rPr>
                <w:rFonts w:ascii="Arial" w:hAnsi="Arial" w:cs="Arial"/>
                <w:b/>
                <w:sz w:val="24"/>
                <w:szCs w:val="24"/>
                <w:lang w:val="en-US"/>
              </w:rPr>
              <w:t>: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 xml:space="preserve"> in clinically node-negative, elective ipsilateral node dissection is recommended better than watchful waiting approach</w:t>
            </w:r>
            <w:r w:rsidDel="00B95A11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Pr="002259CC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</w:pPr>
            <w:r w:rsidRPr="00510CE6">
              <w:rPr>
                <w:rFonts w:ascii="Arial" w:hAnsi="Arial" w:cs="Arial"/>
                <w:b/>
                <w:sz w:val="24"/>
                <w:szCs w:val="24"/>
                <w:lang w:val="en-US"/>
              </w:rPr>
              <w:t>Unfit patients not candidate for platinum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in the adjuvant setting</w:t>
            </w:r>
            <w:r w:rsidRPr="00510CE6">
              <w:rPr>
                <w:rFonts w:ascii="Arial" w:hAnsi="Arial" w:cs="Arial"/>
                <w:b/>
                <w:sz w:val="24"/>
                <w:szCs w:val="24"/>
                <w:lang w:val="en-US"/>
              </w:rPr>
              <w:t>: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 xml:space="preserve"> consider administration of radiotherapy alone.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There is no evidence for using alternatively other agents as cetuximab or carboplatin in the adjuvant setting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II,C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Based on RT treatment: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</w:t>
            </w:r>
            <w:r w:rsidRPr="00927AD5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Chemoradiation treatment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is standard treatment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Based on RT treatment: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High dose Cisplatin (100 mg/m2 D1, D21, D42) for concurrent chemoradiotherapy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Based on RT treatment: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</w:t>
            </w:r>
            <w:r w:rsidRPr="00576B93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IMRT (intensity-modulated radiation therapy) is preferred 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for concurrent chemoradiotherapy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Based on RT treatment: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Induction chemotherapy is an  option for high tumor burden and rapidly growing tumors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II,B</w:t>
            </w:r>
          </w:p>
        </w:tc>
      </w:tr>
      <w:tr w:rsidR="002460FD" w:rsidTr="002460FD">
        <w:tc>
          <w:tcPr>
            <w:tcW w:w="6204" w:type="dxa"/>
          </w:tcPr>
          <w:p w:rsidR="002460FD" w:rsidRPr="00510CE6" w:rsidRDefault="002460FD" w:rsidP="0030402A">
            <w:pPr>
              <w:pStyle w:val="p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For selected patients with extensive T3 or large T4a lesions and/or poor pretreatment laryngeal function, better survival rates and quality of life may be achieved with total laryngectomy rather than with organ-preservation approaches and 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y be the preferred approach</w:t>
            </w:r>
          </w:p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hAnsi="Arial" w:cs="Arial"/>
                <w:b/>
                <w:sz w:val="24"/>
                <w:szCs w:val="24"/>
                <w:lang w:val="en-US"/>
              </w:rPr>
              <w:t>Organ preservation: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 xml:space="preserve">Concurrent chemoradiotherapy (CRT)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with cisplatin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offers a signi</w:t>
            </w:r>
            <w:r w:rsidRPr="00510CE6">
              <w:rPr>
                <w:rStyle w:val="s1"/>
                <w:rFonts w:ascii="Arial" w:hAnsi="Arial" w:cs="Arial"/>
                <w:sz w:val="24"/>
                <w:szCs w:val="24"/>
                <w:lang w:val="en-US"/>
              </w:rPr>
              <w:t>fi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cantly higher chance of larynx preservation than RT alone or induction chemotherapy followed by RT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Organ preservation: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 xml:space="preserve">If cisplatin cannot be administered: cetuximab concurrent to RT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IIB</w:t>
            </w:r>
          </w:p>
        </w:tc>
      </w:tr>
      <w:tr w:rsidR="002460FD" w:rsidTr="002460FD">
        <w:tc>
          <w:tcPr>
            <w:tcW w:w="6204" w:type="dxa"/>
          </w:tcPr>
          <w:p w:rsidR="002460FD" w:rsidRPr="00510CE6" w:rsidRDefault="002460FD" w:rsidP="0030402A">
            <w:pPr>
              <w:pStyle w:val="p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338C">
              <w:rPr>
                <w:rFonts w:ascii="Arial" w:hAnsi="Arial" w:cs="Arial"/>
                <w:b/>
                <w:sz w:val="24"/>
                <w:szCs w:val="24"/>
                <w:lang w:val="en-US"/>
              </w:rPr>
              <w:t>Organ preservation: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510CE6">
              <w:rPr>
                <w:rFonts w:ascii="Arial" w:hAnsi="Arial" w:cs="Arial"/>
                <w:sz w:val="24"/>
                <w:szCs w:val="24"/>
                <w:lang w:val="en-US"/>
              </w:rPr>
              <w:t>For selected patients with extensive T3 or large T4a lesions and/or poor pretreatment laryngeal function, better survival rates and quality of life may be achieved with total laryngectomy rather than with organ-preservation approaches and 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y be the preferred approach</w:t>
            </w:r>
          </w:p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hAnsi="Arial" w:cs="Arial"/>
                <w:b/>
                <w:sz w:val="24"/>
                <w:szCs w:val="24"/>
                <w:lang w:val="en-US"/>
              </w:rPr>
              <w:t>HPV-related OPC early disease: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Minimally invasive surgery (TORS or TLM) or IMRT monotherapies are both validate techniques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hAnsi="Arial" w:cs="Arial"/>
                <w:b/>
                <w:sz w:val="24"/>
                <w:szCs w:val="24"/>
                <w:lang w:val="en-US"/>
              </w:rPr>
              <w:t>HPV-related OPC locally-advanced disease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:  </w:t>
            </w:r>
            <w:r w:rsidRPr="00FD66DB">
              <w:rPr>
                <w:rFonts w:ascii="Arial" w:hAnsi="Arial" w:cs="Arial"/>
                <w:sz w:val="24"/>
                <w:szCs w:val="24"/>
                <w:lang w:val="en-US"/>
              </w:rPr>
              <w:t>cisplatin (100 mg/m2 every 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D66DB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eeks</w:t>
            </w:r>
            <w:r w:rsidRPr="00FD66DB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in combination with </w:t>
            </w:r>
            <w:r w:rsidRPr="00FD66DB">
              <w:rPr>
                <w:rFonts w:ascii="Arial" w:hAnsi="Arial" w:cs="Arial"/>
                <w:sz w:val="24"/>
                <w:szCs w:val="24"/>
                <w:lang w:val="en-US"/>
              </w:rPr>
              <w:t>RT (</w:t>
            </w:r>
            <w:r w:rsidRPr="00250027">
              <w:rPr>
                <w:rFonts w:ascii="Arial" w:hAnsi="Arial" w:cs="Arial"/>
                <w:sz w:val="24"/>
                <w:szCs w:val="24"/>
                <w:lang w:val="en-US"/>
              </w:rPr>
              <w:t>70 Gy in 35 fractions</w:t>
            </w:r>
            <w:r w:rsidRPr="00FD66DB">
              <w:rPr>
                <w:rFonts w:ascii="Arial" w:hAnsi="Arial" w:cs="Arial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eastAsia="zh-CN"/>
              </w:rPr>
              <w:t>HPV-related OPC R/M disease:</w:t>
            </w: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 xml:space="preserve"> </w:t>
            </w:r>
            <w:r w:rsidRPr="003B2B83">
              <w:rPr>
                <w:rFonts w:ascii="Arial" w:hAnsi="Arial" w:cs="Arial"/>
                <w:sz w:val="24"/>
                <w:szCs w:val="24"/>
                <w:lang w:val="en-US"/>
              </w:rPr>
              <w:t xml:space="preserve">clinical management does not differ from R/M HPV-negative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HNSCC</w:t>
            </w:r>
            <w:r w:rsidRPr="003B2B83">
              <w:rPr>
                <w:rFonts w:ascii="Arial" w:hAnsi="Arial" w:cs="Arial"/>
                <w:sz w:val="24"/>
                <w:szCs w:val="24"/>
                <w:lang w:val="en-US"/>
              </w:rPr>
              <w:t>, except for patients included on specific clinical trials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val="fr-FR" w:eastAsia="zh-CN"/>
              </w:rPr>
              <w:t>Recurrent/metastatic disease</w:t>
            </w:r>
            <w:r>
              <w:rPr>
                <w:rFonts w:ascii="Arial" w:eastAsiaTheme="minorEastAsia" w:hAnsi="Arial" w:cs="Arial"/>
                <w:sz w:val="24"/>
                <w:szCs w:val="24"/>
                <w:lang w:val="fr-FR" w:eastAsia="zh-CN"/>
              </w:rPr>
              <w:t xml:space="preserve"> with progression &lt; 6 months: 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fr-FR" w:eastAsia="zh-CN"/>
              </w:rPr>
              <w:t>N</w:t>
            </w:r>
            <w:r>
              <w:rPr>
                <w:rFonts w:ascii="Arial" w:eastAsiaTheme="minorEastAsia" w:hAnsi="Arial" w:cs="Arial"/>
                <w:sz w:val="24"/>
                <w:szCs w:val="24"/>
                <w:lang w:val="fr-FR" w:eastAsia="zh-CN"/>
              </w:rPr>
              <w:t>ivolumab or ERBITAX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 or II,B</w:t>
            </w:r>
          </w:p>
        </w:tc>
      </w:tr>
      <w:tr w:rsidR="002460FD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val="fr-FR" w:eastAsia="zh-CN"/>
              </w:rPr>
              <w:t>Recurrent/metastatic disease</w:t>
            </w:r>
            <w:r>
              <w:rPr>
                <w:rFonts w:ascii="Arial" w:eastAsiaTheme="minorEastAsia" w:hAnsi="Arial" w:cs="Arial"/>
                <w:sz w:val="24"/>
                <w:szCs w:val="24"/>
                <w:lang w:val="fr-FR" w:eastAsia="zh-CN"/>
              </w:rPr>
              <w:t xml:space="preserve"> with progression &gt; 6 months and 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 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ECOG 0-1. CPS </w:t>
            </w:r>
            <w:r w:rsidRPr="00D575D7">
              <w:rPr>
                <w:rFonts w:eastAsiaTheme="minorEastAsia"/>
                <w:sz w:val="24"/>
                <w:szCs w:val="24"/>
                <w:lang w:eastAsia="zh-CN"/>
              </w:rPr>
              <w:sym w:font="Symbol" w:char="F0B3"/>
            </w:r>
            <w:r w:rsidRPr="00FE7DD5">
              <w:rPr>
                <w:rFonts w:ascii="Arial" w:eastAsiaTheme="minorEastAsia" w:hAnsi="Arial" w:cs="Arial"/>
                <w:bCs/>
                <w:sz w:val="24"/>
                <w:szCs w:val="24"/>
                <w:lang w:val="en-US" w:eastAsia="zh-CN"/>
              </w:rPr>
              <w:t xml:space="preserve"> 20: 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Pembrolizumab alone 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or in combination with PF.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 CPS 1-19: Pembrolizumab 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in combination with PF 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and  CPS &lt; 1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: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 EXTREME. 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I,A</w:t>
            </w:r>
          </w:p>
        </w:tc>
      </w:tr>
      <w:tr w:rsidR="002460FD" w:rsidRPr="009052A4" w:rsidTr="002460FD">
        <w:tc>
          <w:tcPr>
            <w:tcW w:w="6204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E2338C">
              <w:rPr>
                <w:rFonts w:ascii="Arial" w:eastAsiaTheme="minorEastAsia" w:hAnsi="Arial" w:cs="Arial"/>
                <w:b/>
                <w:sz w:val="24"/>
                <w:szCs w:val="24"/>
                <w:lang w:val="fr-FR" w:eastAsia="zh-CN"/>
              </w:rPr>
              <w:t xml:space="preserve">Recurrent/metastatic disease </w:t>
            </w:r>
            <w:r>
              <w:rPr>
                <w:rFonts w:ascii="Arial" w:eastAsiaTheme="minorEastAsia" w:hAnsi="Arial" w:cs="Arial"/>
                <w:sz w:val="24"/>
                <w:szCs w:val="24"/>
                <w:lang w:val="fr-FR" w:eastAsia="zh-CN"/>
              </w:rPr>
              <w:t>with progression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and 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ECOG 2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:</w:t>
            </w:r>
            <w:r w:rsidRPr="00FE7DD5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 </w:t>
            </w:r>
            <w:r w:rsidRPr="00D575D7"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>Best supportive care</w:t>
            </w:r>
            <w:r>
              <w:rPr>
                <w:rFonts w:ascii="Arial" w:eastAsiaTheme="minorEastAsia" w:hAnsi="Arial" w:cs="Arial"/>
                <w:sz w:val="24"/>
                <w:szCs w:val="24"/>
                <w:lang w:val="en-US" w:eastAsia="zh-CN"/>
              </w:rPr>
              <w:t xml:space="preserve"> or ERBITAX.</w:t>
            </w:r>
          </w:p>
        </w:tc>
        <w:tc>
          <w:tcPr>
            <w:tcW w:w="2290" w:type="dxa"/>
          </w:tcPr>
          <w:p w:rsidR="002460FD" w:rsidRDefault="002460FD" w:rsidP="0030402A">
            <w:pPr>
              <w:jc w:val="both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II,B</w:t>
            </w:r>
          </w:p>
        </w:tc>
      </w:tr>
    </w:tbl>
    <w:p w:rsidR="002460FD" w:rsidRDefault="002460FD" w:rsidP="002460F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B24EE">
        <w:rPr>
          <w:rFonts w:ascii="Arial" w:hAnsi="Arial" w:cs="Arial"/>
          <w:sz w:val="24"/>
          <w:szCs w:val="24"/>
        </w:rPr>
        <w:t>* Studies reported as abstracts in congresses pending journal publication at the time of writing this guide.</w:t>
      </w:r>
    </w:p>
    <w:p w:rsidR="002460FD" w:rsidRDefault="002460FD" w:rsidP="002460F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2460FD" w:rsidSect="00925FE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FD"/>
    <w:rsid w:val="000164C1"/>
    <w:rsid w:val="001D721C"/>
    <w:rsid w:val="002460FD"/>
    <w:rsid w:val="00434E4C"/>
    <w:rsid w:val="005617D8"/>
    <w:rsid w:val="007D4402"/>
    <w:rsid w:val="00811E39"/>
    <w:rsid w:val="008A25E2"/>
    <w:rsid w:val="00AC53A7"/>
    <w:rsid w:val="00AE6A3D"/>
    <w:rsid w:val="00B318F7"/>
    <w:rsid w:val="00E532A6"/>
    <w:rsid w:val="00E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9DA2E-19B1-4739-A31E-EAF7A0B5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0FD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2460FD"/>
    <w:pPr>
      <w:spacing w:after="0" w:line="240" w:lineRule="auto"/>
    </w:pPr>
    <w:rPr>
      <w:rFonts w:ascii="Times" w:hAnsi="Times" w:cs="Times New Roman"/>
      <w:sz w:val="14"/>
      <w:szCs w:val="14"/>
      <w:lang w:val="es-ES_tradnl" w:eastAsia="es-ES_tradnl"/>
    </w:rPr>
  </w:style>
  <w:style w:type="character" w:customStyle="1" w:styleId="s1">
    <w:name w:val="s1"/>
    <w:basedOn w:val="DefaultParagraphFont"/>
    <w:rsid w:val="002460FD"/>
    <w:rPr>
      <w:rFonts w:ascii="Helvetica" w:hAnsi="Helvetica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G.</dc:creator>
  <cp:keywords/>
  <dc:description/>
  <cp:lastModifiedBy>Dhanalakshmi G.</cp:lastModifiedBy>
  <cp:revision>1</cp:revision>
  <dcterms:created xsi:type="dcterms:W3CDTF">2020-12-03T05:38:00Z</dcterms:created>
  <dcterms:modified xsi:type="dcterms:W3CDTF">2020-12-03T05:39:00Z</dcterms:modified>
</cp:coreProperties>
</file>