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AA9ED3" w14:textId="33B1C90D" w:rsidR="00AF6025" w:rsidRPr="00833DCC" w:rsidRDefault="00AF6025" w:rsidP="004006B1">
      <w:pPr>
        <w:jc w:val="both"/>
        <w:rPr>
          <w:rFonts w:ascii="Times New Roman" w:hAnsi="Times New Roman" w:cs="Times New Roman"/>
          <w:color w:val="000000" w:themeColor="text1"/>
          <w:lang w:val="en-GB"/>
        </w:rPr>
      </w:pPr>
      <w:bookmarkStart w:id="0" w:name="_GoBack"/>
      <w:r w:rsidRPr="00833DCC">
        <w:rPr>
          <w:rFonts w:ascii="Times New Roman" w:hAnsi="Times New Roman" w:cs="Times New Roman"/>
          <w:color w:val="000000" w:themeColor="text1"/>
          <w:lang w:val="en-GB"/>
        </w:rPr>
        <w:t>SEOM guidelines recommendations for the management of endometrial cancer</w:t>
      </w:r>
    </w:p>
    <w:p w14:paraId="467AC5DF" w14:textId="6F05E728" w:rsidR="00AF6025" w:rsidRPr="00833DCC" w:rsidRDefault="00AF6025" w:rsidP="004006B1">
      <w:pPr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p w14:paraId="5081DFFE" w14:textId="20D30DFE" w:rsidR="00AF6025" w:rsidRPr="00833DCC" w:rsidRDefault="00AF6025" w:rsidP="004006B1">
      <w:p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833DCC">
        <w:rPr>
          <w:rFonts w:ascii="Times New Roman" w:hAnsi="Times New Roman" w:cs="Times New Roman"/>
          <w:color w:val="000000" w:themeColor="text1"/>
          <w:lang w:val="en-GB"/>
        </w:rPr>
        <w:t>Diagnosis</w:t>
      </w:r>
    </w:p>
    <w:p w14:paraId="5BCCA030" w14:textId="1268E017" w:rsidR="00AF6025" w:rsidRPr="00833DCC" w:rsidRDefault="00AF6025" w:rsidP="004006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 w:rsidRPr="00833DCC">
        <w:rPr>
          <w:rFonts w:ascii="Times New Roman" w:hAnsi="Times New Roman" w:cs="Times New Roman"/>
          <w:color w:val="000000" w:themeColor="text1"/>
          <w:lang w:val="en-GB"/>
        </w:rPr>
        <w:t>TVUS, with 3mm cutoff level for postmenopausal women, and endometrial biopsy is the standard approach [II,B]</w:t>
      </w:r>
    </w:p>
    <w:p w14:paraId="202E0631" w14:textId="77777777" w:rsidR="00AF6025" w:rsidRPr="00833DCC" w:rsidRDefault="00AF6025" w:rsidP="004006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</w:pPr>
      <w:r w:rsidRPr="00833DCC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At least an abdomino-pelvic computerized tomography scan (CTscan) must be performed in order to rule out </w:t>
      </w:r>
      <w:r w:rsidRPr="00833DCC">
        <w:rPr>
          <w:rFonts w:ascii="Times New Roman" w:hAnsi="Times New Roman" w:cs="Times New Roman"/>
          <w:color w:val="000000" w:themeColor="text1"/>
          <w:lang w:val="en-GB"/>
        </w:rPr>
        <w:t xml:space="preserve">lymph node (LN) </w:t>
      </w:r>
      <w:r w:rsidRPr="00833DCC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or distant metastasis. </w:t>
      </w:r>
      <w:r w:rsidRPr="00833DCC">
        <w:rPr>
          <w:rFonts w:ascii="Times New Roman" w:hAnsi="Times New Roman" w:cs="Times New Roman"/>
          <w:color w:val="000000" w:themeColor="text1"/>
          <w:lang w:val="en-US"/>
        </w:rPr>
        <w:t>Positron emission tomography/CTscan can also be employed</w:t>
      </w:r>
      <w:r w:rsidRPr="00833DCC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. Thorax CTscan should also be performed as part of the initial assessment to exclude lung metastases in high-risk cases. The role of serum tumor markers is unclear </w:t>
      </w:r>
      <w:r w:rsidRPr="00833DCC">
        <w:rPr>
          <w:rFonts w:ascii="Times New Roman" w:hAnsi="Times New Roman" w:cs="Times New Roman"/>
          <w:color w:val="000000" w:themeColor="text1"/>
          <w:lang w:val="en-US"/>
        </w:rPr>
        <w:t>[IV, B]</w:t>
      </w:r>
      <w:r w:rsidRPr="00833DCC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. </w:t>
      </w:r>
    </w:p>
    <w:p w14:paraId="42683820" w14:textId="64FC7CB1" w:rsidR="00AF6025" w:rsidRPr="00833DCC" w:rsidRDefault="00AF6025" w:rsidP="004006B1">
      <w:pPr>
        <w:jc w:val="both"/>
        <w:rPr>
          <w:rFonts w:ascii="Times New Roman" w:hAnsi="Times New Roman" w:cs="Times New Roman"/>
          <w:color w:val="000000" w:themeColor="text1"/>
          <w:lang w:val="es-ES"/>
        </w:rPr>
      </w:pPr>
      <w:r w:rsidRPr="00833DCC">
        <w:rPr>
          <w:rFonts w:ascii="Times New Roman" w:hAnsi="Times New Roman" w:cs="Times New Roman"/>
          <w:color w:val="000000" w:themeColor="text1"/>
          <w:lang w:val="es-ES"/>
        </w:rPr>
        <w:t>Hereditary endometrial cancer:</w:t>
      </w:r>
    </w:p>
    <w:p w14:paraId="45487668" w14:textId="592EC145" w:rsidR="00AF6025" w:rsidRPr="00833DCC" w:rsidRDefault="00AF6025" w:rsidP="004006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833DCC">
        <w:rPr>
          <w:rFonts w:ascii="Times New Roman" w:eastAsia="Times New Roman" w:hAnsi="Times New Roman" w:cs="Times New Roman"/>
          <w:color w:val="000000" w:themeColor="text1"/>
          <w:lang w:val="en-GB" w:eastAsia="es-ES_tradnl"/>
        </w:rPr>
        <w:t>Screening for Lynch Syndrome is currently recommended for all EC cases with no limitations regarding the age or the histology type [IIA].</w:t>
      </w:r>
    </w:p>
    <w:p w14:paraId="4252FE84" w14:textId="2ECAE0DE" w:rsidR="00AF6025" w:rsidRPr="00833DCC" w:rsidRDefault="00AF6025" w:rsidP="004006B1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lang w:val="en-GB" w:eastAsia="es-ES_tradnl"/>
        </w:rPr>
      </w:pPr>
      <w:r w:rsidRPr="00833DCC">
        <w:rPr>
          <w:rFonts w:ascii="Times New Roman" w:eastAsia="Times New Roman" w:hAnsi="Times New Roman" w:cs="Times New Roman"/>
          <w:color w:val="000000" w:themeColor="text1"/>
          <w:lang w:val="en-GB" w:eastAsia="es-ES_tradnl"/>
        </w:rPr>
        <w:t>Once Lynch Syndrome is diagnosed, direct mutation analysis of relatives to identify carriers and offer women prophylactic salpingo-ophorectomy and hysterectomy once childbearing is completed is recommended [IV, B].</w:t>
      </w:r>
    </w:p>
    <w:p w14:paraId="71B94D01" w14:textId="4A28F85C" w:rsidR="00AF6025" w:rsidRPr="00833DCC" w:rsidRDefault="00AF6025" w:rsidP="004006B1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833DCC">
        <w:rPr>
          <w:rFonts w:ascii="Times New Roman" w:hAnsi="Times New Roman" w:cs="Times New Roman"/>
          <w:color w:val="000000" w:themeColor="text1"/>
          <w:lang w:val="en-US"/>
        </w:rPr>
        <w:t>Screening:</w:t>
      </w:r>
    </w:p>
    <w:p w14:paraId="20CCAE27" w14:textId="54711009" w:rsidR="00AF6025" w:rsidRPr="00833DCC" w:rsidRDefault="00AF6025" w:rsidP="004006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833DCC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In women with average or high-risk for endometrial cancer without abnormal bleeding, routine screening is not recommended </w:t>
      </w:r>
      <w:r w:rsidRPr="00833DCC">
        <w:rPr>
          <w:rFonts w:ascii="Times New Roman" w:hAnsi="Times New Roman" w:cs="Times New Roman"/>
          <w:color w:val="000000" w:themeColor="text1"/>
          <w:lang w:val="en-US"/>
        </w:rPr>
        <w:t>[II, A].</w:t>
      </w:r>
    </w:p>
    <w:p w14:paraId="10810570" w14:textId="7A74476A" w:rsidR="00AF6025" w:rsidRPr="00833DCC" w:rsidRDefault="00AF6025" w:rsidP="004006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833DCC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For women with Lynch Syndrome, annual endometrial sampling, </w:t>
      </w:r>
      <w:r w:rsidRPr="00833DCC">
        <w:rPr>
          <w:rFonts w:ascii="Times New Roman" w:hAnsi="Times New Roman" w:cs="Times New Roman"/>
          <w:color w:val="000000" w:themeColor="text1"/>
          <w:lang w:val="en-US"/>
        </w:rPr>
        <w:t>TVUS and CA125</w:t>
      </w:r>
      <w:r w:rsidRPr="00833DCC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beginning at age 30 to 35 or 5 to 10 years prior to the earliest age of first diagnosis of Lynch-associated cancer of any kind in the family is recommended </w:t>
      </w:r>
      <w:r w:rsidRPr="00833DCC">
        <w:rPr>
          <w:rFonts w:ascii="Times New Roman" w:hAnsi="Times New Roman" w:cs="Times New Roman"/>
          <w:color w:val="000000" w:themeColor="text1"/>
          <w:lang w:val="en-US"/>
        </w:rPr>
        <w:t>[IV, B].</w:t>
      </w:r>
    </w:p>
    <w:p w14:paraId="59E4B8E0" w14:textId="541E4E15" w:rsidR="00AF6025" w:rsidRPr="00833DCC" w:rsidRDefault="00AF6025" w:rsidP="004006B1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833DCC">
        <w:rPr>
          <w:rFonts w:ascii="Times New Roman" w:hAnsi="Times New Roman" w:cs="Times New Roman"/>
          <w:color w:val="000000" w:themeColor="text1"/>
          <w:lang w:val="en-US"/>
        </w:rPr>
        <w:t>Staging and risk assessement:</w:t>
      </w:r>
    </w:p>
    <w:p w14:paraId="29A6679A" w14:textId="12F5AD72" w:rsidR="00AF6025" w:rsidRPr="00833DCC" w:rsidRDefault="00AF6025" w:rsidP="004006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833DCC">
        <w:rPr>
          <w:rFonts w:ascii="Times New Roman" w:hAnsi="Times New Roman" w:cs="Times New Roman"/>
          <w:color w:val="000000" w:themeColor="text1"/>
          <w:lang w:val="en-GB"/>
        </w:rPr>
        <w:t>EC is surgically staged. The staging is based on FIGO 2009 [IV, A]</w:t>
      </w:r>
    </w:p>
    <w:p w14:paraId="760BA7E2" w14:textId="73694519" w:rsidR="00AF6025" w:rsidRPr="00833DCC" w:rsidRDefault="00AF6025" w:rsidP="004006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833DCC">
        <w:rPr>
          <w:rFonts w:ascii="Times New Roman" w:hAnsi="Times New Roman" w:cs="Times New Roman"/>
          <w:color w:val="000000" w:themeColor="text1"/>
          <w:lang w:val="en-US"/>
        </w:rPr>
        <w:t>It is highly recommended to categorize tumors according to molecular classification [III,A]</w:t>
      </w:r>
    </w:p>
    <w:p w14:paraId="288CC0A0" w14:textId="06385BE1" w:rsidR="00AF6025" w:rsidRPr="00833DCC" w:rsidRDefault="00AF6025" w:rsidP="004006B1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833DCC">
        <w:rPr>
          <w:rFonts w:ascii="Times New Roman" w:hAnsi="Times New Roman" w:cs="Times New Roman"/>
          <w:color w:val="000000" w:themeColor="text1"/>
          <w:lang w:val="en-US"/>
        </w:rPr>
        <w:t>Surgical treatment:</w:t>
      </w:r>
    </w:p>
    <w:p w14:paraId="487627CB" w14:textId="77777777" w:rsidR="00B85394" w:rsidRPr="00833DCC" w:rsidRDefault="00B85394" w:rsidP="004006B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833DCC">
        <w:rPr>
          <w:rFonts w:ascii="Times New Roman" w:hAnsi="Times New Roman" w:cs="Times New Roman"/>
          <w:color w:val="000000" w:themeColor="text1"/>
          <w:lang w:val="en-GB"/>
        </w:rPr>
        <w:t xml:space="preserve">Standard surgical treatment in early stages EC is total hysterectomy and bilateral salpingo-oophorectomy without vaginal cuff resection with a minimally invasive surgery approach [I,A].  </w:t>
      </w:r>
    </w:p>
    <w:p w14:paraId="77E17D05" w14:textId="77777777" w:rsidR="00B85394" w:rsidRPr="00833DCC" w:rsidRDefault="00B85394" w:rsidP="004006B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833DCC">
        <w:rPr>
          <w:rFonts w:ascii="Times New Roman" w:hAnsi="Times New Roman" w:cs="Times New Roman"/>
          <w:color w:val="000000" w:themeColor="text1"/>
          <w:lang w:val="en-GB"/>
        </w:rPr>
        <w:t xml:space="preserve">In low-risk EC, systematic LND is not recommended [II, A]. In intermediate and high-risk group, LND is recommended to guide surgical staging and adjuvant therapy [II,C]. SNLB can be considered for staging purposes [III,A]. </w:t>
      </w:r>
    </w:p>
    <w:p w14:paraId="208626B3" w14:textId="77777777" w:rsidR="00B85394" w:rsidRPr="00833DCC" w:rsidRDefault="00B85394" w:rsidP="004006B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833DCC">
        <w:rPr>
          <w:rFonts w:ascii="Times New Roman" w:hAnsi="Times New Roman" w:cs="Times New Roman"/>
          <w:color w:val="000000" w:themeColor="text1"/>
          <w:lang w:val="en-GB"/>
        </w:rPr>
        <w:t>Omentectomy should be performed in serous, carcinosarcoma, and undifferentiated endometrial carcinoma [IV,B].</w:t>
      </w:r>
    </w:p>
    <w:p w14:paraId="1D693594" w14:textId="52657A25" w:rsidR="00AF6025" w:rsidRPr="00833DCC" w:rsidRDefault="00B85394" w:rsidP="004006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833DCC">
        <w:rPr>
          <w:rFonts w:ascii="Times New Roman" w:hAnsi="Times New Roman" w:cs="Times New Roman"/>
          <w:color w:val="000000" w:themeColor="text1"/>
          <w:lang w:val="en-GB"/>
        </w:rPr>
        <w:t>Surgical tumour debulking with complete macroscopic disease resection should be considered only in patients with good performance status and acceptable morbidity [III,B].</w:t>
      </w:r>
    </w:p>
    <w:p w14:paraId="1A0BB689" w14:textId="19362A8E" w:rsidR="00B85394" w:rsidRPr="00833DCC" w:rsidRDefault="00B85394" w:rsidP="004006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833DCC">
        <w:rPr>
          <w:rFonts w:ascii="Times New Roman" w:hAnsi="Times New Roman" w:cs="Times New Roman"/>
          <w:color w:val="000000" w:themeColor="text1"/>
          <w:lang w:val="en-GB"/>
        </w:rPr>
        <w:t>Palliative surgery could be considered in patients with good performance status and metastatic disease [IV,A].</w:t>
      </w:r>
    </w:p>
    <w:p w14:paraId="4E0B4335" w14:textId="70D1025B" w:rsidR="00B85394" w:rsidRPr="00833DCC" w:rsidRDefault="00B85394" w:rsidP="004006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833DCC">
        <w:rPr>
          <w:rFonts w:ascii="Times New Roman" w:hAnsi="Times New Roman" w:cs="Times New Roman"/>
          <w:color w:val="000000" w:themeColor="text1"/>
          <w:lang w:val="en-GB"/>
        </w:rPr>
        <w:t>Fertility sparing surgery should only be offered to patients with low grade EEC without myometrial invasion [V,A].</w:t>
      </w:r>
    </w:p>
    <w:p w14:paraId="1D545146" w14:textId="1DFF9CE5" w:rsidR="00B85394" w:rsidRPr="00833DCC" w:rsidRDefault="00B85394" w:rsidP="004006B1">
      <w:p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833DCC">
        <w:rPr>
          <w:rFonts w:ascii="Times New Roman" w:hAnsi="Times New Roman" w:cs="Times New Roman"/>
          <w:color w:val="000000" w:themeColor="text1"/>
          <w:lang w:val="en-GB"/>
        </w:rPr>
        <w:t>Adjunvant treatment:</w:t>
      </w:r>
    </w:p>
    <w:p w14:paraId="65F3B42F" w14:textId="24B6595B" w:rsidR="00B85394" w:rsidRPr="00833DCC" w:rsidRDefault="00B85394" w:rsidP="004006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US" w:eastAsia="es-ES_tradnl"/>
        </w:rPr>
      </w:pPr>
      <w:r w:rsidRPr="00833DCC">
        <w:rPr>
          <w:rFonts w:ascii="Times New Roman" w:hAnsi="Times New Roman" w:cs="Times New Roman"/>
          <w:color w:val="000000" w:themeColor="text1"/>
          <w:lang w:val="en-US" w:eastAsia="es-ES_tradnl"/>
        </w:rPr>
        <w:t>Low-risk patients do not require adjuvant treatment [I,A]</w:t>
      </w:r>
    </w:p>
    <w:p w14:paraId="515462FD" w14:textId="6EF20D4B" w:rsidR="00B85394" w:rsidRPr="00833DCC" w:rsidRDefault="00B85394" w:rsidP="004006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US" w:eastAsia="es-ES_tradnl"/>
        </w:rPr>
      </w:pPr>
      <w:r w:rsidRPr="00833DCC">
        <w:rPr>
          <w:rFonts w:ascii="Times New Roman" w:hAnsi="Times New Roman" w:cs="Times New Roman"/>
          <w:color w:val="000000" w:themeColor="text1"/>
          <w:lang w:val="en-US" w:eastAsia="es-ES_tradnl"/>
        </w:rPr>
        <w:t>VBT is recommended for intermediate-risk patients [I,A]</w:t>
      </w:r>
    </w:p>
    <w:p w14:paraId="2D665DAD" w14:textId="2C062109" w:rsidR="00B85394" w:rsidRPr="00833DCC" w:rsidRDefault="00B85394" w:rsidP="004006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US" w:eastAsia="es-ES_tradnl"/>
        </w:rPr>
      </w:pPr>
      <w:r w:rsidRPr="00833DCC">
        <w:rPr>
          <w:rFonts w:ascii="Times New Roman" w:hAnsi="Times New Roman" w:cs="Times New Roman"/>
          <w:color w:val="000000" w:themeColor="text1"/>
          <w:lang w:val="en-US" w:eastAsia="es-ES_tradnl"/>
        </w:rPr>
        <w:t xml:space="preserve">In the intermediate–high-intermediate risk group, VBT is recommended in patients with surgical staging and node negative [III,B]. In patients with no surgical nodal staging, PRT and VBT is recommended [III,B]. </w:t>
      </w:r>
      <w:r w:rsidRPr="00833DCC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Although adjuvant CT in intermediate high risk group is not recommended, it </w:t>
      </w:r>
      <w:r w:rsidRPr="00833DCC">
        <w:rPr>
          <w:rFonts w:ascii="Times New Roman" w:eastAsia="Times New Roman" w:hAnsi="Times New Roman" w:cs="Times New Roman"/>
          <w:i/>
          <w:iCs/>
          <w:color w:val="000000" w:themeColor="text1"/>
          <w:lang w:val="en-US" w:eastAsia="es-ES_tradnl"/>
        </w:rPr>
        <w:t xml:space="preserve">can be considered in selected cases, especially for high grade and/or substantial LVSI </w:t>
      </w:r>
      <w:r w:rsidRPr="00833DCC">
        <w:rPr>
          <w:rFonts w:ascii="Times New Roman" w:hAnsi="Times New Roman" w:cs="Times New Roman"/>
          <w:color w:val="000000" w:themeColor="text1"/>
          <w:lang w:val="en-US" w:eastAsia="es-ES_tradnl"/>
        </w:rPr>
        <w:t xml:space="preserve">[III, B]. </w:t>
      </w:r>
    </w:p>
    <w:p w14:paraId="4B24808D" w14:textId="7C071D0E" w:rsidR="00B85394" w:rsidRPr="00833DCC" w:rsidRDefault="00B85394" w:rsidP="004006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US" w:eastAsia="es-ES_tradnl"/>
        </w:rPr>
      </w:pPr>
      <w:r w:rsidRPr="00833DCC">
        <w:rPr>
          <w:rFonts w:ascii="Times New Roman" w:hAnsi="Times New Roman" w:cs="Times New Roman"/>
          <w:color w:val="000000" w:themeColor="text1"/>
          <w:lang w:val="en-US" w:eastAsia="es-ES_tradnl"/>
        </w:rPr>
        <w:t>In high-risk disease:</w:t>
      </w:r>
    </w:p>
    <w:p w14:paraId="42B770D3" w14:textId="77777777" w:rsidR="00B85394" w:rsidRPr="00833DCC" w:rsidRDefault="00B85394" w:rsidP="004006B1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US" w:eastAsia="es-ES_tradnl"/>
        </w:rPr>
      </w:pPr>
      <w:r w:rsidRPr="00833DCC">
        <w:rPr>
          <w:rFonts w:ascii="Times New Roman" w:eastAsia="Times New Roman" w:hAnsi="Times New Roman" w:cs="Times New Roman"/>
          <w:color w:val="000000" w:themeColor="text1"/>
          <w:lang w:val="en-US" w:eastAsia="es-ES_tradnl"/>
        </w:rPr>
        <w:t>Adjuvant CT with EBRT (concurrent or sequential) is recommended [I,A]. Alternative option could be CT alone.</w:t>
      </w:r>
      <w:r w:rsidRPr="00833DCC">
        <w:rPr>
          <w:rFonts w:ascii="Times New Roman" w:hAnsi="Times New Roman" w:cs="Times New Roman"/>
          <w:color w:val="000000" w:themeColor="text1"/>
          <w:lang w:val="en-US" w:eastAsia="es-ES_tradnl"/>
        </w:rPr>
        <w:t xml:space="preserve"> [I,B]</w:t>
      </w:r>
    </w:p>
    <w:p w14:paraId="754BA463" w14:textId="77777777" w:rsidR="00B85394" w:rsidRPr="00833DCC" w:rsidRDefault="00B85394" w:rsidP="004006B1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US" w:eastAsia="es-ES_tradnl"/>
        </w:rPr>
      </w:pPr>
      <w:r w:rsidRPr="00833DCC">
        <w:rPr>
          <w:rFonts w:ascii="Times New Roman" w:hAnsi="Times New Roman" w:cs="Times New Roman"/>
          <w:color w:val="000000" w:themeColor="text1"/>
          <w:lang w:val="en-US" w:eastAsia="es-ES_tradnl"/>
        </w:rPr>
        <w:t xml:space="preserve">p53abn identifies a high risk-group regardless of stage (except stage IA), histology and grade [IV,B]. </w:t>
      </w:r>
    </w:p>
    <w:p w14:paraId="71FE4113" w14:textId="23697292" w:rsidR="00B85394" w:rsidRPr="00833DCC" w:rsidRDefault="00B85394" w:rsidP="004006B1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US" w:eastAsia="es-ES_tradnl"/>
        </w:rPr>
      </w:pPr>
      <w:r w:rsidRPr="00833DCC">
        <w:rPr>
          <w:rFonts w:ascii="Times New Roman" w:hAnsi="Times New Roman" w:cs="Times New Roman"/>
          <w:i/>
          <w:iCs/>
          <w:color w:val="000000" w:themeColor="text1"/>
          <w:lang w:val="en-US" w:eastAsia="es-ES_tradnl"/>
        </w:rPr>
        <w:t>POLE</w:t>
      </w:r>
      <w:r w:rsidRPr="00833DCC">
        <w:rPr>
          <w:rFonts w:ascii="Times New Roman" w:hAnsi="Times New Roman" w:cs="Times New Roman"/>
          <w:color w:val="000000" w:themeColor="text1"/>
          <w:lang w:val="en-US" w:eastAsia="es-ES_tradnl"/>
        </w:rPr>
        <w:t>mut is associated with excellent prognosis and adjuvant therapy might be avoided in stage I-II disease [IV,B].</w:t>
      </w:r>
    </w:p>
    <w:p w14:paraId="1F5CFE24" w14:textId="6A6DAF17" w:rsidR="006E42FA" w:rsidRPr="00833DCC" w:rsidRDefault="006E42FA" w:rsidP="004006B1">
      <w:pPr>
        <w:jc w:val="both"/>
        <w:rPr>
          <w:rFonts w:ascii="Times New Roman" w:hAnsi="Times New Roman" w:cs="Times New Roman"/>
          <w:color w:val="000000" w:themeColor="text1"/>
          <w:lang w:val="en-US" w:eastAsia="es-ES_tradnl"/>
        </w:rPr>
      </w:pPr>
      <w:r w:rsidRPr="00833DCC">
        <w:rPr>
          <w:rFonts w:ascii="Times New Roman" w:hAnsi="Times New Roman" w:cs="Times New Roman"/>
          <w:color w:val="000000" w:themeColor="text1"/>
          <w:lang w:val="en-US" w:eastAsia="es-ES_tradnl"/>
        </w:rPr>
        <w:t>Metastatic or recurrent disease:</w:t>
      </w:r>
    </w:p>
    <w:p w14:paraId="203B4B38" w14:textId="77777777" w:rsidR="006E42FA" w:rsidRPr="00833DCC" w:rsidRDefault="006E42FA" w:rsidP="004006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833DCC">
        <w:rPr>
          <w:rFonts w:ascii="Times New Roman" w:hAnsi="Times New Roman" w:cs="Times New Roman"/>
          <w:color w:val="000000" w:themeColor="text1"/>
          <w:lang w:val="en-US"/>
        </w:rPr>
        <w:t xml:space="preserve">For pelvic isolated relapses or single metastatic sites, surgical resection, radiotherapy or ablative therapy should be considered [IV,A], as well as systemic therapy although its benefit is uncertain [IV,B]. </w:t>
      </w:r>
    </w:p>
    <w:p w14:paraId="0C23B762" w14:textId="6EE36B62" w:rsidR="006E42FA" w:rsidRPr="00833DCC" w:rsidRDefault="006E42FA" w:rsidP="004006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833DCC">
        <w:rPr>
          <w:rFonts w:ascii="Times New Roman" w:hAnsi="Times New Roman" w:cs="Times New Roman"/>
          <w:color w:val="000000" w:themeColor="text1"/>
          <w:lang w:val="en-US"/>
        </w:rPr>
        <w:t xml:space="preserve">Hormonal therapy could be an appropiated therapeutic alternative for patients with low grade, hormone-receptor positive, without rapid progressive metastatic disease [II,A]. The treatment of choice are progestogens (megestrol acetate 160 mg QD or medroxyprogesterone acetate 200 mg QD) or progestogens alternating with tamoxifen [III,A]. </w:t>
      </w:r>
    </w:p>
    <w:p w14:paraId="0814104D" w14:textId="77777777" w:rsidR="006E42FA" w:rsidRPr="00833DCC" w:rsidRDefault="006E42FA" w:rsidP="004006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US" w:eastAsia="es-ES_tradnl"/>
        </w:rPr>
      </w:pPr>
      <w:r w:rsidRPr="00833DCC">
        <w:rPr>
          <w:rFonts w:ascii="Times New Roman" w:hAnsi="Times New Roman" w:cs="Times New Roman"/>
          <w:color w:val="000000" w:themeColor="text1"/>
          <w:lang w:val="en-US" w:eastAsia="es-ES_tradnl"/>
        </w:rPr>
        <w:t xml:space="preserve">The standard chemotherapy treatment for advanced or recurrent EC is the combination of carboplatin-paclitaxel </w:t>
      </w:r>
      <w:r w:rsidRPr="00833DCC">
        <w:rPr>
          <w:rFonts w:ascii="Times New Roman" w:hAnsi="Times New Roman" w:cs="Times New Roman"/>
          <w:color w:val="000000" w:themeColor="text1"/>
          <w:lang w:val="en-US"/>
        </w:rPr>
        <w:t>[I, A]</w:t>
      </w:r>
      <w:r w:rsidRPr="00833DCC">
        <w:rPr>
          <w:rFonts w:ascii="Times New Roman" w:hAnsi="Times New Roman" w:cs="Times New Roman"/>
          <w:color w:val="000000" w:themeColor="text1"/>
          <w:lang w:val="en-US" w:eastAsia="es-ES_tradnl"/>
        </w:rPr>
        <w:t xml:space="preserve">. </w:t>
      </w:r>
    </w:p>
    <w:p w14:paraId="0CE2F84D" w14:textId="51DEDAF5" w:rsidR="006E42FA" w:rsidRPr="00833DCC" w:rsidRDefault="006E42FA" w:rsidP="004006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US" w:eastAsia="es-ES_tradnl"/>
        </w:rPr>
      </w:pPr>
      <w:r w:rsidRPr="00833DCC">
        <w:rPr>
          <w:rFonts w:ascii="Times New Roman" w:hAnsi="Times New Roman" w:cs="Times New Roman"/>
          <w:color w:val="000000" w:themeColor="text1"/>
          <w:lang w:val="en-US" w:eastAsia="es-ES_tradnl"/>
        </w:rPr>
        <w:t xml:space="preserve">For patients with late relapses (i.e. more than 6 months after last platinum), rechallenge with CT may be of benefit </w:t>
      </w:r>
      <w:r w:rsidRPr="00833DCC">
        <w:rPr>
          <w:rFonts w:ascii="Times New Roman" w:hAnsi="Times New Roman" w:cs="Times New Roman"/>
          <w:color w:val="000000" w:themeColor="text1"/>
          <w:lang w:val="en-US"/>
        </w:rPr>
        <w:t>[V,C]</w:t>
      </w:r>
      <w:r w:rsidRPr="00833DCC">
        <w:rPr>
          <w:rFonts w:ascii="Times New Roman" w:hAnsi="Times New Roman" w:cs="Times New Roman"/>
          <w:color w:val="000000" w:themeColor="text1"/>
          <w:lang w:val="en-US" w:eastAsia="es-ES_tradnl"/>
        </w:rPr>
        <w:t>.</w:t>
      </w:r>
    </w:p>
    <w:p w14:paraId="4CB6076D" w14:textId="77777777" w:rsidR="006E42FA" w:rsidRPr="00833DCC" w:rsidRDefault="006E42FA" w:rsidP="004006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US" w:eastAsia="es-ES"/>
        </w:rPr>
      </w:pPr>
      <w:r w:rsidRPr="00833DCC">
        <w:rPr>
          <w:rFonts w:ascii="Times New Roman" w:hAnsi="Times New Roman" w:cs="Times New Roman"/>
          <w:color w:val="000000" w:themeColor="text1"/>
          <w:lang w:val="en-US" w:eastAsia="es-ES"/>
        </w:rPr>
        <w:t xml:space="preserve">The combination of pembrolizumab and lenvatinib should be considered for second-line treatment of EC [I,A], particularly for MMR-proficient tumors, whereas Dostarlimab or pembrolizumab can be also considered for second-line therapy of MMR-D EC [II,B]. </w:t>
      </w:r>
    </w:p>
    <w:p w14:paraId="6D82C46A" w14:textId="25098CE0" w:rsidR="006E42FA" w:rsidRPr="00833DCC" w:rsidRDefault="006E42FA" w:rsidP="004006B1">
      <w:pPr>
        <w:jc w:val="both"/>
        <w:rPr>
          <w:rFonts w:ascii="Times New Roman" w:hAnsi="Times New Roman" w:cs="Times New Roman"/>
          <w:color w:val="000000" w:themeColor="text1"/>
          <w:lang w:val="en-US" w:eastAsia="es-ES"/>
        </w:rPr>
      </w:pPr>
      <w:r w:rsidRPr="00833DCC">
        <w:rPr>
          <w:rFonts w:ascii="Times New Roman" w:hAnsi="Times New Roman" w:cs="Times New Roman"/>
          <w:color w:val="000000" w:themeColor="text1"/>
          <w:lang w:val="en-US" w:eastAsia="es-ES"/>
        </w:rPr>
        <w:t>Follow up:</w:t>
      </w:r>
    </w:p>
    <w:p w14:paraId="78E2AF6A" w14:textId="46DF601E" w:rsidR="005C6D58" w:rsidRPr="00833DCC" w:rsidRDefault="005C6D58" w:rsidP="004006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US" w:eastAsia="es-ES"/>
        </w:rPr>
      </w:pPr>
      <w:r w:rsidRPr="00833DCC">
        <w:rPr>
          <w:rFonts w:ascii="Times New Roman" w:hAnsi="Times New Roman" w:cs="Times New Roman"/>
          <w:color w:val="000000" w:themeColor="text1"/>
          <w:lang w:val="en-US"/>
        </w:rPr>
        <w:t xml:space="preserve">According to TOTEM trial MIN strategy (clinical examination every 6/12 months for low-risk group and </w:t>
      </w:r>
      <w:r w:rsidRPr="00833DCC">
        <w:rPr>
          <w:rFonts w:ascii="Times New Roman" w:eastAsia="Times New Roman" w:hAnsi="Times New Roman" w:cs="Times New Roman"/>
          <w:color w:val="000000" w:themeColor="text1"/>
          <w:lang w:eastAsia="en-GB"/>
        </w:rPr>
        <w:t>clinical examination</w:t>
      </w:r>
      <w:r w:rsidRPr="00833DCC">
        <w:rPr>
          <w:rFonts w:ascii="Times New Roman" w:eastAsia="Times New Roman" w:hAnsi="Times New Roman" w:cs="Times New Roman"/>
          <w:color w:val="000000" w:themeColor="text1"/>
          <w:lang w:val="en-US" w:eastAsia="en-GB"/>
        </w:rPr>
        <w:t xml:space="preserve"> and </w:t>
      </w:r>
      <w:r w:rsidRPr="00833DCC">
        <w:rPr>
          <w:rFonts w:ascii="Times New Roman" w:eastAsia="Times New Roman" w:hAnsi="Times New Roman" w:cs="Times New Roman"/>
          <w:color w:val="000000" w:themeColor="text1"/>
          <w:lang w:eastAsia="en-GB"/>
        </w:rPr>
        <w:t>CT</w:t>
      </w:r>
      <w:r w:rsidRPr="00833DCC">
        <w:rPr>
          <w:rFonts w:ascii="Times New Roman" w:eastAsia="Times New Roman" w:hAnsi="Times New Roman" w:cs="Times New Roman"/>
          <w:color w:val="000000" w:themeColor="text1"/>
          <w:lang w:val="en-US" w:eastAsia="en-GB"/>
        </w:rPr>
        <w:t>scan</w:t>
      </w:r>
      <w:r w:rsidRPr="00833DCC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</w:t>
      </w:r>
      <w:r w:rsidRPr="00833DCC">
        <w:rPr>
          <w:rFonts w:ascii="Times New Roman" w:eastAsia="Times New Roman" w:hAnsi="Times New Roman" w:cs="Times New Roman"/>
          <w:color w:val="000000" w:themeColor="text1"/>
          <w:lang w:val="en-US" w:eastAsia="en-GB"/>
        </w:rPr>
        <w:t xml:space="preserve">every 6/12 months for high-risk group) </w:t>
      </w:r>
      <w:r w:rsidRPr="00833DCC">
        <w:rPr>
          <w:rFonts w:ascii="Times New Roman" w:hAnsi="Times New Roman" w:cs="Times New Roman"/>
          <w:color w:val="000000" w:themeColor="text1"/>
          <w:lang w:val="en-US"/>
        </w:rPr>
        <w:t xml:space="preserve">could be recommended for the follow up of FIGO I-II EEC </w:t>
      </w:r>
      <w:r w:rsidRPr="00833DCC">
        <w:rPr>
          <w:rFonts w:ascii="Times New Roman" w:hAnsi="Times New Roman" w:cs="Times New Roman"/>
          <w:color w:val="000000" w:themeColor="text1"/>
          <w:lang w:val="en-US" w:eastAsia="es-ES"/>
        </w:rPr>
        <w:t>[I,B]</w:t>
      </w:r>
      <w:r w:rsidRPr="00833DCC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</w:p>
    <w:p w14:paraId="112C71EE" w14:textId="41B2869B" w:rsidR="006E42FA" w:rsidRPr="00833DCC" w:rsidRDefault="006E42FA" w:rsidP="004006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US" w:eastAsia="es-ES"/>
        </w:rPr>
      </w:pPr>
      <w:r w:rsidRPr="00833DCC">
        <w:rPr>
          <w:rFonts w:ascii="Times New Roman" w:hAnsi="Times New Roman" w:cs="Times New Roman"/>
          <w:color w:val="000000" w:themeColor="text1"/>
          <w:lang w:val="en-US"/>
        </w:rPr>
        <w:t>Vaginal cytology is not routinely recommended as most vaginal recurrences are detected with clinical examination alone [I,A].</w:t>
      </w:r>
    </w:p>
    <w:p w14:paraId="3C15657C" w14:textId="561D150A" w:rsidR="006E42FA" w:rsidRPr="00833DCC" w:rsidRDefault="006E42FA" w:rsidP="004006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833DCC">
        <w:rPr>
          <w:rFonts w:ascii="Times New Roman" w:hAnsi="Times New Roman" w:cs="Times New Roman"/>
          <w:color w:val="000000" w:themeColor="text1"/>
          <w:lang w:val="en-US"/>
        </w:rPr>
        <w:t>In high risk non-endometrioid or FIGO III-IV tumors, imaging may be helpful, chest/abdominal/pelvic CT every 6 months during the first 3 years, and every 6 to 12 months for 2 additional years is recommended [IV,A]</w:t>
      </w:r>
    </w:p>
    <w:p w14:paraId="300BA304" w14:textId="643ABA99" w:rsidR="006E42FA" w:rsidRPr="00833DCC" w:rsidRDefault="006E42FA" w:rsidP="004006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833DCC">
        <w:rPr>
          <w:rFonts w:ascii="Times New Roman" w:hAnsi="Times New Roman" w:cs="Times New Roman"/>
          <w:color w:val="000000" w:themeColor="text1"/>
          <w:lang w:val="en-US"/>
        </w:rPr>
        <w:t>Following treatment, endometrial cancer patients should be counseled on the impact of obesity, lifestyle and nutrition [IV,A]</w:t>
      </w:r>
    </w:p>
    <w:p w14:paraId="56BF55C1" w14:textId="77777777" w:rsidR="006E42FA" w:rsidRPr="00833DCC" w:rsidRDefault="006E42FA" w:rsidP="004006B1">
      <w:pPr>
        <w:ind w:left="360"/>
        <w:jc w:val="both"/>
        <w:rPr>
          <w:rFonts w:ascii="Times New Roman" w:hAnsi="Times New Roman" w:cs="Times New Roman"/>
          <w:color w:val="000000" w:themeColor="text1"/>
          <w:lang w:val="en-US" w:eastAsia="es-ES"/>
        </w:rPr>
      </w:pPr>
    </w:p>
    <w:bookmarkEnd w:id="0"/>
    <w:p w14:paraId="7232AE91" w14:textId="77777777" w:rsidR="00B85394" w:rsidRPr="00833DCC" w:rsidRDefault="00B85394" w:rsidP="004006B1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sectPr w:rsidR="00B85394" w:rsidRPr="00833DCC" w:rsidSect="00833D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83F2BC" w14:textId="77777777" w:rsidR="00FD1DC9" w:rsidRDefault="00FD1DC9" w:rsidP="00AF6025">
      <w:r>
        <w:separator/>
      </w:r>
    </w:p>
  </w:endnote>
  <w:endnote w:type="continuationSeparator" w:id="0">
    <w:p w14:paraId="6298A3EF" w14:textId="77777777" w:rsidR="00FD1DC9" w:rsidRDefault="00FD1DC9" w:rsidP="00AF6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6C5B21" w14:textId="77777777" w:rsidR="00FD1DC9" w:rsidRDefault="00FD1DC9" w:rsidP="00AF6025">
      <w:r>
        <w:separator/>
      </w:r>
    </w:p>
  </w:footnote>
  <w:footnote w:type="continuationSeparator" w:id="0">
    <w:p w14:paraId="65331241" w14:textId="77777777" w:rsidR="00FD1DC9" w:rsidRDefault="00FD1DC9" w:rsidP="00AF60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45178"/>
    <w:multiLevelType w:val="hybridMultilevel"/>
    <w:tmpl w:val="8BCC8A54"/>
    <w:lvl w:ilvl="0" w:tplc="FF564F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F0EA7"/>
    <w:multiLevelType w:val="hybridMultilevel"/>
    <w:tmpl w:val="A998B970"/>
    <w:lvl w:ilvl="0" w:tplc="F7B449C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025"/>
    <w:rsid w:val="004006B1"/>
    <w:rsid w:val="005C6D58"/>
    <w:rsid w:val="006E42FA"/>
    <w:rsid w:val="00833DCC"/>
    <w:rsid w:val="00AF6025"/>
    <w:rsid w:val="00B849E6"/>
    <w:rsid w:val="00B85394"/>
    <w:rsid w:val="00FD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B3C5C"/>
  <w15:chartTrackingRefBased/>
  <w15:docId w15:val="{EE7539FE-641C-3D44-B1F0-DF74DCA38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6025"/>
    <w:pPr>
      <w:ind w:left="720"/>
      <w:contextualSpacing/>
    </w:pPr>
  </w:style>
  <w:style w:type="paragraph" w:styleId="EndnoteText">
    <w:name w:val="endnote text"/>
    <w:basedOn w:val="Normal"/>
    <w:link w:val="EndnoteTextChar"/>
    <w:unhideWhenUsed/>
    <w:rsid w:val="00AF6025"/>
    <w:rPr>
      <w:sz w:val="20"/>
      <w:szCs w:val="20"/>
      <w:lang w:val="es-ES"/>
    </w:rPr>
  </w:style>
  <w:style w:type="character" w:customStyle="1" w:styleId="EndnoteTextChar">
    <w:name w:val="Endnote Text Char"/>
    <w:basedOn w:val="DefaultParagraphFont"/>
    <w:link w:val="EndnoteText"/>
    <w:rsid w:val="00AF6025"/>
    <w:rPr>
      <w:sz w:val="20"/>
      <w:szCs w:val="20"/>
      <w:lang w:val="es-ES"/>
    </w:rPr>
  </w:style>
  <w:style w:type="character" w:styleId="EndnoteReference">
    <w:name w:val="endnote reference"/>
    <w:basedOn w:val="DefaultParagraphFont"/>
    <w:semiHidden/>
    <w:unhideWhenUsed/>
    <w:rsid w:val="00AF6025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sid w:val="00AF6025"/>
    <w:rPr>
      <w:lang w:val="es-E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6025"/>
    <w:rPr>
      <w:lang w:val="es-ES"/>
    </w:rPr>
  </w:style>
  <w:style w:type="character" w:styleId="Hyperlink">
    <w:name w:val="Hyperlink"/>
    <w:basedOn w:val="DefaultParagraphFont"/>
    <w:uiPriority w:val="99"/>
    <w:unhideWhenUsed/>
    <w:rsid w:val="00AF6025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6E4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Pilar Barretina Ginesta</dc:creator>
  <cp:keywords/>
  <dc:description/>
  <cp:lastModifiedBy>Nusrath Ruhaiyah</cp:lastModifiedBy>
  <cp:revision>4</cp:revision>
  <dcterms:created xsi:type="dcterms:W3CDTF">2021-11-14T18:50:00Z</dcterms:created>
  <dcterms:modified xsi:type="dcterms:W3CDTF">2022-02-03T08:16:00Z</dcterms:modified>
</cp:coreProperties>
</file>