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9D024" w14:textId="215F3137" w:rsidR="007172A9" w:rsidRPr="002E6D5D" w:rsidRDefault="009A09BE" w:rsidP="00DD7081">
      <w:pPr>
        <w:jc w:val="both"/>
        <w:rPr>
          <w:rFonts w:eastAsia="Times New Roman"/>
          <w:b/>
          <w:bCs/>
          <w:spacing w:val="15"/>
          <w:sz w:val="28"/>
          <w:szCs w:val="28"/>
          <w:lang w:eastAsia="x-none"/>
        </w:rPr>
      </w:pPr>
      <w:r>
        <w:rPr>
          <w:rFonts w:eastAsia="Times New Roman"/>
          <w:b/>
          <w:bCs/>
          <w:spacing w:val="15"/>
          <w:sz w:val="28"/>
          <w:szCs w:val="28"/>
          <w:lang w:eastAsia="x-none"/>
        </w:rPr>
        <w:t>Online Resource 1</w:t>
      </w:r>
    </w:p>
    <w:p w14:paraId="5854C51A" w14:textId="77777777" w:rsidR="002E6D5D" w:rsidRPr="002E6D5D" w:rsidRDefault="002E6D5D" w:rsidP="00DD7081">
      <w:pPr>
        <w:jc w:val="both"/>
        <w:rPr>
          <w:rFonts w:eastAsia="Times New Roman"/>
          <w:b/>
          <w:bCs/>
          <w:spacing w:val="15"/>
          <w:sz w:val="28"/>
          <w:szCs w:val="28"/>
          <w:lang w:eastAsia="x-none"/>
        </w:rPr>
      </w:pPr>
      <w:r w:rsidRPr="002E6D5D">
        <w:rPr>
          <w:rFonts w:eastAsia="Times New Roman"/>
          <w:b/>
          <w:bCs/>
          <w:spacing w:val="15"/>
          <w:sz w:val="28"/>
          <w:szCs w:val="28"/>
          <w:lang w:eastAsia="x-none"/>
        </w:rPr>
        <w:t>Clinical and Translational Oncology</w:t>
      </w:r>
    </w:p>
    <w:p w14:paraId="17605252" w14:textId="77777777" w:rsidR="002E6D5D" w:rsidRDefault="002E6D5D" w:rsidP="00DD7081">
      <w:pPr>
        <w:jc w:val="both"/>
        <w:rPr>
          <w:rFonts w:ascii="Calibri" w:eastAsia="Times New Roman" w:hAnsi="Calibri"/>
          <w:color w:val="5A5A5A"/>
          <w:spacing w:val="15"/>
          <w:sz w:val="32"/>
          <w:szCs w:val="32"/>
          <w:lang w:eastAsia="x-none"/>
        </w:rPr>
      </w:pPr>
    </w:p>
    <w:p w14:paraId="04423F1F" w14:textId="5A375262" w:rsidR="00DD7081" w:rsidRPr="00B258E0" w:rsidRDefault="00DD7081" w:rsidP="00DD7081">
      <w:pPr>
        <w:jc w:val="both"/>
        <w:rPr>
          <w:rFonts w:ascii="Calibri" w:eastAsia="Times New Roman" w:hAnsi="Calibri"/>
          <w:color w:val="5A5A5A"/>
          <w:spacing w:val="15"/>
          <w:sz w:val="32"/>
          <w:szCs w:val="32"/>
          <w:lang w:eastAsia="x-none"/>
        </w:rPr>
      </w:pPr>
      <w:r w:rsidRPr="00B258E0">
        <w:rPr>
          <w:rFonts w:ascii="Calibri" w:eastAsia="Times New Roman" w:hAnsi="Calibri"/>
          <w:color w:val="5A5A5A"/>
          <w:spacing w:val="15"/>
          <w:sz w:val="32"/>
          <w:szCs w:val="32"/>
          <w:lang w:eastAsia="x-none"/>
        </w:rPr>
        <w:t xml:space="preserve">Bone loss induced by cancer treatments in breast and prostate cancer patients </w:t>
      </w:r>
    </w:p>
    <w:p w14:paraId="7C7C3FB5" w14:textId="77777777" w:rsidR="00DD7081" w:rsidRPr="002821CF" w:rsidRDefault="00DD7081" w:rsidP="00DD7081">
      <w:pPr>
        <w:spacing w:line="480" w:lineRule="auto"/>
        <w:jc w:val="both"/>
        <w:rPr>
          <w:sz w:val="24"/>
          <w:szCs w:val="24"/>
          <w:lang w:val="es-ES"/>
        </w:rPr>
      </w:pPr>
      <w:r w:rsidRPr="002821CF">
        <w:rPr>
          <w:sz w:val="24"/>
          <w:szCs w:val="24"/>
          <w:lang w:val="es-ES"/>
        </w:rPr>
        <w:t>Santos Castañeda</w:t>
      </w:r>
      <w:r w:rsidRPr="002821CF">
        <w:rPr>
          <w:sz w:val="24"/>
          <w:szCs w:val="24"/>
          <w:vertAlign w:val="superscript"/>
          <w:lang w:val="es-ES"/>
        </w:rPr>
        <w:t>1</w:t>
      </w:r>
      <w:r w:rsidRPr="002821CF">
        <w:rPr>
          <w:sz w:val="24"/>
          <w:szCs w:val="24"/>
          <w:lang w:val="es-ES"/>
        </w:rPr>
        <w:t>, Ana Casas</w:t>
      </w:r>
      <w:r w:rsidRPr="002821CF">
        <w:rPr>
          <w:sz w:val="24"/>
          <w:szCs w:val="24"/>
          <w:vertAlign w:val="superscript"/>
          <w:lang w:val="es-ES"/>
        </w:rPr>
        <w:t>2</w:t>
      </w:r>
      <w:r w:rsidRPr="002821CF">
        <w:rPr>
          <w:sz w:val="24"/>
          <w:szCs w:val="24"/>
          <w:lang w:val="es-ES"/>
        </w:rPr>
        <w:t>, Aránzazu González-del-Alba</w:t>
      </w:r>
      <w:r w:rsidRPr="002821CF">
        <w:rPr>
          <w:sz w:val="24"/>
          <w:szCs w:val="24"/>
          <w:vertAlign w:val="superscript"/>
          <w:lang w:val="es-ES"/>
        </w:rPr>
        <w:t>3</w:t>
      </w:r>
      <w:r w:rsidRPr="002821CF">
        <w:rPr>
          <w:sz w:val="24"/>
          <w:szCs w:val="24"/>
          <w:lang w:val="es-ES"/>
        </w:rPr>
        <w:t>, Guillermo Martínez-Díaz-Guerra</w:t>
      </w:r>
      <w:r w:rsidRPr="002821CF">
        <w:rPr>
          <w:sz w:val="24"/>
          <w:szCs w:val="24"/>
          <w:vertAlign w:val="superscript"/>
          <w:lang w:val="es-ES"/>
        </w:rPr>
        <w:t>4</w:t>
      </w:r>
      <w:r w:rsidRPr="002821CF">
        <w:rPr>
          <w:sz w:val="24"/>
          <w:szCs w:val="24"/>
          <w:lang w:val="es-ES"/>
        </w:rPr>
        <w:t>, Xavier Nogués</w:t>
      </w:r>
      <w:r w:rsidRPr="002821CF">
        <w:rPr>
          <w:sz w:val="24"/>
          <w:szCs w:val="24"/>
          <w:vertAlign w:val="superscript"/>
          <w:lang w:val="es-ES"/>
        </w:rPr>
        <w:t>5</w:t>
      </w:r>
      <w:r w:rsidRPr="002821CF">
        <w:rPr>
          <w:sz w:val="24"/>
          <w:szCs w:val="24"/>
          <w:lang w:val="es-ES"/>
        </w:rPr>
        <w:t>, Cristina Ojeda Thies</w:t>
      </w:r>
      <w:r w:rsidRPr="002821CF">
        <w:rPr>
          <w:sz w:val="24"/>
          <w:szCs w:val="24"/>
          <w:vertAlign w:val="superscript"/>
          <w:lang w:val="es-ES"/>
        </w:rPr>
        <w:t>6</w:t>
      </w:r>
      <w:r w:rsidRPr="002821CF">
        <w:rPr>
          <w:sz w:val="24"/>
          <w:szCs w:val="24"/>
          <w:lang w:val="es-ES"/>
        </w:rPr>
        <w:t>, Óscar Torregrosa Suau</w:t>
      </w:r>
      <w:r w:rsidRPr="002821CF">
        <w:rPr>
          <w:sz w:val="24"/>
          <w:szCs w:val="24"/>
          <w:vertAlign w:val="superscript"/>
          <w:lang w:val="es-ES"/>
        </w:rPr>
        <w:t>7</w:t>
      </w:r>
      <w:r w:rsidRPr="002821CF">
        <w:rPr>
          <w:sz w:val="24"/>
          <w:szCs w:val="24"/>
          <w:lang w:val="es-ES"/>
        </w:rPr>
        <w:t>, Álvaro Rodríguez-Lescure</w:t>
      </w:r>
      <w:r w:rsidRPr="002821CF">
        <w:rPr>
          <w:sz w:val="24"/>
          <w:szCs w:val="24"/>
          <w:vertAlign w:val="superscript"/>
          <w:lang w:val="es-ES"/>
        </w:rPr>
        <w:t>8</w:t>
      </w:r>
      <w:r>
        <w:rPr>
          <w:sz w:val="24"/>
          <w:szCs w:val="24"/>
          <w:vertAlign w:val="superscript"/>
          <w:lang w:val="es-ES"/>
        </w:rPr>
        <w:t>*</w:t>
      </w:r>
      <w:r w:rsidRPr="002821CF">
        <w:rPr>
          <w:sz w:val="24"/>
          <w:szCs w:val="24"/>
          <w:lang w:val="es-ES"/>
        </w:rPr>
        <w:t xml:space="preserve"> </w:t>
      </w:r>
    </w:p>
    <w:p w14:paraId="45A4EC7A" w14:textId="77777777" w:rsidR="00DD7081" w:rsidRPr="002821CF" w:rsidRDefault="00DD7081" w:rsidP="00DD7081">
      <w:pPr>
        <w:rPr>
          <w:szCs w:val="20"/>
          <w:lang w:val="es-ES"/>
        </w:rPr>
      </w:pPr>
      <w:r w:rsidRPr="002821CF">
        <w:rPr>
          <w:szCs w:val="20"/>
          <w:vertAlign w:val="superscript"/>
          <w:lang w:val="es-ES"/>
        </w:rPr>
        <w:t>1</w:t>
      </w:r>
      <w:r w:rsidRPr="002821CF">
        <w:rPr>
          <w:lang w:val="es-ES"/>
        </w:rPr>
        <w:t xml:space="preserve"> Department of Rheumatology. Hospital Universitario de La Princesa, IIS-</w:t>
      </w:r>
      <w:r>
        <w:rPr>
          <w:lang w:val="es-ES"/>
        </w:rPr>
        <w:t>Princesa</w:t>
      </w:r>
      <w:r w:rsidRPr="002821CF">
        <w:rPr>
          <w:lang w:val="es-ES"/>
        </w:rPr>
        <w:t xml:space="preserve">, </w:t>
      </w:r>
      <w:r>
        <w:rPr>
          <w:lang w:val="es-ES"/>
        </w:rPr>
        <w:t xml:space="preserve">catedra UAM-Roche, EPID-Future, </w:t>
      </w:r>
      <w:r w:rsidRPr="002821CF">
        <w:rPr>
          <w:lang w:val="es-ES"/>
        </w:rPr>
        <w:t xml:space="preserve">Universidad Autónoma de Madrid, </w:t>
      </w:r>
      <w:r>
        <w:rPr>
          <w:lang w:val="es-ES"/>
        </w:rPr>
        <w:t xml:space="preserve">Madrid, </w:t>
      </w:r>
      <w:r w:rsidRPr="002821CF">
        <w:rPr>
          <w:lang w:val="es-ES"/>
        </w:rPr>
        <w:t>Spain.</w:t>
      </w:r>
    </w:p>
    <w:p w14:paraId="6310E98C" w14:textId="77777777" w:rsidR="00DD7081" w:rsidRPr="00997BD4" w:rsidRDefault="00DD7081" w:rsidP="00DD7081">
      <w:pPr>
        <w:rPr>
          <w:szCs w:val="20"/>
          <w:lang w:val="en-US"/>
        </w:rPr>
      </w:pPr>
      <w:r w:rsidRPr="00997BD4">
        <w:rPr>
          <w:szCs w:val="20"/>
          <w:vertAlign w:val="superscript"/>
          <w:lang w:val="en-US"/>
        </w:rPr>
        <w:t xml:space="preserve">2 </w:t>
      </w:r>
      <w:r w:rsidRPr="00997BD4">
        <w:rPr>
          <w:lang w:val="en-US"/>
        </w:rPr>
        <w:t>Department of Medical Oncology. Hospital Virgen del Rocío, Seville, Spain.</w:t>
      </w:r>
    </w:p>
    <w:p w14:paraId="1ADC88E9" w14:textId="77777777" w:rsidR="00DD7081" w:rsidRPr="00997BD4" w:rsidRDefault="00DD7081" w:rsidP="00DD7081">
      <w:pPr>
        <w:rPr>
          <w:szCs w:val="20"/>
          <w:lang w:val="en-US"/>
        </w:rPr>
      </w:pPr>
      <w:r w:rsidRPr="00997BD4">
        <w:rPr>
          <w:szCs w:val="20"/>
          <w:vertAlign w:val="superscript"/>
          <w:lang w:val="en-US"/>
        </w:rPr>
        <w:t>3</w:t>
      </w:r>
      <w:r w:rsidRPr="00997BD4">
        <w:rPr>
          <w:lang w:val="en-US"/>
        </w:rPr>
        <w:t xml:space="preserve"> Department of Medical Oncology. Hospital Universitario Puerta de Hierro-Majadahonda, Madrid, Spain.</w:t>
      </w:r>
    </w:p>
    <w:p w14:paraId="197D1F73" w14:textId="77777777" w:rsidR="00DD7081" w:rsidRPr="002821CF" w:rsidRDefault="00DD7081" w:rsidP="00DD7081">
      <w:pPr>
        <w:rPr>
          <w:szCs w:val="20"/>
          <w:lang w:val="es-ES"/>
        </w:rPr>
      </w:pPr>
      <w:r w:rsidRPr="00997BD4">
        <w:rPr>
          <w:szCs w:val="20"/>
          <w:vertAlign w:val="superscript"/>
          <w:lang w:val="en-US"/>
        </w:rPr>
        <w:t>4</w:t>
      </w:r>
      <w:r w:rsidRPr="00997BD4">
        <w:rPr>
          <w:lang w:val="en-US"/>
        </w:rPr>
        <w:t xml:space="preserve"> Department of Endocrinology and Nutrition. </w:t>
      </w:r>
      <w:r w:rsidRPr="002821CF">
        <w:rPr>
          <w:lang w:val="es-ES"/>
        </w:rPr>
        <w:t>Instituto de Investigación imas12, Hospital 12 de Octubre, Universidad Complutense, Madrid, Spain.</w:t>
      </w:r>
    </w:p>
    <w:p w14:paraId="702C3938" w14:textId="77777777" w:rsidR="00DD7081" w:rsidRPr="002821CF" w:rsidRDefault="00DD7081" w:rsidP="00DD7081">
      <w:pPr>
        <w:rPr>
          <w:szCs w:val="20"/>
          <w:lang w:val="es-ES"/>
        </w:rPr>
      </w:pPr>
      <w:r w:rsidRPr="002821CF">
        <w:rPr>
          <w:szCs w:val="20"/>
          <w:vertAlign w:val="superscript"/>
          <w:lang w:val="es-ES"/>
        </w:rPr>
        <w:t xml:space="preserve">5 </w:t>
      </w:r>
      <w:r w:rsidRPr="002821CF">
        <w:rPr>
          <w:lang w:val="es-ES"/>
        </w:rPr>
        <w:t>Department of Internal Medicine, Hospital del Mar, Hospital del Mar Research Institute (IMIM), Centro de Investigación Biomédica en Red de Fragilidad y Envejecimiento Saludable (CIBERFES), Universidad Pompeu Fabra, Barcelona, Spain.</w:t>
      </w:r>
    </w:p>
    <w:p w14:paraId="6B9C0D41" w14:textId="77777777" w:rsidR="00DD7081" w:rsidRPr="002821CF" w:rsidRDefault="00DD7081" w:rsidP="00DD7081">
      <w:pPr>
        <w:rPr>
          <w:lang w:val="es-ES"/>
        </w:rPr>
      </w:pPr>
      <w:r w:rsidRPr="00997BD4">
        <w:rPr>
          <w:szCs w:val="20"/>
          <w:vertAlign w:val="superscript"/>
          <w:lang w:val="en-US"/>
        </w:rPr>
        <w:t xml:space="preserve">6 </w:t>
      </w:r>
      <w:r w:rsidRPr="00997BD4">
        <w:rPr>
          <w:lang w:val="en-US"/>
        </w:rPr>
        <w:t xml:space="preserve">Department of Traumatology and Orthopedic Surgery. </w:t>
      </w:r>
      <w:r w:rsidRPr="002821CF">
        <w:rPr>
          <w:lang w:val="es-ES"/>
        </w:rPr>
        <w:t>Hospital Universitario 12 de Octubre, Madrid, Spain.</w:t>
      </w:r>
    </w:p>
    <w:p w14:paraId="5CB576D0" w14:textId="77777777" w:rsidR="00DD7081" w:rsidRPr="002821CF" w:rsidRDefault="00DD7081" w:rsidP="00DD7081">
      <w:pPr>
        <w:rPr>
          <w:szCs w:val="20"/>
          <w:vertAlign w:val="superscript"/>
          <w:lang w:val="es-ES"/>
        </w:rPr>
      </w:pPr>
      <w:r w:rsidRPr="002821CF">
        <w:rPr>
          <w:szCs w:val="20"/>
          <w:vertAlign w:val="superscript"/>
          <w:lang w:val="es-ES"/>
        </w:rPr>
        <w:t>7</w:t>
      </w:r>
      <w:r w:rsidRPr="002821CF">
        <w:rPr>
          <w:lang w:val="es-ES"/>
        </w:rPr>
        <w:t xml:space="preserve"> Department of Internal Medicine. Hospital General Universitario de Elche, Alicante, Spain.</w:t>
      </w:r>
    </w:p>
    <w:p w14:paraId="389C01AC" w14:textId="77777777" w:rsidR="00DD7081" w:rsidRPr="002821CF" w:rsidRDefault="00DD7081" w:rsidP="00DD7081">
      <w:pPr>
        <w:rPr>
          <w:szCs w:val="20"/>
          <w:vertAlign w:val="superscript"/>
          <w:lang w:val="es-ES"/>
        </w:rPr>
      </w:pPr>
      <w:r w:rsidRPr="002821CF">
        <w:rPr>
          <w:szCs w:val="20"/>
          <w:vertAlign w:val="superscript"/>
          <w:lang w:val="es-ES"/>
        </w:rPr>
        <w:t>8</w:t>
      </w:r>
      <w:r w:rsidRPr="002821CF">
        <w:rPr>
          <w:lang w:val="es-ES"/>
        </w:rPr>
        <w:t xml:space="preserve"> Department of Medical Oncology, Hospital General Universitario de Elche, Alicante, Spain.</w:t>
      </w:r>
    </w:p>
    <w:p w14:paraId="53F903D7" w14:textId="77777777" w:rsidR="00DD7081" w:rsidRPr="002821CF" w:rsidRDefault="00DD7081" w:rsidP="00DD7081">
      <w:pPr>
        <w:spacing w:line="480" w:lineRule="auto"/>
        <w:rPr>
          <w:b/>
          <w:bCs/>
          <w:sz w:val="28"/>
          <w:szCs w:val="28"/>
          <w:lang w:val="es-ES"/>
        </w:rPr>
      </w:pPr>
    </w:p>
    <w:p w14:paraId="13153F93" w14:textId="77777777" w:rsidR="00DD7081" w:rsidRPr="002821CF" w:rsidRDefault="00DD7081" w:rsidP="00DD7081">
      <w:pPr>
        <w:spacing w:line="480" w:lineRule="auto"/>
        <w:rPr>
          <w:b/>
          <w:bCs/>
          <w:sz w:val="24"/>
          <w:szCs w:val="24"/>
          <w:lang w:val="es-ES"/>
        </w:rPr>
      </w:pPr>
      <w:r>
        <w:rPr>
          <w:b/>
          <w:bCs/>
          <w:sz w:val="24"/>
          <w:szCs w:val="24"/>
          <w:lang w:val="es-ES"/>
        </w:rPr>
        <w:t>*</w:t>
      </w:r>
      <w:r w:rsidRPr="002821CF">
        <w:rPr>
          <w:b/>
          <w:bCs/>
          <w:sz w:val="24"/>
          <w:szCs w:val="24"/>
          <w:lang w:val="es-ES"/>
        </w:rPr>
        <w:t xml:space="preserve">Corresponding </w:t>
      </w:r>
      <w:r>
        <w:rPr>
          <w:b/>
          <w:bCs/>
          <w:sz w:val="24"/>
          <w:szCs w:val="24"/>
          <w:lang w:val="es-ES"/>
        </w:rPr>
        <w:t>author:</w:t>
      </w:r>
    </w:p>
    <w:p w14:paraId="3134B688" w14:textId="77777777" w:rsidR="00DD7081" w:rsidRPr="002821CF" w:rsidRDefault="00DD7081" w:rsidP="00DD7081">
      <w:pPr>
        <w:spacing w:line="276" w:lineRule="auto"/>
        <w:rPr>
          <w:b/>
          <w:bCs/>
          <w:sz w:val="28"/>
          <w:szCs w:val="28"/>
          <w:lang w:val="es-ES"/>
        </w:rPr>
      </w:pPr>
      <w:r w:rsidRPr="002821CF">
        <w:rPr>
          <w:sz w:val="24"/>
          <w:szCs w:val="24"/>
          <w:lang w:val="es-ES"/>
        </w:rPr>
        <w:t>Álvaro Rodríguez</w:t>
      </w:r>
      <w:r>
        <w:rPr>
          <w:sz w:val="24"/>
          <w:szCs w:val="24"/>
          <w:lang w:val="es-ES"/>
        </w:rPr>
        <w:t>-</w:t>
      </w:r>
      <w:r w:rsidRPr="002821CF">
        <w:rPr>
          <w:sz w:val="24"/>
          <w:szCs w:val="24"/>
          <w:lang w:val="es-ES"/>
        </w:rPr>
        <w:t>Lescure</w:t>
      </w:r>
    </w:p>
    <w:p w14:paraId="4E4B47DD" w14:textId="77777777" w:rsidR="00DD7081" w:rsidRPr="002821CF" w:rsidRDefault="00DD7081" w:rsidP="00DD7081">
      <w:pPr>
        <w:spacing w:line="276" w:lineRule="auto"/>
        <w:rPr>
          <w:b/>
          <w:bCs/>
          <w:sz w:val="28"/>
          <w:szCs w:val="28"/>
          <w:lang w:val="es-ES"/>
        </w:rPr>
      </w:pPr>
      <w:r w:rsidRPr="002821CF">
        <w:rPr>
          <w:sz w:val="24"/>
          <w:szCs w:val="24"/>
          <w:lang w:val="es-ES"/>
        </w:rPr>
        <w:t>Hospital General Universitario de Elche</w:t>
      </w:r>
    </w:p>
    <w:p w14:paraId="3910B590" w14:textId="77777777" w:rsidR="00DD7081" w:rsidRDefault="00DD7081" w:rsidP="00DD7081">
      <w:pPr>
        <w:spacing w:line="276" w:lineRule="auto"/>
        <w:rPr>
          <w:sz w:val="24"/>
          <w:szCs w:val="24"/>
          <w:lang w:val="es-ES"/>
        </w:rPr>
      </w:pPr>
      <w:r w:rsidRPr="002821CF">
        <w:rPr>
          <w:sz w:val="24"/>
          <w:szCs w:val="24"/>
          <w:lang w:val="es-ES"/>
        </w:rPr>
        <w:lastRenderedPageBreak/>
        <w:t xml:space="preserve">Camino de la Almazara, 11. </w:t>
      </w:r>
    </w:p>
    <w:p w14:paraId="51122BB4" w14:textId="77777777" w:rsidR="00DD7081" w:rsidRPr="00530861" w:rsidRDefault="00DD7081" w:rsidP="00DD7081">
      <w:pPr>
        <w:spacing w:line="276" w:lineRule="auto"/>
        <w:rPr>
          <w:sz w:val="24"/>
          <w:szCs w:val="24"/>
          <w:lang w:val="es-ES"/>
        </w:rPr>
      </w:pPr>
      <w:r w:rsidRPr="00530861">
        <w:rPr>
          <w:sz w:val="24"/>
          <w:szCs w:val="24"/>
          <w:lang w:val="es-ES"/>
        </w:rPr>
        <w:t>03202 Elche (Spain)</w:t>
      </w:r>
    </w:p>
    <w:p w14:paraId="412382CA" w14:textId="77777777" w:rsidR="00DD7081" w:rsidRPr="00997BD4" w:rsidRDefault="00DD7081" w:rsidP="00DD7081">
      <w:pPr>
        <w:spacing w:line="276" w:lineRule="auto"/>
        <w:rPr>
          <w:sz w:val="24"/>
          <w:szCs w:val="24"/>
          <w:lang w:val="en-US"/>
        </w:rPr>
      </w:pPr>
      <w:r w:rsidRPr="00997BD4">
        <w:rPr>
          <w:sz w:val="24"/>
          <w:szCs w:val="24"/>
          <w:lang w:val="en-US"/>
        </w:rPr>
        <w:t>Telephone: +34 696092614</w:t>
      </w:r>
    </w:p>
    <w:p w14:paraId="0A5D5687" w14:textId="77777777" w:rsidR="00DD7081" w:rsidRPr="00997BD4" w:rsidRDefault="00DD7081" w:rsidP="00DD7081">
      <w:pPr>
        <w:rPr>
          <w:sz w:val="22"/>
          <w:lang w:val="en-US"/>
        </w:rPr>
      </w:pPr>
      <w:r w:rsidRPr="00997BD4">
        <w:rPr>
          <w:sz w:val="22"/>
          <w:lang w:val="en-US"/>
        </w:rPr>
        <w:t xml:space="preserve">Email: </w:t>
      </w:r>
      <w:hyperlink r:id="rId7" w:history="1">
        <w:r w:rsidRPr="00997BD4">
          <w:rPr>
            <w:rStyle w:val="Hipervnculo"/>
            <w:sz w:val="22"/>
            <w:lang w:val="en-US"/>
          </w:rPr>
          <w:t>alescure@geicam.org</w:t>
        </w:r>
      </w:hyperlink>
    </w:p>
    <w:p w14:paraId="5F35D5D6" w14:textId="77777777" w:rsidR="00DD7081" w:rsidRDefault="00DD7081" w:rsidP="007A365C">
      <w:pPr>
        <w:spacing w:line="480" w:lineRule="auto"/>
        <w:jc w:val="both"/>
        <w:rPr>
          <w:b/>
          <w:bCs/>
          <w:sz w:val="24"/>
          <w:szCs w:val="24"/>
          <w:lang w:val="en-US"/>
        </w:rPr>
      </w:pPr>
    </w:p>
    <w:p w14:paraId="3D807D5F" w14:textId="05566A3A" w:rsidR="00DD7081" w:rsidRPr="00DD7081" w:rsidRDefault="00DD7081" w:rsidP="00DD7081">
      <w:pPr>
        <w:rPr>
          <w:sz w:val="24"/>
          <w:szCs w:val="24"/>
          <w:lang w:val="en-US"/>
        </w:rPr>
        <w:sectPr w:rsidR="00DD7081" w:rsidRPr="00DD7081" w:rsidSect="00DD7081">
          <w:footerReference w:type="default" r:id="rId8"/>
          <w:pgSz w:w="11906" w:h="16838"/>
          <w:pgMar w:top="1417" w:right="1701" w:bottom="1417" w:left="1701" w:header="708" w:footer="708" w:gutter="0"/>
          <w:cols w:space="708"/>
          <w:docGrid w:linePitch="360"/>
        </w:sectPr>
      </w:pPr>
    </w:p>
    <w:p w14:paraId="1253B466" w14:textId="15F76EC8" w:rsidR="007A365C" w:rsidRPr="00B97BD6" w:rsidRDefault="00525660" w:rsidP="007A365C">
      <w:pPr>
        <w:spacing w:line="480" w:lineRule="auto"/>
        <w:jc w:val="both"/>
        <w:rPr>
          <w:sz w:val="24"/>
          <w:szCs w:val="24"/>
          <w:lang w:val="en-US"/>
        </w:rPr>
      </w:pPr>
      <w:r>
        <w:rPr>
          <w:b/>
          <w:bCs/>
          <w:sz w:val="24"/>
          <w:szCs w:val="24"/>
          <w:lang w:val="en-US"/>
        </w:rPr>
        <w:lastRenderedPageBreak/>
        <w:t>Online resource</w:t>
      </w:r>
      <w:r w:rsidR="00B050EE">
        <w:rPr>
          <w:b/>
          <w:bCs/>
          <w:sz w:val="24"/>
          <w:szCs w:val="24"/>
          <w:lang w:val="en-US"/>
        </w:rPr>
        <w:t xml:space="preserve"> 1</w:t>
      </w:r>
      <w:r w:rsidR="007A365C" w:rsidRPr="002F15B2">
        <w:rPr>
          <w:b/>
          <w:bCs/>
          <w:sz w:val="24"/>
          <w:szCs w:val="24"/>
          <w:lang w:val="en-US"/>
        </w:rPr>
        <w:t>.</w:t>
      </w:r>
      <w:r w:rsidR="007A365C" w:rsidRPr="002F15B2">
        <w:rPr>
          <w:sz w:val="24"/>
          <w:szCs w:val="24"/>
          <w:lang w:val="en-US"/>
        </w:rPr>
        <w:t xml:space="preserve"> Major clinical trials on the efficacy and safety of antiosteoporotic drugs in patients with prostate cancer and breast cancer.</w:t>
      </w:r>
    </w:p>
    <w:tbl>
      <w:tblPr>
        <w:tblW w:w="14317" w:type="dxa"/>
        <w:tblBorders>
          <w:top w:val="single" w:sz="4" w:space="0" w:color="auto"/>
          <w:bottom w:val="single" w:sz="4" w:space="0" w:color="auto"/>
          <w:insideH w:val="single" w:sz="4" w:space="0" w:color="auto"/>
        </w:tblBorders>
        <w:tblLook w:val="04A0" w:firstRow="1" w:lastRow="0" w:firstColumn="1" w:lastColumn="0" w:noHBand="0" w:noVBand="1"/>
      </w:tblPr>
      <w:tblGrid>
        <w:gridCol w:w="1668"/>
        <w:gridCol w:w="1985"/>
        <w:gridCol w:w="2366"/>
        <w:gridCol w:w="2161"/>
        <w:gridCol w:w="2462"/>
        <w:gridCol w:w="1456"/>
        <w:gridCol w:w="2219"/>
      </w:tblGrid>
      <w:tr w:rsidR="007A365C" w:rsidRPr="007A365C" w14:paraId="6ECB2CEE" w14:textId="77777777" w:rsidTr="000E4810">
        <w:trPr>
          <w:trHeight w:val="96"/>
        </w:trPr>
        <w:tc>
          <w:tcPr>
            <w:tcW w:w="1668" w:type="dxa"/>
            <w:tcBorders>
              <w:top w:val="single" w:sz="18" w:space="0" w:color="auto"/>
              <w:bottom w:val="single" w:sz="18" w:space="0" w:color="auto"/>
            </w:tcBorders>
            <w:shd w:val="clear" w:color="auto" w:fill="D9D9D9"/>
            <w:vAlign w:val="center"/>
          </w:tcPr>
          <w:p w14:paraId="36FD409B"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Study (Duration)</w:t>
            </w:r>
          </w:p>
        </w:tc>
        <w:tc>
          <w:tcPr>
            <w:tcW w:w="1985" w:type="dxa"/>
            <w:tcBorders>
              <w:top w:val="single" w:sz="18" w:space="0" w:color="auto"/>
              <w:bottom w:val="single" w:sz="18" w:space="0" w:color="auto"/>
            </w:tcBorders>
            <w:shd w:val="clear" w:color="auto" w:fill="D9D9D9"/>
            <w:vAlign w:val="center"/>
          </w:tcPr>
          <w:p w14:paraId="2CA45A71"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Population</w:t>
            </w:r>
          </w:p>
        </w:tc>
        <w:tc>
          <w:tcPr>
            <w:tcW w:w="2366" w:type="dxa"/>
            <w:tcBorders>
              <w:top w:val="single" w:sz="18" w:space="0" w:color="auto"/>
              <w:bottom w:val="single" w:sz="18" w:space="0" w:color="auto"/>
            </w:tcBorders>
            <w:shd w:val="clear" w:color="auto" w:fill="D9D9D9"/>
            <w:vAlign w:val="center"/>
          </w:tcPr>
          <w:p w14:paraId="382E7C9D"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Exclusion criteria</w:t>
            </w:r>
          </w:p>
        </w:tc>
        <w:tc>
          <w:tcPr>
            <w:tcW w:w="2161" w:type="dxa"/>
            <w:tcBorders>
              <w:top w:val="single" w:sz="18" w:space="0" w:color="auto"/>
              <w:bottom w:val="single" w:sz="18" w:space="0" w:color="auto"/>
            </w:tcBorders>
            <w:shd w:val="clear" w:color="auto" w:fill="D9D9D9"/>
            <w:vAlign w:val="center"/>
          </w:tcPr>
          <w:p w14:paraId="6A6F6B86" w14:textId="77777777" w:rsidR="007A365C" w:rsidRPr="007A365C" w:rsidRDefault="007A365C" w:rsidP="007A365C">
            <w:pPr>
              <w:spacing w:line="276" w:lineRule="auto"/>
              <w:rPr>
                <w:rFonts w:ascii="Arial" w:hAnsi="Arial" w:cs="Arial"/>
                <w:b/>
                <w:bCs/>
                <w:sz w:val="18"/>
                <w:szCs w:val="18"/>
                <w:lang w:val="en-US"/>
              </w:rPr>
            </w:pPr>
            <w:r w:rsidRPr="007A365C">
              <w:rPr>
                <w:rFonts w:ascii="Arial" w:hAnsi="Arial" w:cs="Arial"/>
                <w:b/>
                <w:bCs/>
                <w:sz w:val="18"/>
                <w:szCs w:val="18"/>
                <w:lang w:val="en-US"/>
              </w:rPr>
              <w:t>Randomization</w:t>
            </w:r>
          </w:p>
        </w:tc>
        <w:tc>
          <w:tcPr>
            <w:tcW w:w="2462" w:type="dxa"/>
            <w:tcBorders>
              <w:top w:val="single" w:sz="18" w:space="0" w:color="auto"/>
              <w:bottom w:val="single" w:sz="18" w:space="0" w:color="auto"/>
            </w:tcBorders>
            <w:shd w:val="clear" w:color="auto" w:fill="D9D9D9"/>
            <w:vAlign w:val="center"/>
          </w:tcPr>
          <w:p w14:paraId="4F7CE160" w14:textId="77777777" w:rsidR="007A365C" w:rsidRPr="007A365C" w:rsidRDefault="007A365C" w:rsidP="007A365C">
            <w:pPr>
              <w:spacing w:line="276" w:lineRule="auto"/>
              <w:rPr>
                <w:rFonts w:ascii="Arial" w:hAnsi="Arial" w:cs="Arial"/>
                <w:b/>
                <w:bCs/>
                <w:sz w:val="18"/>
                <w:szCs w:val="18"/>
                <w:lang w:val="en-US"/>
              </w:rPr>
            </w:pPr>
            <w:r w:rsidRPr="007A365C">
              <w:rPr>
                <w:rFonts w:ascii="Arial" w:hAnsi="Arial" w:cs="Arial"/>
                <w:b/>
                <w:bCs/>
                <w:sz w:val="18"/>
                <w:szCs w:val="18"/>
                <w:lang w:val="en-US"/>
              </w:rPr>
              <w:t>Efficacy outcomes: BMD</w:t>
            </w:r>
          </w:p>
        </w:tc>
        <w:tc>
          <w:tcPr>
            <w:tcW w:w="1456" w:type="dxa"/>
            <w:tcBorders>
              <w:top w:val="single" w:sz="18" w:space="0" w:color="auto"/>
              <w:bottom w:val="single" w:sz="18" w:space="0" w:color="auto"/>
            </w:tcBorders>
            <w:shd w:val="clear" w:color="auto" w:fill="D9D9D9"/>
            <w:vAlign w:val="center"/>
          </w:tcPr>
          <w:p w14:paraId="04DEF6B9"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Fractures</w:t>
            </w:r>
          </w:p>
        </w:tc>
        <w:tc>
          <w:tcPr>
            <w:tcW w:w="2219" w:type="dxa"/>
            <w:tcBorders>
              <w:top w:val="single" w:sz="18" w:space="0" w:color="auto"/>
              <w:bottom w:val="single" w:sz="18" w:space="0" w:color="auto"/>
            </w:tcBorders>
            <w:shd w:val="clear" w:color="auto" w:fill="D9D9D9"/>
            <w:vAlign w:val="center"/>
          </w:tcPr>
          <w:p w14:paraId="78ABB852"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Safety outcomes</w:t>
            </w:r>
          </w:p>
        </w:tc>
      </w:tr>
      <w:tr w:rsidR="007A365C" w:rsidRPr="007A365C" w14:paraId="2F90341D" w14:textId="77777777" w:rsidTr="000E4810">
        <w:trPr>
          <w:trHeight w:val="1919"/>
        </w:trPr>
        <w:tc>
          <w:tcPr>
            <w:tcW w:w="1668" w:type="dxa"/>
            <w:tcBorders>
              <w:top w:val="single" w:sz="18" w:space="0" w:color="auto"/>
            </w:tcBorders>
            <w:vAlign w:val="center"/>
          </w:tcPr>
          <w:p w14:paraId="03878C25" w14:textId="79CD7166"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Smith et al., 2001 </w:t>
            </w:r>
            <w:r w:rsidRPr="007A365C">
              <w:rPr>
                <w:rFonts w:ascii="Arial" w:hAnsi="Arial" w:cs="Arial"/>
                <w:sz w:val="18"/>
                <w:szCs w:val="18"/>
                <w:lang w:val="en-US"/>
              </w:rPr>
              <w:fldChar w:fldCharType="begin">
                <w:fldData xml:space="preserve">PEVuZE5vdGU+PENpdGU+PEF1dGhvcj5TbWl0aDwvQXV0aG9yPjxZZWFyPjIwMDE8L1llYXI+PFJl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PEVuZE5vdGU+PENpdGU+PEF1dGhvcj5TbWl0aDwvQXV0aG9yPjxZZWFyPjIwMDE8L1llYXI+PFJl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[1]</w:t>
            </w:r>
            <w:r w:rsidRPr="007A365C">
              <w:rPr>
                <w:rFonts w:ascii="Arial" w:hAnsi="Arial" w:cs="Arial"/>
                <w:sz w:val="18"/>
                <w:szCs w:val="18"/>
                <w:lang w:val="en-US"/>
              </w:rPr>
              <w:fldChar w:fldCharType="end"/>
            </w:r>
          </w:p>
          <w:p w14:paraId="0218074A"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(1 y.)</w:t>
            </w:r>
          </w:p>
        </w:tc>
        <w:tc>
          <w:tcPr>
            <w:tcW w:w="1985" w:type="dxa"/>
            <w:tcBorders>
              <w:top w:val="single" w:sz="18" w:space="0" w:color="auto"/>
            </w:tcBorders>
            <w:vAlign w:val="center"/>
          </w:tcPr>
          <w:p w14:paraId="6EDC5CEC"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Men with advanced or recurrent PC and no bone metastases</w:t>
            </w:r>
          </w:p>
        </w:tc>
        <w:tc>
          <w:tcPr>
            <w:tcW w:w="2366" w:type="dxa"/>
            <w:tcBorders>
              <w:top w:val="single" w:sz="18" w:space="0" w:color="auto"/>
            </w:tcBorders>
            <w:vAlign w:val="center"/>
          </w:tcPr>
          <w:p w14:paraId="16E5CF09"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Men with Paget's or Cushing's disease, hyperthyroidism, hyperprolactinemia, chronic liver disease, or chronic renal insufficiency, prior therapy with ADT, GC, calcitonin or bisphosphonates</w:t>
            </w:r>
          </w:p>
        </w:tc>
        <w:tc>
          <w:tcPr>
            <w:tcW w:w="2161" w:type="dxa"/>
            <w:tcBorders>
              <w:top w:val="single" w:sz="18" w:space="0" w:color="auto"/>
            </w:tcBorders>
            <w:vAlign w:val="center"/>
          </w:tcPr>
          <w:p w14:paraId="09445C12"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42 men</w:t>
            </w:r>
            <w:r w:rsidRPr="007A365C">
              <w:rPr>
                <w:rFonts w:ascii="Arial" w:hAnsi="Arial" w:cs="Arial"/>
                <w:sz w:val="18"/>
                <w:szCs w:val="18"/>
                <w:lang w:val="en-US"/>
              </w:rPr>
              <w:t xml:space="preserve"> were randomly assigned 1:1 to leuprolide (L) or leuprolide plus pamidronate disodium (L+P). All patients received bicalutamide, calcium carbonate and vitamin D</w:t>
            </w:r>
          </w:p>
        </w:tc>
        <w:tc>
          <w:tcPr>
            <w:tcW w:w="2462" w:type="dxa"/>
            <w:tcBorders>
              <w:top w:val="single" w:sz="18" w:space="0" w:color="auto"/>
            </w:tcBorders>
            <w:vAlign w:val="center"/>
          </w:tcPr>
          <w:p w14:paraId="1E8CE32D"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 xml:space="preserve">L arm: </w:t>
            </w:r>
            <w:r w:rsidRPr="007A365C">
              <w:rPr>
                <w:rFonts w:ascii="Arial" w:hAnsi="Arial" w:cs="Arial"/>
                <w:sz w:val="18"/>
                <w:szCs w:val="18"/>
                <w:lang w:val="en-US"/>
              </w:rPr>
              <w:t xml:space="preserve">Significant decrease in mean BMD in LS (3.3%), trochanter (2.1%), and TH (1.8%). No changes in FN BMD. Significant loss of trabecular BMD (-8.5%). </w:t>
            </w:r>
            <w:r w:rsidRPr="007A365C">
              <w:rPr>
                <w:rFonts w:ascii="Arial" w:hAnsi="Arial" w:cs="Arial"/>
                <w:b/>
                <w:bCs/>
                <w:sz w:val="18"/>
                <w:szCs w:val="18"/>
                <w:lang w:val="en-US"/>
              </w:rPr>
              <w:t xml:space="preserve">L+P arm: </w:t>
            </w:r>
            <w:r w:rsidRPr="007A365C">
              <w:rPr>
                <w:rFonts w:ascii="Arial" w:hAnsi="Arial" w:cs="Arial"/>
                <w:sz w:val="18"/>
                <w:szCs w:val="18"/>
                <w:lang w:val="en-US"/>
              </w:rPr>
              <w:t xml:space="preserve">No significant changes </w:t>
            </w:r>
          </w:p>
        </w:tc>
        <w:tc>
          <w:tcPr>
            <w:tcW w:w="1456" w:type="dxa"/>
            <w:tcBorders>
              <w:top w:val="single" w:sz="18" w:space="0" w:color="auto"/>
            </w:tcBorders>
            <w:vAlign w:val="center"/>
          </w:tcPr>
          <w:p w14:paraId="1DF3F783" w14:textId="77777777" w:rsidR="007A365C" w:rsidRPr="007A365C" w:rsidRDefault="007A365C" w:rsidP="007A365C">
            <w:pPr>
              <w:spacing w:line="276" w:lineRule="auto"/>
              <w:rPr>
                <w:rFonts w:ascii="Arial" w:hAnsi="Arial" w:cs="Arial"/>
                <w:sz w:val="18"/>
                <w:szCs w:val="18"/>
                <w:lang w:val="en-US"/>
              </w:rPr>
            </w:pPr>
          </w:p>
        </w:tc>
        <w:tc>
          <w:tcPr>
            <w:tcW w:w="2219" w:type="dxa"/>
            <w:tcBorders>
              <w:top w:val="single" w:sz="18" w:space="0" w:color="auto"/>
            </w:tcBorders>
            <w:vAlign w:val="center"/>
          </w:tcPr>
          <w:p w14:paraId="336B1EFA"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AE related to treatment with GnRH agonist (anemia, fatigue, vasomotor flushing) reported in both groups. Serious AEs were reported in 14% and 24% of L and L+P arms, respectively</w:t>
            </w:r>
          </w:p>
        </w:tc>
      </w:tr>
      <w:tr w:rsidR="007A365C" w:rsidRPr="007A365C" w14:paraId="44700C67" w14:textId="77777777" w:rsidTr="000E4810">
        <w:trPr>
          <w:trHeight w:val="1590"/>
        </w:trPr>
        <w:tc>
          <w:tcPr>
            <w:tcW w:w="1668" w:type="dxa"/>
            <w:vAlign w:val="center"/>
          </w:tcPr>
          <w:p w14:paraId="4A2C0777" w14:textId="6E084550"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Smith et al., 2003 </w:t>
            </w:r>
            <w:r w:rsidRPr="007A365C">
              <w:rPr>
                <w:rFonts w:ascii="Arial" w:hAnsi="Arial" w:cs="Arial"/>
                <w:sz w:val="18"/>
                <w:szCs w:val="18"/>
                <w:lang w:val="en-US"/>
              </w:rPr>
              <w:fldChar w:fldCharType="begin"/>
            </w:r>
            <w:r w:rsidR="00245F2E">
              <w:rPr>
                <w:rFonts w:ascii="Arial" w:hAnsi="Arial" w:cs="Arial"/>
                <w:sz w:val="18"/>
                <w:szCs w:val="18"/>
                <w:lang w:val="en-US"/>
              </w:rPr>
              <w:instrText xml:space="preserve"> ADDIN EN.CITE &lt;EndNote&gt;&lt;Cite&gt;&lt;Author&gt;Smith&lt;/Author&gt;&lt;Year&gt;2003&lt;/Year&gt;&lt;RecNum&gt;112&lt;/RecNum&gt;&lt;DisplayText&gt;[2]&lt;/DisplayText&gt;&lt;record&gt;&lt;rec-number&gt;112&lt;/rec-number&gt;&lt;foreign-keys&gt;&lt;key app="EN" db-id="9500tws5wxaswce5eva5pfa1txrxevw25eap" timestamp="1613408859"&gt;112&lt;/key&gt;&lt;/foreign-keys&gt;&lt;ref-type name="Journal Article"&gt;17&lt;/ref-type&gt;&lt;contributors&gt;&lt;authors&gt;&lt;author&gt;Smith, M. R.&lt;/author&gt;&lt;author&gt;Eastham, J.&lt;/author&gt;&lt;author&gt;Gleason, D. M.&lt;/author&gt;&lt;author&gt;Shasha, D.&lt;/author&gt;&lt;author&gt;Tchekmedyian, S.&lt;/author&gt;&lt;author&gt;Zinner, N.&lt;/author&gt;&lt;/authors&gt;&lt;/contributors&gt;&lt;auth-address&gt;Massachusetts General Hospital, Boston, Massachusetts, USA.&lt;/auth-address&gt;&lt;titles&gt;&lt;title&gt;Randomized controlled trial of zoledronic acid to prevent bone loss in men receiving androgen deprivation therapy for nonmetastatic prostate cancer&lt;/title&gt;&lt;secondary-title&gt;J Urol&lt;/secondary-title&gt;&lt;/titles&gt;&lt;pages&gt;2008-12&lt;/pages&gt;&lt;volume&gt;169&lt;/volume&gt;&lt;number&gt;6&lt;/number&gt;&lt;keywords&gt;&lt;keyword&gt;Aged&lt;/keyword&gt;&lt;keyword&gt;Androgen Antagonists/adverse effects/therapeutic use&lt;/keyword&gt;&lt;keyword&gt;Bone Density/drug effects&lt;/keyword&gt;&lt;keyword&gt;Diphosphonates/*therapeutic use&lt;/keyword&gt;&lt;keyword&gt;Double-Blind Method&lt;/keyword&gt;&lt;keyword&gt;Gonadotropin-Releasing Hormone/adverse effects/agonists/therapeutic use&lt;/keyword&gt;&lt;keyword&gt;Humans&lt;/keyword&gt;&lt;keyword&gt;Imidazoles/*therapeutic use&lt;/keyword&gt;&lt;keyword&gt;Male&lt;/keyword&gt;&lt;keyword&gt;Orchiectomy/adverse effects&lt;/keyword&gt;&lt;keyword&gt;Osteoporosis/etiology/*prevention &amp;amp; control&lt;/keyword&gt;&lt;keyword&gt;Prostatic Neoplasms/drug therapy/*therapy&lt;/keyword&gt;&lt;keyword&gt;Zoledronic Acid&lt;/keyword&gt;&lt;/keywords&gt;&lt;dates&gt;&lt;year&gt;2003&lt;/year&gt;&lt;pub-dates&gt;&lt;date&gt;Jun&lt;/date&gt;&lt;/pub-dates&gt;&lt;/dates&gt;&lt;isbn&gt;0022-5347 (Print)&amp;#xD;0022-5347 (Linking)&lt;/isbn&gt;&lt;accession-num&gt;12771706&lt;/accession-num&gt;&lt;urls&gt;&lt;related-urls&gt;&lt;url&gt;https://www.ncbi.nlm.nih.gov/pubmed/12771706&lt;/url&gt;&lt;/related-urls&gt;&lt;/urls&gt;&lt;electronic-resource-num&gt;10.1097/01.ju.0000063820.94994.95&lt;/electronic-resource-num&gt;&lt;/record&gt;&lt;/Cite&gt;&lt;/EndNote&gt;</w:instrText>
            </w:r>
            <w:r w:rsidRPr="007A365C">
              <w:rPr>
                <w:rFonts w:ascii="Arial" w:hAnsi="Arial" w:cs="Arial"/>
                <w:sz w:val="18"/>
                <w:szCs w:val="18"/>
                <w:lang w:val="en-US"/>
              </w:rPr>
              <w:fldChar w:fldCharType="separate"/>
            </w:r>
            <w:r w:rsidR="00245F2E">
              <w:rPr>
                <w:rFonts w:ascii="Arial" w:hAnsi="Arial" w:cs="Arial"/>
                <w:noProof/>
                <w:sz w:val="18"/>
                <w:szCs w:val="18"/>
                <w:lang w:val="en-US"/>
              </w:rPr>
              <w:t>[2]</w:t>
            </w:r>
            <w:r w:rsidRPr="007A365C">
              <w:rPr>
                <w:rFonts w:ascii="Arial" w:hAnsi="Arial" w:cs="Arial"/>
                <w:sz w:val="18"/>
                <w:szCs w:val="18"/>
                <w:lang w:val="en-US"/>
              </w:rPr>
              <w:fldChar w:fldCharType="end"/>
            </w:r>
          </w:p>
          <w:p w14:paraId="16272C49"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(1 y.)</w:t>
            </w:r>
          </w:p>
        </w:tc>
        <w:tc>
          <w:tcPr>
            <w:tcW w:w="1985" w:type="dxa"/>
            <w:vAlign w:val="center"/>
          </w:tcPr>
          <w:p w14:paraId="77DAAE01"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Men with PC beginning ADT (GnRH-agonist w/wo antiandrogen) </w:t>
            </w:r>
          </w:p>
        </w:tc>
        <w:tc>
          <w:tcPr>
            <w:tcW w:w="2366" w:type="dxa"/>
            <w:vAlign w:val="center"/>
          </w:tcPr>
          <w:p w14:paraId="1B525321"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Men on calcitonin, bisphosphonates or organ dysfunction or LS BMD T-score </w:t>
            </w:r>
            <w:r w:rsidRPr="007A365C">
              <w:rPr>
                <w:rFonts w:ascii="Arial" w:hAnsi="Arial" w:cs="Arial"/>
                <w:sz w:val="18"/>
                <w:szCs w:val="18"/>
                <w:lang w:val="en-US"/>
              </w:rPr>
              <w:sym w:font="Symbol" w:char="F03C"/>
            </w:r>
            <w:r w:rsidRPr="007A365C">
              <w:rPr>
                <w:rFonts w:ascii="Arial" w:hAnsi="Arial" w:cs="Arial"/>
                <w:sz w:val="18"/>
                <w:szCs w:val="18"/>
                <w:lang w:val="en-US"/>
              </w:rPr>
              <w:t xml:space="preserve">-3 </w:t>
            </w:r>
          </w:p>
        </w:tc>
        <w:tc>
          <w:tcPr>
            <w:tcW w:w="2161" w:type="dxa"/>
            <w:vAlign w:val="center"/>
          </w:tcPr>
          <w:p w14:paraId="404BC8B8"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156 subjects</w:t>
            </w:r>
            <w:r w:rsidRPr="007A365C">
              <w:rPr>
                <w:rFonts w:ascii="Arial" w:hAnsi="Arial" w:cs="Arial"/>
                <w:sz w:val="18"/>
                <w:szCs w:val="18"/>
                <w:lang w:val="en-US"/>
              </w:rPr>
              <w:t xml:space="preserve"> randomized 1:1 to receive either ZOL (IV, 4 mg) or placebo every 3 months for 1 y. All subjects were instructed to take calcium/vitamin D supplements</w:t>
            </w:r>
          </w:p>
        </w:tc>
        <w:tc>
          <w:tcPr>
            <w:tcW w:w="2462" w:type="dxa"/>
            <w:vAlign w:val="center"/>
          </w:tcPr>
          <w:p w14:paraId="3660095F"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Significant changes in LS BMD: 5.6% increase in ZOL group </w:t>
            </w:r>
            <w:r w:rsidRPr="007A365C">
              <w:rPr>
                <w:rFonts w:ascii="Arial" w:hAnsi="Arial" w:cs="Arial"/>
                <w:i/>
                <w:iCs/>
                <w:sz w:val="18"/>
                <w:szCs w:val="18"/>
                <w:lang w:val="en-US"/>
              </w:rPr>
              <w:t>vs</w:t>
            </w:r>
            <w:r w:rsidRPr="007A365C">
              <w:rPr>
                <w:rFonts w:ascii="Arial" w:hAnsi="Arial" w:cs="Arial"/>
                <w:sz w:val="18"/>
                <w:szCs w:val="18"/>
                <w:lang w:val="en-US"/>
              </w:rPr>
              <w:t xml:space="preserve"> 2.2% decrease in placebo group. Significant mean percent change between groups was 7.8%</w:t>
            </w:r>
          </w:p>
        </w:tc>
        <w:tc>
          <w:tcPr>
            <w:tcW w:w="1456" w:type="dxa"/>
            <w:vAlign w:val="center"/>
          </w:tcPr>
          <w:p w14:paraId="1D5442C7" w14:textId="77777777" w:rsidR="007A365C" w:rsidRPr="007A365C" w:rsidRDefault="007A365C" w:rsidP="007A365C">
            <w:pPr>
              <w:spacing w:line="276" w:lineRule="auto"/>
              <w:rPr>
                <w:rFonts w:ascii="Arial" w:hAnsi="Arial" w:cs="Arial"/>
                <w:sz w:val="18"/>
                <w:szCs w:val="18"/>
                <w:lang w:val="en-US"/>
              </w:rPr>
            </w:pPr>
          </w:p>
        </w:tc>
        <w:tc>
          <w:tcPr>
            <w:tcW w:w="2219" w:type="dxa"/>
            <w:vAlign w:val="center"/>
          </w:tcPr>
          <w:p w14:paraId="449287C9"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Hot flushes and fatigue in both groups. No significant differences in serious or severe AEs between groups. ZOL did not reduce the ADT efficacy or induce renal dysfunction</w:t>
            </w:r>
          </w:p>
        </w:tc>
      </w:tr>
      <w:tr w:rsidR="007A365C" w:rsidRPr="007A365C" w14:paraId="6BF24CB8" w14:textId="77777777" w:rsidTr="000E4810">
        <w:trPr>
          <w:trHeight w:val="2067"/>
        </w:trPr>
        <w:tc>
          <w:tcPr>
            <w:tcW w:w="1668" w:type="dxa"/>
            <w:vAlign w:val="center"/>
          </w:tcPr>
          <w:p w14:paraId="199891DA" w14:textId="21A2D291"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Ryan et al., 2006 </w:t>
            </w:r>
            <w:r w:rsidRPr="007A365C">
              <w:rPr>
                <w:rFonts w:ascii="Arial" w:hAnsi="Arial" w:cs="Arial"/>
                <w:sz w:val="18"/>
                <w:szCs w:val="18"/>
                <w:lang w:val="en-US"/>
              </w:rPr>
              <w:fldChar w:fldCharType="begin"/>
            </w:r>
            <w:r w:rsidR="00245F2E">
              <w:rPr>
                <w:rFonts w:ascii="Arial" w:hAnsi="Arial" w:cs="Arial"/>
                <w:sz w:val="18"/>
                <w:szCs w:val="18"/>
                <w:lang w:val="en-US"/>
              </w:rPr>
              <w:instrText xml:space="preserve"> ADDIN EN.CITE &lt;EndNote&gt;&lt;Cite&gt;&lt;Author&gt;Ryan&lt;/Author&gt;&lt;Year&gt;2006&lt;/Year&gt;&lt;RecNum&gt;110&lt;/RecNum&gt;&lt;DisplayText&gt;[3]&lt;/DisplayText&gt;&lt;record&gt;&lt;rec-number&gt;110&lt;/rec-number&gt;&lt;foreign-keys&gt;&lt;key app="EN" db-id="9500tws5wxaswce5eva5pfa1txrxevw25eap" timestamp="1613408679"&gt;110&lt;/key&gt;&lt;/foreign-keys&gt;&lt;ref-type name="Journal Article"&gt;17&lt;/ref-type&gt;&lt;contributors&gt;&lt;authors&gt;&lt;author&gt;Ryan, C. W.&lt;/author&gt;&lt;author&gt;Huo, D.&lt;/author&gt;&lt;author&gt;Demers, L. M.&lt;/author&gt;&lt;author&gt;Beer, T. M.&lt;/author&gt;&lt;author&gt;Lacerna, L. V.&lt;/author&gt;&lt;/authors&gt;&lt;/contributors&gt;&lt;auth-address&gt;Division of Hematology/Oncology, Oregon Health and Science University, 3181 Southwest Sam Jackson Park Road, Portland, OR 97239, USA. ryanc@ohsu.edu&lt;/auth-address&gt;&lt;titles&gt;&lt;title&gt;Zoledronic acid initiated during the first year of androgen deprivation therapy increases bone mineral density in patients with prostate cancer&lt;/title&gt;&lt;secondary-title&gt;J Urol&lt;/secondary-title&gt;&lt;/titles&gt;&lt;pages&gt;972-8; discussion 978&lt;/pages&gt;&lt;volume&gt;176&lt;/volume&gt;&lt;number&gt;3&lt;/number&gt;&lt;keywords&gt;&lt;keyword&gt;Adenocarcinoma/*therapy&lt;/keyword&gt;&lt;keyword&gt;Aged&lt;/keyword&gt;&lt;keyword&gt;Aged, 80 and over&lt;/keyword&gt;&lt;keyword&gt;Bone Density/*drug effects&lt;/keyword&gt;&lt;keyword&gt;Bone Density Conservation Agents/*pharmacology&lt;/keyword&gt;&lt;keyword&gt;Diphosphonates/*pharmacology&lt;/keyword&gt;&lt;keyword&gt;Gonadotropin-Releasing Hormone/*agonists&lt;/keyword&gt;&lt;keyword&gt;Humans&lt;/keyword&gt;&lt;keyword&gt;Imidazoles/*pharmacology&lt;/keyword&gt;&lt;keyword&gt;Male&lt;/keyword&gt;&lt;keyword&gt;Middle Aged&lt;/keyword&gt;&lt;keyword&gt;*Orchiectomy&lt;/keyword&gt;&lt;keyword&gt;Prostatic Neoplasms/*therapy&lt;/keyword&gt;&lt;keyword&gt;Time Factors&lt;/keyword&gt;&lt;keyword&gt;Zoledronic Acid&lt;/keyword&gt;&lt;/keywords&gt;&lt;dates&gt;&lt;year&gt;2006&lt;/year&gt;&lt;pub-dates&gt;&lt;date&gt;Sep&lt;/date&gt;&lt;/pub-dates&gt;&lt;/dates&gt;&lt;isbn&gt;0022-5347 (Print)&amp;#xD;0022-5347 (Linking)&lt;/isbn&gt;&lt;accession-num&gt;16890673&lt;/accession-num&gt;&lt;urls&gt;&lt;related-urls&gt;&lt;url&gt;https://www.ncbi.nlm.nih.gov/pubmed/16890673&lt;/url&gt;&lt;/related-urls&gt;&lt;/urls&gt;&lt;electronic-resource-num&gt;10.1016/j.juro.2006.04.078&lt;/electronic-resource-num&gt;&lt;/record&gt;&lt;/Cite&gt;&lt;/EndNote&gt;</w:instrText>
            </w:r>
            <w:r w:rsidRPr="007A365C">
              <w:rPr>
                <w:rFonts w:ascii="Arial" w:hAnsi="Arial" w:cs="Arial"/>
                <w:sz w:val="18"/>
                <w:szCs w:val="18"/>
                <w:lang w:val="en-US"/>
              </w:rPr>
              <w:fldChar w:fldCharType="separate"/>
            </w:r>
            <w:r w:rsidR="00245F2E">
              <w:rPr>
                <w:rFonts w:ascii="Arial" w:hAnsi="Arial" w:cs="Arial"/>
                <w:noProof/>
                <w:sz w:val="18"/>
                <w:szCs w:val="18"/>
                <w:lang w:val="en-US"/>
              </w:rPr>
              <w:t>[3]</w:t>
            </w:r>
            <w:r w:rsidRPr="007A365C">
              <w:rPr>
                <w:rFonts w:ascii="Arial" w:hAnsi="Arial" w:cs="Arial"/>
                <w:sz w:val="18"/>
                <w:szCs w:val="18"/>
                <w:lang w:val="en-US"/>
              </w:rPr>
              <w:fldChar w:fldCharType="end"/>
            </w:r>
          </w:p>
          <w:p w14:paraId="0D202826"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(1 y.)</w:t>
            </w:r>
          </w:p>
        </w:tc>
        <w:tc>
          <w:tcPr>
            <w:tcW w:w="1985" w:type="dxa"/>
            <w:vAlign w:val="center"/>
          </w:tcPr>
          <w:p w14:paraId="25B0E604"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Men with non-metastatic PC receiving ADT (GnRH-agonists)</w:t>
            </w:r>
          </w:p>
          <w:p w14:paraId="0E74E160" w14:textId="77777777" w:rsidR="007A365C" w:rsidRPr="007A365C" w:rsidRDefault="007A365C" w:rsidP="007A365C">
            <w:pPr>
              <w:spacing w:line="276" w:lineRule="auto"/>
              <w:rPr>
                <w:rFonts w:ascii="Arial" w:hAnsi="Arial" w:cs="Arial"/>
                <w:sz w:val="18"/>
                <w:szCs w:val="18"/>
                <w:lang w:val="en-US"/>
              </w:rPr>
            </w:pPr>
          </w:p>
        </w:tc>
        <w:tc>
          <w:tcPr>
            <w:tcW w:w="2366" w:type="dxa"/>
            <w:vAlign w:val="center"/>
          </w:tcPr>
          <w:p w14:paraId="34F6E303"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Patients who received previous bisphosphonate therapy, with life expectancy &lt; 1 y., or with FN, TH or LS T-score &lt; -2.5</w:t>
            </w:r>
          </w:p>
        </w:tc>
        <w:tc>
          <w:tcPr>
            <w:tcW w:w="2161" w:type="dxa"/>
            <w:vAlign w:val="center"/>
          </w:tcPr>
          <w:p w14:paraId="7E6FBA56"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120 patients</w:t>
            </w:r>
            <w:r w:rsidRPr="007A365C">
              <w:rPr>
                <w:rFonts w:ascii="Arial" w:hAnsi="Arial" w:cs="Arial"/>
                <w:sz w:val="18"/>
                <w:szCs w:val="18"/>
                <w:lang w:val="en-US"/>
              </w:rPr>
              <w:t xml:space="preserve"> randomized 1:1 to receive ZOL (IV) or placebo (P). All patients received calcium/vitamin D supplements</w:t>
            </w:r>
          </w:p>
        </w:tc>
        <w:tc>
          <w:tcPr>
            <w:tcW w:w="2462" w:type="dxa"/>
            <w:vAlign w:val="center"/>
          </w:tcPr>
          <w:p w14:paraId="1F4C63B0"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Relative increase in FN, TH and LS BMD was 3.6%, 3.8% and 6.7%, respectively, in ZOL group. Mean BALP and NTX levels decreased. FN, TH and LS BMD decreased in P (≥ 2%). Increased mean BALP and NTX levels</w:t>
            </w:r>
          </w:p>
        </w:tc>
        <w:tc>
          <w:tcPr>
            <w:tcW w:w="1456" w:type="dxa"/>
            <w:vAlign w:val="center"/>
          </w:tcPr>
          <w:p w14:paraId="509926E3" w14:textId="77777777" w:rsidR="007A365C" w:rsidRPr="007A365C" w:rsidRDefault="007A365C" w:rsidP="007A365C">
            <w:pPr>
              <w:spacing w:line="276" w:lineRule="auto"/>
              <w:rPr>
                <w:rFonts w:ascii="Arial" w:hAnsi="Arial" w:cs="Arial"/>
                <w:sz w:val="18"/>
                <w:szCs w:val="18"/>
                <w:lang w:val="en-US"/>
              </w:rPr>
            </w:pPr>
          </w:p>
        </w:tc>
        <w:tc>
          <w:tcPr>
            <w:tcW w:w="2219" w:type="dxa"/>
            <w:vAlign w:val="center"/>
          </w:tcPr>
          <w:p w14:paraId="1E75A50A"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Incidence of serious and adverse AEs did not differ between groups.  No renal failure or ONJ were reported in ZOL arm</w:t>
            </w:r>
          </w:p>
          <w:p w14:paraId="22492A8E" w14:textId="77777777" w:rsidR="007A365C" w:rsidRPr="007A365C" w:rsidRDefault="007A365C" w:rsidP="007A365C">
            <w:pPr>
              <w:spacing w:line="276" w:lineRule="auto"/>
              <w:rPr>
                <w:rFonts w:ascii="Arial" w:hAnsi="Arial" w:cs="Arial"/>
                <w:sz w:val="18"/>
                <w:szCs w:val="18"/>
                <w:lang w:val="en-US"/>
              </w:rPr>
            </w:pPr>
          </w:p>
        </w:tc>
      </w:tr>
      <w:tr w:rsidR="007A365C" w:rsidRPr="007A365C" w14:paraId="26235964" w14:textId="77777777" w:rsidTr="000E4810">
        <w:trPr>
          <w:trHeight w:val="1267"/>
        </w:trPr>
        <w:tc>
          <w:tcPr>
            <w:tcW w:w="1668" w:type="dxa"/>
            <w:vAlign w:val="center"/>
          </w:tcPr>
          <w:p w14:paraId="49762574" w14:textId="281448A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Israeli et al., 2007 </w:t>
            </w:r>
            <w:r w:rsidRPr="007A365C">
              <w:rPr>
                <w:rFonts w:ascii="Arial" w:hAnsi="Arial" w:cs="Arial"/>
                <w:sz w:val="18"/>
                <w:szCs w:val="18"/>
                <w:lang w:val="en-US"/>
              </w:rPr>
              <w:fldChar w:fldCharType="begin">
                <w:fldData xml:space="preserve">PEVuZE5vdGU+PENpdGU+PEF1dGhvcj5Jc3JhZWxpPC9BdXRob3I+PFllYXI+MjAwNzwvWWVhcj48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PEVuZE5vdGU+PENpdGU+PEF1dGhvcj5Jc3JhZWxpPC9BdXRob3I+PFllYXI+MjAwNzwvWWVhcj48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[4]</w:t>
            </w:r>
            <w:r w:rsidRPr="007A365C">
              <w:rPr>
                <w:rFonts w:ascii="Arial" w:hAnsi="Arial" w:cs="Arial"/>
                <w:sz w:val="18"/>
                <w:szCs w:val="18"/>
                <w:lang w:val="en-US"/>
              </w:rPr>
              <w:fldChar w:fldCharType="end"/>
            </w:r>
          </w:p>
          <w:p w14:paraId="5487C1A9"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(52 weeks)</w:t>
            </w:r>
          </w:p>
        </w:tc>
        <w:tc>
          <w:tcPr>
            <w:tcW w:w="1985" w:type="dxa"/>
            <w:vAlign w:val="center"/>
          </w:tcPr>
          <w:p w14:paraId="771D4729"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Patients with non- metastatic PC within 1 y. of starting ADT for an intended duration ≥1 y or who had undergone orchiectomy. All patients were required to have a T-score ≥ –2 in the LS (L2-L4) and TH and life expectancy of ≥1 y</w:t>
            </w:r>
          </w:p>
        </w:tc>
        <w:tc>
          <w:tcPr>
            <w:tcW w:w="2366" w:type="dxa"/>
            <w:vAlign w:val="center"/>
          </w:tcPr>
          <w:p w14:paraId="393FD6C6"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Patients were excluded if they had abnormal renal function or known hypersensitivity to any bisphosphonate, had received previous treatment for osteoporosis within 12 months, or anabolic steroids or growth hormones within 6 months</w:t>
            </w:r>
          </w:p>
        </w:tc>
        <w:tc>
          <w:tcPr>
            <w:tcW w:w="2161" w:type="dxa"/>
            <w:vAlign w:val="center"/>
          </w:tcPr>
          <w:p w14:paraId="611F2C8A"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222 patients</w:t>
            </w:r>
            <w:r w:rsidRPr="007A365C">
              <w:rPr>
                <w:rFonts w:ascii="Arial" w:hAnsi="Arial" w:cs="Arial"/>
                <w:sz w:val="18"/>
                <w:szCs w:val="18"/>
                <w:lang w:val="en-US"/>
              </w:rPr>
              <w:t xml:space="preserve"> randomized 1:1 to receive ZOL (IV) or placebo (P). All patients were instructed to take daily calcium/vitamin D supplements</w:t>
            </w:r>
          </w:p>
        </w:tc>
        <w:tc>
          <w:tcPr>
            <w:tcW w:w="2462" w:type="dxa"/>
            <w:vAlign w:val="center"/>
          </w:tcPr>
          <w:p w14:paraId="03FC9655"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At 52 weeks, BMD increased in the LS (4.7%) and TH (1.6%) in the ZOL arm vs. P. BMD decreased in LS (-2%) and TH (-2.1%). Differences in LS and TH BMD were 6.7% and 3.7%, respectively. ZOL-treated patients with low baseline T-scores had greater LS BMD increases vs. patients with normal baseline T-scores</w:t>
            </w:r>
          </w:p>
        </w:tc>
        <w:tc>
          <w:tcPr>
            <w:tcW w:w="1456" w:type="dxa"/>
            <w:vAlign w:val="center"/>
          </w:tcPr>
          <w:p w14:paraId="0C1FF973"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Trauma related fractures occurred in the ZOL arm (2 patients) and P arm (3 patients)</w:t>
            </w:r>
          </w:p>
          <w:p w14:paraId="41B15797" w14:textId="77777777" w:rsidR="007A365C" w:rsidRPr="007A365C" w:rsidRDefault="007A365C" w:rsidP="007A365C">
            <w:pPr>
              <w:spacing w:line="276" w:lineRule="auto"/>
              <w:rPr>
                <w:rFonts w:ascii="Arial" w:hAnsi="Arial" w:cs="Arial"/>
                <w:sz w:val="18"/>
                <w:szCs w:val="18"/>
                <w:lang w:val="en-US"/>
              </w:rPr>
            </w:pPr>
          </w:p>
        </w:tc>
        <w:tc>
          <w:tcPr>
            <w:tcW w:w="2219" w:type="dxa"/>
            <w:vAlign w:val="center"/>
          </w:tcPr>
          <w:p w14:paraId="4B7A1924"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Incidence and type of AEs were similar between groups. Most common AEs included flu-like illness, fatigue and pyrexia. No ONJ was reported in either group</w:t>
            </w:r>
          </w:p>
        </w:tc>
      </w:tr>
      <w:tr w:rsidR="007A365C" w:rsidRPr="007A365C" w14:paraId="4060D54D" w14:textId="77777777" w:rsidTr="000E4810">
        <w:trPr>
          <w:trHeight w:val="983"/>
        </w:trPr>
        <w:tc>
          <w:tcPr>
            <w:tcW w:w="1668" w:type="dxa"/>
            <w:vAlign w:val="center"/>
          </w:tcPr>
          <w:p w14:paraId="3529069A" w14:textId="0ABB1454"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Greenspan et al., 2008 </w:t>
            </w:r>
            <w:r w:rsidRPr="007A365C">
              <w:rPr>
                <w:rFonts w:ascii="Arial" w:hAnsi="Arial" w:cs="Arial"/>
                <w:sz w:val="18"/>
                <w:szCs w:val="18"/>
                <w:lang w:val="en-US"/>
              </w:rPr>
              <w:fldChar w:fldCharType="begin">
                <w:fldData xml:space="preserve">PEVuZE5vdGU+PENpdGU+PEF1dGhvcj5HcmVlbnNwYW48L0F1dGhvcj48WWVhcj4yMDA4PC9ZZWFy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=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PEVuZE5vdGU+PENpdGU+PEF1dGhvcj5HcmVlbnNwYW48L0F1dGhvcj48WWVhcj4yMDA4PC9ZZWFy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=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[5]</w:t>
            </w:r>
            <w:r w:rsidRPr="007A365C">
              <w:rPr>
                <w:rFonts w:ascii="Arial" w:hAnsi="Arial" w:cs="Arial"/>
                <w:sz w:val="18"/>
                <w:szCs w:val="18"/>
                <w:lang w:val="en-US"/>
              </w:rPr>
              <w:fldChar w:fldCharType="end"/>
            </w:r>
          </w:p>
          <w:p w14:paraId="01EF2168"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(2 y.)</w:t>
            </w:r>
          </w:p>
        </w:tc>
        <w:tc>
          <w:tcPr>
            <w:tcW w:w="1985" w:type="dxa"/>
            <w:vAlign w:val="center"/>
          </w:tcPr>
          <w:p w14:paraId="4DE155FE"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Men with non-metastatic PC receiving ADT</w:t>
            </w:r>
          </w:p>
        </w:tc>
        <w:tc>
          <w:tcPr>
            <w:tcW w:w="2366" w:type="dxa"/>
            <w:vAlign w:val="center"/>
          </w:tcPr>
          <w:p w14:paraId="58ACC87E"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Men were excluded if they were receiving medication or had diseases known to affect bone metabolism, had a testosterone not in castrate range, or were previously or currently on a bisphosphonate</w:t>
            </w:r>
          </w:p>
        </w:tc>
        <w:tc>
          <w:tcPr>
            <w:tcW w:w="2161" w:type="dxa"/>
            <w:vAlign w:val="center"/>
          </w:tcPr>
          <w:p w14:paraId="779464BC"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112 patients</w:t>
            </w:r>
            <w:r w:rsidRPr="007A365C">
              <w:rPr>
                <w:rFonts w:ascii="Arial" w:hAnsi="Arial" w:cs="Arial"/>
                <w:sz w:val="18"/>
                <w:szCs w:val="18"/>
                <w:lang w:val="en-US"/>
              </w:rPr>
              <w:t xml:space="preserve"> randomized 1:1 to receive alendronate (A) or placebo (P) during 1</w:t>
            </w:r>
            <w:r w:rsidRPr="007A365C">
              <w:rPr>
                <w:rFonts w:ascii="Arial" w:hAnsi="Arial" w:cs="Arial"/>
                <w:sz w:val="18"/>
                <w:szCs w:val="18"/>
                <w:vertAlign w:val="superscript"/>
                <w:lang w:val="en-US"/>
              </w:rPr>
              <w:t>st</w:t>
            </w:r>
            <w:r w:rsidRPr="007A365C">
              <w:rPr>
                <w:rFonts w:ascii="Arial" w:hAnsi="Arial" w:cs="Arial"/>
                <w:sz w:val="18"/>
                <w:szCs w:val="18"/>
                <w:lang w:val="en-US"/>
              </w:rPr>
              <w:t xml:space="preserve"> y. In the 2</w:t>
            </w:r>
            <w:r w:rsidRPr="007A365C">
              <w:rPr>
                <w:rFonts w:ascii="Arial" w:hAnsi="Arial" w:cs="Arial"/>
                <w:sz w:val="18"/>
                <w:szCs w:val="18"/>
                <w:vertAlign w:val="superscript"/>
                <w:lang w:val="en-US"/>
              </w:rPr>
              <w:t xml:space="preserve">nd </w:t>
            </w:r>
            <w:r w:rsidRPr="007A365C">
              <w:rPr>
                <w:rFonts w:ascii="Arial" w:hAnsi="Arial" w:cs="Arial"/>
                <w:sz w:val="18"/>
                <w:szCs w:val="18"/>
                <w:lang w:val="en-US"/>
              </w:rPr>
              <w:t>y., A-arm was re-randomized to alendronate (A-A) or placebo (A-P). P-arm was reassigned to alendronate (P-A). All patients received calcium/vitamin D</w:t>
            </w:r>
          </w:p>
        </w:tc>
        <w:tc>
          <w:tcPr>
            <w:tcW w:w="2462" w:type="dxa"/>
            <w:vAlign w:val="center"/>
          </w:tcPr>
          <w:p w14:paraId="12E96DC5"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A-A group</w:t>
            </w:r>
            <w:r w:rsidRPr="007A365C">
              <w:rPr>
                <w:rFonts w:ascii="Arial" w:hAnsi="Arial" w:cs="Arial"/>
                <w:sz w:val="18"/>
                <w:szCs w:val="18"/>
                <w:lang w:val="en-US"/>
              </w:rPr>
              <w:t xml:space="preserve"> had the most significant increases in BMD at LS (6.7%), TH (1.6%) and FN (3.2%). Mean BMD increased in   </w:t>
            </w:r>
            <w:r w:rsidRPr="007A365C">
              <w:rPr>
                <w:rFonts w:ascii="Arial" w:hAnsi="Arial" w:cs="Arial"/>
                <w:b/>
                <w:bCs/>
                <w:sz w:val="18"/>
                <w:szCs w:val="18"/>
                <w:lang w:val="en-US"/>
              </w:rPr>
              <w:t>A-P</w:t>
            </w:r>
            <w:r w:rsidRPr="007A365C">
              <w:rPr>
                <w:rFonts w:ascii="Arial" w:hAnsi="Arial" w:cs="Arial"/>
                <w:sz w:val="18"/>
                <w:szCs w:val="18"/>
                <w:lang w:val="en-US"/>
              </w:rPr>
              <w:t xml:space="preserve"> and </w:t>
            </w:r>
            <w:r w:rsidRPr="007A365C">
              <w:rPr>
                <w:rFonts w:ascii="Arial" w:hAnsi="Arial" w:cs="Arial"/>
                <w:b/>
                <w:bCs/>
                <w:sz w:val="18"/>
                <w:szCs w:val="18"/>
                <w:lang w:val="en-US"/>
              </w:rPr>
              <w:t>P-A groups</w:t>
            </w:r>
            <w:r w:rsidRPr="007A365C">
              <w:rPr>
                <w:rFonts w:ascii="Arial" w:hAnsi="Arial" w:cs="Arial"/>
                <w:sz w:val="18"/>
                <w:szCs w:val="18"/>
                <w:lang w:val="en-US"/>
              </w:rPr>
              <w:t xml:space="preserve"> at LS (3.3% and 2.4%). At the one-third distal radius, BMD decreased in all groups except for men who received A for 2 y. At 2 y., BTMs were below baseline</w:t>
            </w:r>
          </w:p>
        </w:tc>
        <w:tc>
          <w:tcPr>
            <w:tcW w:w="1456" w:type="dxa"/>
            <w:vAlign w:val="center"/>
          </w:tcPr>
          <w:p w14:paraId="2024E095"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No differences in fracture incidence between groups</w:t>
            </w:r>
          </w:p>
        </w:tc>
        <w:tc>
          <w:tcPr>
            <w:tcW w:w="2219" w:type="dxa"/>
            <w:vAlign w:val="center"/>
          </w:tcPr>
          <w:p w14:paraId="41C86894"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No differences in incidence of AEs associated with A, except for myalgia and arthralgia (mostly reported in the groups assigned to A)</w:t>
            </w:r>
          </w:p>
        </w:tc>
      </w:tr>
      <w:tr w:rsidR="007A365C" w:rsidRPr="007A365C" w14:paraId="60D16F90" w14:textId="77777777" w:rsidTr="000E4810">
        <w:trPr>
          <w:trHeight w:val="96"/>
        </w:trPr>
        <w:tc>
          <w:tcPr>
            <w:tcW w:w="1668" w:type="dxa"/>
            <w:vAlign w:val="center"/>
          </w:tcPr>
          <w:p w14:paraId="5DE3B526" w14:textId="727393CB"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Smith et al., 2009 </w:t>
            </w:r>
            <w:r w:rsidRPr="007A365C">
              <w:rPr>
                <w:rFonts w:ascii="Arial" w:hAnsi="Arial" w:cs="Arial"/>
                <w:sz w:val="18"/>
                <w:szCs w:val="18"/>
                <w:lang w:val="en-US"/>
              </w:rPr>
              <w:fldChar w:fldCharType="begin">
                <w:fldData xml:space="preserve">PEVuZE5vdGU+PENpdGU+PEF1dGhvcj5TbWl0aDwvQXV0aG9yPjxZZWFyPjIwMDk8L1llYXI+PFJl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PEVuZE5vdGU+PENpdGU+PEF1dGhvcj5TbWl0aDwvQXV0aG9yPjxZZWFyPjIwMDk8L1llYXI+PFJl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[6]</w:t>
            </w:r>
            <w:r w:rsidRPr="007A365C">
              <w:rPr>
                <w:rFonts w:ascii="Arial" w:hAnsi="Arial" w:cs="Arial"/>
                <w:sz w:val="18"/>
                <w:szCs w:val="18"/>
                <w:lang w:val="en-US"/>
              </w:rPr>
              <w:fldChar w:fldCharType="end"/>
            </w:r>
          </w:p>
          <w:p w14:paraId="03A96C44"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(3 y.)</w:t>
            </w:r>
          </w:p>
        </w:tc>
        <w:tc>
          <w:tcPr>
            <w:tcW w:w="1985" w:type="dxa"/>
            <w:vAlign w:val="center"/>
          </w:tcPr>
          <w:p w14:paraId="15AB310A"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Men with non-metastatic PT receiving ADT, with low LS, TH, or FN BMD (T-score at </w:t>
            </w:r>
            <w:r w:rsidRPr="007A365C">
              <w:rPr>
                <w:rFonts w:ascii="Arial" w:hAnsi="Arial" w:cs="Arial"/>
                <w:sz w:val="18"/>
                <w:szCs w:val="18"/>
                <w:lang w:val="en-US"/>
              </w:rPr>
              <w:sym w:font="Symbol" w:char="F03C"/>
            </w:r>
            <w:r w:rsidRPr="007A365C">
              <w:rPr>
                <w:rFonts w:ascii="Arial" w:hAnsi="Arial" w:cs="Arial"/>
                <w:sz w:val="18"/>
                <w:szCs w:val="18"/>
                <w:lang w:val="en-US"/>
              </w:rPr>
              <w:t xml:space="preserve"> −1.0) at baseline or history of osteoporotic fractures</w:t>
            </w:r>
          </w:p>
        </w:tc>
        <w:tc>
          <w:tcPr>
            <w:tcW w:w="2366" w:type="dxa"/>
            <w:vAlign w:val="center"/>
          </w:tcPr>
          <w:p w14:paraId="63851948"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Concurrently receiving antineoplastic therapy or RT, current/previous exposure to oral bisphosphonates. Patients with a LS, FN or TH BMD T-score </w:t>
            </w:r>
            <w:r w:rsidRPr="007A365C">
              <w:rPr>
                <w:rFonts w:ascii="Arial" w:hAnsi="Arial" w:cs="Arial"/>
                <w:sz w:val="18"/>
                <w:szCs w:val="18"/>
                <w:lang w:val="en-US"/>
              </w:rPr>
              <w:sym w:font="Symbol" w:char="F03C"/>
            </w:r>
            <w:r w:rsidRPr="007A365C">
              <w:rPr>
                <w:rFonts w:ascii="Arial" w:hAnsi="Arial" w:cs="Arial"/>
                <w:sz w:val="18"/>
                <w:szCs w:val="18"/>
                <w:lang w:val="en-US"/>
              </w:rPr>
              <w:t xml:space="preserve"> −4.0 or currently receiving treatment for osteoporosis</w:t>
            </w:r>
          </w:p>
        </w:tc>
        <w:tc>
          <w:tcPr>
            <w:tcW w:w="2161" w:type="dxa"/>
            <w:vAlign w:val="center"/>
          </w:tcPr>
          <w:p w14:paraId="0427D865"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1468 patients</w:t>
            </w:r>
            <w:r w:rsidRPr="007A365C">
              <w:rPr>
                <w:rFonts w:ascii="Arial" w:hAnsi="Arial" w:cs="Arial"/>
                <w:sz w:val="18"/>
                <w:szCs w:val="18"/>
                <w:lang w:val="en-US"/>
              </w:rPr>
              <w:t xml:space="preserve"> randomly assigned 1:1 to receive denosumab (SC) or placebo. All patients were instructed to take daily supplements of calcium/vitamin D</w:t>
            </w:r>
          </w:p>
        </w:tc>
        <w:tc>
          <w:tcPr>
            <w:tcW w:w="2462" w:type="dxa"/>
            <w:vAlign w:val="center"/>
          </w:tcPr>
          <w:p w14:paraId="07A54A20"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LS BMD increased vs placebo at 2 y. (5.6% vs −1.0%). Denosumab was associated with significant increase in BMD at TH, FN, distal radius and all skeletal sites. At 3 y., PINP and TRAP5b decreased</w:t>
            </w:r>
          </w:p>
        </w:tc>
        <w:tc>
          <w:tcPr>
            <w:tcW w:w="1456" w:type="dxa"/>
            <w:vAlign w:val="center"/>
          </w:tcPr>
          <w:p w14:paraId="6B196046"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Denosumab was associated with significant decrease in the incidence of new vertebral fractures</w:t>
            </w:r>
          </w:p>
        </w:tc>
        <w:tc>
          <w:tcPr>
            <w:tcW w:w="2219" w:type="dxa"/>
            <w:vAlign w:val="center"/>
          </w:tcPr>
          <w:p w14:paraId="478F558A"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AE rates were similar in both groups. One patient receiving denosumab had hypocalcemia (0.1%)</w:t>
            </w:r>
          </w:p>
        </w:tc>
      </w:tr>
      <w:tr w:rsidR="007A365C" w:rsidRPr="007A365C" w14:paraId="406C6B4F" w14:textId="77777777" w:rsidTr="000E4810">
        <w:trPr>
          <w:trHeight w:val="1926"/>
        </w:trPr>
        <w:tc>
          <w:tcPr>
            <w:tcW w:w="1668" w:type="dxa"/>
            <w:vAlign w:val="center"/>
          </w:tcPr>
          <w:p w14:paraId="5DB1DEBF" w14:textId="643DF41B"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Choo et al., 2013 </w:t>
            </w:r>
            <w:r w:rsidRPr="007A365C">
              <w:rPr>
                <w:rFonts w:ascii="Arial" w:hAnsi="Arial" w:cs="Arial"/>
                <w:sz w:val="18"/>
                <w:szCs w:val="18"/>
                <w:lang w:val="en-US"/>
              </w:rPr>
              <w:fldChar w:fldCharType="begin">
                <w:fldData xml:space="preserve">PEVuZE5vdGU+PENpdGU+PEF1dGhvcj5DaG9vPC9BdXRob3I+PFllYXI+MjAxMzwvWWVhcj48UmVj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PEVuZE5vdGU+PENpdGU+PEF1dGhvcj5DaG9vPC9BdXRob3I+PFllYXI+MjAxMzwvWWVhcj48UmVj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[7]</w:t>
            </w:r>
            <w:r w:rsidRPr="007A365C">
              <w:rPr>
                <w:rFonts w:ascii="Arial" w:hAnsi="Arial" w:cs="Arial"/>
                <w:sz w:val="18"/>
                <w:szCs w:val="18"/>
                <w:lang w:val="en-US"/>
              </w:rPr>
              <w:fldChar w:fldCharType="end"/>
            </w:r>
          </w:p>
          <w:p w14:paraId="0BBB33C2"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(2 y.)</w:t>
            </w:r>
          </w:p>
        </w:tc>
        <w:tc>
          <w:tcPr>
            <w:tcW w:w="1985" w:type="dxa"/>
            <w:vAlign w:val="center"/>
          </w:tcPr>
          <w:p w14:paraId="27BD624F"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Patients with non-metastatic PC on ADT (GnRH agonists), RT and </w:t>
            </w:r>
            <w:r w:rsidRPr="007A365C">
              <w:rPr>
                <w:rFonts w:ascii="Arial" w:hAnsi="Arial" w:cs="Arial"/>
                <w:sz w:val="18"/>
                <w:szCs w:val="18"/>
                <w:lang w:val="en-US"/>
              </w:rPr>
              <w:br/>
              <w:t>LS T score &gt; -2.5</w:t>
            </w:r>
          </w:p>
        </w:tc>
        <w:tc>
          <w:tcPr>
            <w:tcW w:w="2366" w:type="dxa"/>
            <w:vAlign w:val="center"/>
          </w:tcPr>
          <w:p w14:paraId="27713975"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Nodal or distant metastasis; concurrent/previous cytotoxic medications, pelvic RT contraindicated, ADT-intended duration &lt;20 or &gt;40 months, ADT history for &gt;4 months or &gt;1 month of chronic steroid use</w:t>
            </w:r>
          </w:p>
        </w:tc>
        <w:tc>
          <w:tcPr>
            <w:tcW w:w="2161" w:type="dxa"/>
            <w:vAlign w:val="center"/>
          </w:tcPr>
          <w:p w14:paraId="3DB5FF4B" w14:textId="77777777" w:rsidR="007A365C" w:rsidRPr="007A365C" w:rsidRDefault="007A365C" w:rsidP="007A365C">
            <w:pPr>
              <w:spacing w:line="276" w:lineRule="auto"/>
              <w:rPr>
                <w:rFonts w:ascii="Arial" w:hAnsi="Arial" w:cs="Arial"/>
                <w:b/>
                <w:bCs/>
                <w:sz w:val="18"/>
                <w:szCs w:val="18"/>
                <w:lang w:val="en-US"/>
              </w:rPr>
            </w:pPr>
            <w:r w:rsidRPr="007A365C">
              <w:rPr>
                <w:rFonts w:ascii="Arial" w:hAnsi="Arial" w:cs="Arial"/>
                <w:b/>
                <w:bCs/>
                <w:sz w:val="18"/>
                <w:szCs w:val="18"/>
                <w:lang w:val="en-US"/>
              </w:rPr>
              <w:t>104 patients</w:t>
            </w:r>
            <w:r w:rsidRPr="007A365C">
              <w:rPr>
                <w:rFonts w:ascii="Arial" w:hAnsi="Arial" w:cs="Arial"/>
                <w:sz w:val="18"/>
                <w:szCs w:val="18"/>
                <w:lang w:val="en-US"/>
              </w:rPr>
              <w:t xml:space="preserve"> randomized to either risedronate (R) or placebo (P)</w:t>
            </w:r>
          </w:p>
        </w:tc>
        <w:tc>
          <w:tcPr>
            <w:tcW w:w="2462" w:type="dxa"/>
            <w:vAlign w:val="center"/>
          </w:tcPr>
          <w:p w14:paraId="0A0FA628"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At 1 and 2 y. mean LS BMD decreased by 5.77% and 13.55% (P arm) vs. 0.12% and 0.85% (R arm). Percent change for BALP was +60% (P) and 9.54% (R) and +13.8% (P) and +22.3% (R) for CTX</w:t>
            </w:r>
          </w:p>
        </w:tc>
        <w:tc>
          <w:tcPr>
            <w:tcW w:w="1456" w:type="dxa"/>
            <w:vAlign w:val="center"/>
          </w:tcPr>
          <w:p w14:paraId="15661211" w14:textId="77777777" w:rsidR="007A365C" w:rsidRPr="007A365C" w:rsidRDefault="007A365C" w:rsidP="007A365C">
            <w:pPr>
              <w:spacing w:line="276" w:lineRule="auto"/>
              <w:rPr>
                <w:rFonts w:ascii="Arial" w:hAnsi="Arial" w:cs="Arial"/>
                <w:sz w:val="18"/>
                <w:szCs w:val="18"/>
                <w:lang w:val="en-US"/>
              </w:rPr>
            </w:pPr>
          </w:p>
        </w:tc>
        <w:tc>
          <w:tcPr>
            <w:tcW w:w="2219" w:type="dxa"/>
            <w:vAlign w:val="center"/>
          </w:tcPr>
          <w:p w14:paraId="07CFDF3C"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The risedronate arm had</w:t>
            </w:r>
          </w:p>
          <w:p w14:paraId="4CB3B818"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more AEs in the GI and pain domain, whereas the placebo had more AEs in the endocrine domain</w:t>
            </w:r>
          </w:p>
          <w:p w14:paraId="25AA4C82"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No ONJ was reported</w:t>
            </w:r>
          </w:p>
          <w:p w14:paraId="1145DE43" w14:textId="77777777" w:rsidR="007A365C" w:rsidRPr="007A365C" w:rsidRDefault="007A365C" w:rsidP="007A365C">
            <w:pPr>
              <w:spacing w:line="276" w:lineRule="auto"/>
              <w:rPr>
                <w:rFonts w:ascii="Arial" w:hAnsi="Arial" w:cs="Arial"/>
                <w:sz w:val="18"/>
                <w:szCs w:val="18"/>
                <w:lang w:val="en-US"/>
              </w:rPr>
            </w:pPr>
          </w:p>
        </w:tc>
      </w:tr>
      <w:tr w:rsidR="007A365C" w:rsidRPr="007A365C" w14:paraId="2A70DB8C" w14:textId="77777777" w:rsidTr="000E4810">
        <w:trPr>
          <w:trHeight w:val="1835"/>
        </w:trPr>
        <w:tc>
          <w:tcPr>
            <w:tcW w:w="1668" w:type="dxa"/>
            <w:vAlign w:val="center"/>
          </w:tcPr>
          <w:p w14:paraId="1A5D8DAB" w14:textId="3BEC455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Kachnic et al., 2013 </w:t>
            </w:r>
            <w:r w:rsidRPr="007A365C">
              <w:rPr>
                <w:rFonts w:ascii="Arial" w:hAnsi="Arial" w:cs="Arial"/>
                <w:sz w:val="18"/>
                <w:szCs w:val="18"/>
                <w:lang w:val="en-US"/>
              </w:rPr>
              <w:fldChar w:fldCharType="begin">
                <w:fldData xml:space="preserve">PEVuZE5vdGU+PENpdGU+PEF1dGhvcj5LYWNobmljPC9BdXRob3I+PFllYXI+MjAxMzwvWWVhcj48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PEVuZE5vdGU+PENpdGU+PEF1dGhvcj5LYWNobmljPC9BdXRob3I+PFllYXI+MjAxMzwvWWVhcj48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[8]</w:t>
            </w:r>
            <w:r w:rsidRPr="007A365C">
              <w:rPr>
                <w:rFonts w:ascii="Arial" w:hAnsi="Arial" w:cs="Arial"/>
                <w:sz w:val="18"/>
                <w:szCs w:val="18"/>
                <w:lang w:val="en-US"/>
              </w:rPr>
              <w:fldChar w:fldCharType="end"/>
            </w:r>
          </w:p>
          <w:p w14:paraId="1210960A"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(3 y.)</w:t>
            </w:r>
          </w:p>
        </w:tc>
        <w:tc>
          <w:tcPr>
            <w:tcW w:w="1985" w:type="dxa"/>
            <w:vAlign w:val="center"/>
          </w:tcPr>
          <w:p w14:paraId="2158CAF6"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Men with non-metastatic PC on LHRH agonist therapy and RT, TH T-scores (&lt; −1.0, &gt; −2.5)</w:t>
            </w:r>
          </w:p>
        </w:tc>
        <w:tc>
          <w:tcPr>
            <w:tcW w:w="2366" w:type="dxa"/>
            <w:vAlign w:val="center"/>
          </w:tcPr>
          <w:p w14:paraId="666F0439" w14:textId="77777777" w:rsidR="007A365C" w:rsidRPr="007A365C" w:rsidRDefault="007A365C" w:rsidP="007A365C">
            <w:pPr>
              <w:spacing w:line="276" w:lineRule="auto"/>
              <w:rPr>
                <w:rFonts w:ascii="Arial" w:hAnsi="Arial" w:cs="Arial"/>
                <w:sz w:val="18"/>
                <w:szCs w:val="18"/>
                <w:lang w:val="en-US"/>
              </w:rPr>
            </w:pPr>
          </w:p>
        </w:tc>
        <w:tc>
          <w:tcPr>
            <w:tcW w:w="2161" w:type="dxa"/>
            <w:vAlign w:val="center"/>
          </w:tcPr>
          <w:p w14:paraId="4C01FC23"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109 patients</w:t>
            </w:r>
            <w:r w:rsidRPr="007A365C">
              <w:rPr>
                <w:rFonts w:ascii="Arial" w:hAnsi="Arial" w:cs="Arial"/>
                <w:sz w:val="18"/>
                <w:szCs w:val="18"/>
                <w:lang w:val="en-US"/>
              </w:rPr>
              <w:t xml:space="preserve"> randomized 1:1 to ZOL (IV) or observation. All patients received calcium/vitamin D supplements</w:t>
            </w:r>
          </w:p>
        </w:tc>
        <w:tc>
          <w:tcPr>
            <w:tcW w:w="2462" w:type="dxa"/>
            <w:vAlign w:val="center"/>
          </w:tcPr>
          <w:p w14:paraId="0332A71B"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BMD percent changes were improved with ZOL for LS (6% </w:t>
            </w:r>
            <w:r w:rsidRPr="007A365C">
              <w:rPr>
                <w:rFonts w:ascii="Arial" w:hAnsi="Arial" w:cs="Arial"/>
                <w:i/>
                <w:iCs/>
                <w:sz w:val="18"/>
                <w:szCs w:val="18"/>
                <w:lang w:val="en-US"/>
              </w:rPr>
              <w:t>vs</w:t>
            </w:r>
            <w:r w:rsidRPr="007A365C">
              <w:rPr>
                <w:rFonts w:ascii="Arial" w:hAnsi="Arial" w:cs="Arial"/>
                <w:sz w:val="18"/>
                <w:szCs w:val="18"/>
                <w:lang w:val="en-US"/>
              </w:rPr>
              <w:t xml:space="preserve"> −5%), left TH (1% </w:t>
            </w:r>
            <w:r w:rsidRPr="007A365C">
              <w:rPr>
                <w:rFonts w:ascii="Arial" w:hAnsi="Arial" w:cs="Arial"/>
                <w:i/>
                <w:iCs/>
                <w:sz w:val="18"/>
                <w:szCs w:val="18"/>
                <w:lang w:val="en-US"/>
              </w:rPr>
              <w:t>vs</w:t>
            </w:r>
            <w:r w:rsidRPr="007A365C">
              <w:rPr>
                <w:rFonts w:ascii="Arial" w:hAnsi="Arial" w:cs="Arial"/>
                <w:sz w:val="18"/>
                <w:szCs w:val="18"/>
                <w:lang w:val="en-US"/>
              </w:rPr>
              <w:t xml:space="preserve"> −8% and left FN (3% </w:t>
            </w:r>
            <w:r w:rsidRPr="007A365C">
              <w:rPr>
                <w:rFonts w:ascii="Arial" w:hAnsi="Arial" w:cs="Arial"/>
                <w:i/>
                <w:iCs/>
                <w:sz w:val="18"/>
                <w:szCs w:val="18"/>
                <w:lang w:val="en-US"/>
              </w:rPr>
              <w:t>vs</w:t>
            </w:r>
            <w:r w:rsidRPr="007A365C">
              <w:rPr>
                <w:rFonts w:ascii="Arial" w:hAnsi="Arial" w:cs="Arial"/>
                <w:sz w:val="18"/>
                <w:szCs w:val="18"/>
                <w:lang w:val="en-US"/>
              </w:rPr>
              <w:t xml:space="preserve"> −8%)</w:t>
            </w:r>
          </w:p>
        </w:tc>
        <w:tc>
          <w:tcPr>
            <w:tcW w:w="1456" w:type="dxa"/>
            <w:vAlign w:val="center"/>
          </w:tcPr>
          <w:p w14:paraId="494168DC"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 xml:space="preserve">Only 1 patient in each arm experienced a </w:t>
            </w:r>
          </w:p>
          <w:p w14:paraId="6D60A6A6"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bone fracture</w:t>
            </w:r>
          </w:p>
        </w:tc>
        <w:tc>
          <w:tcPr>
            <w:tcW w:w="2219" w:type="dxa"/>
            <w:vAlign w:val="center"/>
          </w:tcPr>
          <w:p w14:paraId="2FE62046"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Myocardial ischemia in 1 patient in ZOL arm (possibly treatment-related). ONJ was not reported</w:t>
            </w:r>
          </w:p>
        </w:tc>
      </w:tr>
      <w:tr w:rsidR="007A365C" w:rsidRPr="007A365C" w14:paraId="4E12CD37" w14:textId="77777777" w:rsidTr="000E4810">
        <w:trPr>
          <w:trHeight w:val="2634"/>
        </w:trPr>
        <w:tc>
          <w:tcPr>
            <w:tcW w:w="1668" w:type="dxa"/>
            <w:vAlign w:val="center"/>
          </w:tcPr>
          <w:p w14:paraId="46A35397" w14:textId="353D35C5"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Klotz et al., 2013 </w:t>
            </w:r>
            <w:r w:rsidRPr="007A365C">
              <w:rPr>
                <w:rFonts w:ascii="Arial" w:hAnsi="Arial" w:cs="Arial"/>
                <w:sz w:val="18"/>
                <w:szCs w:val="18"/>
                <w:lang w:val="en-US"/>
              </w:rPr>
              <w:fldChar w:fldCharType="begin">
                <w:fldData xml:space="preserve">PEVuZE5vdGU+PENpdGU+PEF1dGhvcj5LbG90ejwvQXV0aG9yPjxZZWFyPjIwMTM8L1llYXI+PFJl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PEVuZE5vdGU+PENpdGU+PEF1dGhvcj5LbG90ejwvQXV0aG9yPjxZZWFyPjIwMTM8L1llYXI+PFJl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[9]</w:t>
            </w:r>
            <w:r w:rsidRPr="007A365C">
              <w:rPr>
                <w:rFonts w:ascii="Arial" w:hAnsi="Arial" w:cs="Arial"/>
                <w:sz w:val="18"/>
                <w:szCs w:val="18"/>
                <w:lang w:val="en-US"/>
              </w:rPr>
              <w:fldChar w:fldCharType="end"/>
            </w:r>
          </w:p>
          <w:p w14:paraId="02CA9782"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(1 y.)</w:t>
            </w:r>
          </w:p>
        </w:tc>
        <w:tc>
          <w:tcPr>
            <w:tcW w:w="1985" w:type="dxa"/>
            <w:vAlign w:val="center"/>
          </w:tcPr>
          <w:p w14:paraId="31230CED"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Men with non-metastatic PC receiving ADT (leuprolide)</w:t>
            </w:r>
          </w:p>
          <w:p w14:paraId="28B3AA81" w14:textId="77777777" w:rsidR="007A365C" w:rsidRPr="007A365C" w:rsidRDefault="007A365C" w:rsidP="007A365C">
            <w:pPr>
              <w:spacing w:line="276" w:lineRule="auto"/>
              <w:rPr>
                <w:rFonts w:ascii="Arial" w:hAnsi="Arial" w:cs="Arial"/>
                <w:sz w:val="18"/>
                <w:szCs w:val="18"/>
                <w:lang w:val="en-US"/>
              </w:rPr>
            </w:pPr>
          </w:p>
        </w:tc>
        <w:tc>
          <w:tcPr>
            <w:tcW w:w="2366" w:type="dxa"/>
            <w:vAlign w:val="center"/>
          </w:tcPr>
          <w:p w14:paraId="0FA0EF82"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Prior treatment with bisphosphonates, intolerance to oral bisphosphonates or history of metabolic disease</w:t>
            </w:r>
          </w:p>
        </w:tc>
        <w:tc>
          <w:tcPr>
            <w:tcW w:w="2161" w:type="dxa"/>
            <w:vAlign w:val="center"/>
          </w:tcPr>
          <w:p w14:paraId="2C10FD22"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84 patients</w:t>
            </w:r>
            <w:r w:rsidRPr="007A365C">
              <w:rPr>
                <w:rFonts w:ascii="Arial" w:hAnsi="Arial" w:cs="Arial"/>
                <w:sz w:val="18"/>
                <w:szCs w:val="18"/>
                <w:lang w:val="en-US"/>
              </w:rPr>
              <w:t xml:space="preserve"> were assigned to oral alendronate (A) and </w:t>
            </w:r>
            <w:r w:rsidRPr="007A365C">
              <w:rPr>
                <w:rFonts w:ascii="Arial" w:hAnsi="Arial" w:cs="Arial"/>
                <w:b/>
                <w:bCs/>
                <w:sz w:val="18"/>
                <w:szCs w:val="18"/>
                <w:lang w:val="en-US"/>
              </w:rPr>
              <w:t>102</w:t>
            </w:r>
            <w:r w:rsidRPr="007A365C">
              <w:rPr>
                <w:rFonts w:ascii="Arial" w:hAnsi="Arial" w:cs="Arial"/>
                <w:sz w:val="18"/>
                <w:szCs w:val="18"/>
                <w:lang w:val="en-US"/>
              </w:rPr>
              <w:t xml:space="preserve"> received placebo (P). All subjects took oral daily calcium/vitamin D supplements</w:t>
            </w:r>
          </w:p>
        </w:tc>
        <w:tc>
          <w:tcPr>
            <w:tcW w:w="2462" w:type="dxa"/>
            <w:vAlign w:val="center"/>
          </w:tcPr>
          <w:p w14:paraId="22CBCFF4"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Lumbar BMD increased by +1.7% and decreased by 1.9% in A and P group, respectively. Mean BMD percent change between arms was 3.6%. Median TH BMD percent change was +0.7% in A and 1.6% in P.  Median NTX and BALP percent change were -3.5% and -2.25% in A-arm and +16.5% and +3.12% in P-arm </w:t>
            </w:r>
          </w:p>
        </w:tc>
        <w:tc>
          <w:tcPr>
            <w:tcW w:w="1456" w:type="dxa"/>
            <w:vAlign w:val="center"/>
          </w:tcPr>
          <w:p w14:paraId="7FF58BDE" w14:textId="77777777" w:rsidR="007A365C" w:rsidRPr="007A365C" w:rsidRDefault="007A365C" w:rsidP="007A365C">
            <w:pPr>
              <w:spacing w:line="276" w:lineRule="auto"/>
              <w:rPr>
                <w:rFonts w:ascii="Arial" w:hAnsi="Arial" w:cs="Arial"/>
                <w:sz w:val="18"/>
                <w:szCs w:val="18"/>
                <w:lang w:val="en-US"/>
              </w:rPr>
            </w:pPr>
          </w:p>
        </w:tc>
        <w:tc>
          <w:tcPr>
            <w:tcW w:w="2219" w:type="dxa"/>
            <w:vAlign w:val="center"/>
          </w:tcPr>
          <w:p w14:paraId="0A03C7C0"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No significant differences in incidence of AEs between groups. Hypertension was more frequently reported in A group </w:t>
            </w:r>
            <w:r w:rsidRPr="007A365C">
              <w:rPr>
                <w:rFonts w:ascii="Arial" w:hAnsi="Arial" w:cs="Arial"/>
                <w:i/>
                <w:iCs/>
                <w:sz w:val="18"/>
                <w:szCs w:val="18"/>
                <w:lang w:val="en-US"/>
              </w:rPr>
              <w:t>vs</w:t>
            </w:r>
            <w:r w:rsidRPr="007A365C">
              <w:rPr>
                <w:rFonts w:ascii="Arial" w:hAnsi="Arial" w:cs="Arial"/>
                <w:sz w:val="18"/>
                <w:szCs w:val="18"/>
                <w:lang w:val="en-US"/>
              </w:rPr>
              <w:t xml:space="preserve"> P arm (2.8% </w:t>
            </w:r>
            <w:r w:rsidRPr="007A365C">
              <w:rPr>
                <w:rFonts w:ascii="Arial" w:hAnsi="Arial" w:cs="Arial"/>
                <w:i/>
                <w:iCs/>
                <w:sz w:val="18"/>
                <w:szCs w:val="18"/>
                <w:lang w:val="en-US"/>
              </w:rPr>
              <w:t>vs</w:t>
            </w:r>
            <w:r w:rsidRPr="007A365C">
              <w:rPr>
                <w:rFonts w:ascii="Arial" w:hAnsi="Arial" w:cs="Arial"/>
                <w:sz w:val="18"/>
                <w:szCs w:val="18"/>
                <w:lang w:val="en-US"/>
              </w:rPr>
              <w:t xml:space="preserve"> 0%)</w:t>
            </w:r>
          </w:p>
        </w:tc>
      </w:tr>
      <w:tr w:rsidR="007A365C" w:rsidRPr="007A365C" w14:paraId="0721B484" w14:textId="77777777" w:rsidTr="000E4810">
        <w:trPr>
          <w:trHeight w:val="2704"/>
        </w:trPr>
        <w:tc>
          <w:tcPr>
            <w:tcW w:w="1668" w:type="dxa"/>
            <w:vAlign w:val="center"/>
          </w:tcPr>
          <w:p w14:paraId="4257A739" w14:textId="20C94488"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Denham et al., 2014 </w:t>
            </w:r>
            <w:r w:rsidRPr="007A365C">
              <w:rPr>
                <w:rFonts w:ascii="Arial" w:hAnsi="Arial" w:cs="Arial"/>
                <w:sz w:val="18"/>
                <w:szCs w:val="18"/>
                <w:lang w:val="en-US"/>
              </w:rPr>
              <w:fldChar w:fldCharType="begin">
                <w:fldData xml:space="preserve">PEVuZE5vdGU+PENpdGU+PEF1dGhvcj5EZW5oYW08L0F1dGhvcj48WWVhcj4yMDE0PC9ZZWFyPjxS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PEVuZE5vdGU+PENpdGU+PEF1dGhvcj5EZW5oYW08L0F1dGhvcj48WWVhcj4yMDE0PC9ZZWFyPjxS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[10]</w:t>
            </w:r>
            <w:r w:rsidRPr="007A365C">
              <w:rPr>
                <w:rFonts w:ascii="Arial" w:hAnsi="Arial" w:cs="Arial"/>
                <w:sz w:val="18"/>
                <w:szCs w:val="18"/>
                <w:lang w:val="en-US"/>
              </w:rPr>
              <w:fldChar w:fldCharType="end"/>
            </w:r>
            <w:r w:rsidRPr="007A365C">
              <w:rPr>
                <w:rFonts w:ascii="Arial" w:hAnsi="Arial" w:cs="Arial"/>
                <w:sz w:val="18"/>
                <w:szCs w:val="18"/>
                <w:lang w:val="en-US"/>
              </w:rPr>
              <w:t xml:space="preserve"> (18 months)</w:t>
            </w:r>
          </w:p>
        </w:tc>
        <w:tc>
          <w:tcPr>
            <w:tcW w:w="1985" w:type="dxa"/>
            <w:vAlign w:val="center"/>
          </w:tcPr>
          <w:p w14:paraId="37B7134B"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Men with locally advanced non- metastatic PC</w:t>
            </w:r>
          </w:p>
        </w:tc>
        <w:tc>
          <w:tcPr>
            <w:tcW w:w="2366" w:type="dxa"/>
            <w:vAlign w:val="center"/>
          </w:tcPr>
          <w:p w14:paraId="056BF912"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Previous treatment with AS or bisphosphonates, previous pelvic RT, osteoporosis resulting in vertebral compression fractures, or abnormal renal function</w:t>
            </w:r>
          </w:p>
        </w:tc>
        <w:tc>
          <w:tcPr>
            <w:tcW w:w="2161" w:type="dxa"/>
            <w:vAlign w:val="center"/>
          </w:tcPr>
          <w:p w14:paraId="1A3ECC55"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w:t>
            </w:r>
            <w:r w:rsidRPr="007A365C">
              <w:rPr>
                <w:rFonts w:ascii="Arial" w:hAnsi="Arial" w:cs="Arial"/>
                <w:b/>
                <w:bCs/>
                <w:sz w:val="18"/>
                <w:szCs w:val="18"/>
                <w:lang w:val="en-US"/>
              </w:rPr>
              <w:t>n=1071</w:t>
            </w:r>
            <w:r w:rsidRPr="007A365C">
              <w:rPr>
                <w:rFonts w:ascii="Arial" w:hAnsi="Arial" w:cs="Arial"/>
                <w:sz w:val="18"/>
                <w:szCs w:val="18"/>
                <w:lang w:val="en-US"/>
              </w:rPr>
              <w:t>) 4 treatment arms in a 2x2 factorial design: short term AS (STAS); STAS + ZOL (IV); intermediate term AS (ITAS) and ITAS +ZOL</w:t>
            </w:r>
          </w:p>
        </w:tc>
        <w:tc>
          <w:tcPr>
            <w:tcW w:w="2462" w:type="dxa"/>
            <w:vAlign w:val="center"/>
          </w:tcPr>
          <w:p w14:paraId="76319378"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 xml:space="preserve">TH BMD decreased (STAS, -2.6%; ITAS, -4.1%) at 2 y. FN BMD increased at 2 and 4 y.: STAS+ZOL (0.6% and 1.8%); ITAS+ZOL (0.5% and 1.2%). ZOL prevented AS-induced FN BMD loss </w:t>
            </w:r>
          </w:p>
        </w:tc>
        <w:tc>
          <w:tcPr>
            <w:tcW w:w="1456" w:type="dxa"/>
            <w:vAlign w:val="center"/>
          </w:tcPr>
          <w:p w14:paraId="66F36471"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ZOL did not reduce the risk of vertebral and non-vertebral fractures </w:t>
            </w:r>
          </w:p>
        </w:tc>
        <w:tc>
          <w:tcPr>
            <w:tcW w:w="2219" w:type="dxa"/>
            <w:vAlign w:val="center"/>
          </w:tcPr>
          <w:p w14:paraId="22613B03"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ONJ was observed in 2 subjects treated with ZOL. Hypocalcemia grade 1 ranged from 2.7% to 8.8% in ZOL treated patients</w:t>
            </w:r>
          </w:p>
        </w:tc>
      </w:tr>
      <w:tr w:rsidR="007A365C" w:rsidRPr="007A365C" w14:paraId="05A7E48C" w14:textId="77777777" w:rsidTr="000E4810">
        <w:trPr>
          <w:trHeight w:val="2827"/>
        </w:trPr>
        <w:tc>
          <w:tcPr>
            <w:tcW w:w="1668" w:type="dxa"/>
            <w:vAlign w:val="center"/>
          </w:tcPr>
          <w:p w14:paraId="3316D7F0" w14:textId="2F0FD27F"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Brufsky et al., 2007 </w:t>
            </w:r>
            <w:r w:rsidRPr="007A365C">
              <w:rPr>
                <w:rFonts w:ascii="Arial" w:hAnsi="Arial" w:cs="Arial"/>
                <w:sz w:val="18"/>
                <w:szCs w:val="18"/>
                <w:lang w:val="en-US"/>
              </w:rPr>
              <w:fldChar w:fldCharType="begin">
                <w:fldData xml:space="preserve">PEVuZE5vdGU+PENpdGU+PEF1dGhvcj5CcnVmc2t5PC9BdXRob3I+PFllYXI+MjAwNzwvWWVhcj48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PEVuZE5vdGU+PENpdGU+PEF1dGhvcj5CcnVmc2t5PC9BdXRob3I+PFllYXI+MjAwNzwvWWVhcj48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[11]</w:t>
            </w:r>
            <w:r w:rsidRPr="007A365C">
              <w:rPr>
                <w:rFonts w:ascii="Arial" w:hAnsi="Arial" w:cs="Arial"/>
                <w:sz w:val="18"/>
                <w:szCs w:val="18"/>
                <w:lang w:val="en-US"/>
              </w:rPr>
              <w:fldChar w:fldCharType="end"/>
            </w:r>
          </w:p>
          <w:p w14:paraId="0E66DD92"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(1 y.)</w:t>
            </w:r>
          </w:p>
        </w:tc>
        <w:tc>
          <w:tcPr>
            <w:tcW w:w="1985" w:type="dxa"/>
            <w:vAlign w:val="center"/>
          </w:tcPr>
          <w:p w14:paraId="1B4ED32D"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Postmenopausal women with ER and/or PR-positive BC and baseline LS and TH T-scores ≥-2.0</w:t>
            </w:r>
          </w:p>
          <w:p w14:paraId="3A083479" w14:textId="77777777" w:rsidR="007A365C" w:rsidRPr="007A365C" w:rsidRDefault="007A365C" w:rsidP="007A365C">
            <w:pPr>
              <w:spacing w:line="276" w:lineRule="auto"/>
              <w:rPr>
                <w:rFonts w:ascii="Arial" w:hAnsi="Arial" w:cs="Arial"/>
                <w:sz w:val="18"/>
                <w:szCs w:val="18"/>
                <w:lang w:val="en-US"/>
              </w:rPr>
            </w:pPr>
          </w:p>
        </w:tc>
        <w:tc>
          <w:tcPr>
            <w:tcW w:w="2366" w:type="dxa"/>
            <w:vAlign w:val="center"/>
          </w:tcPr>
          <w:p w14:paraId="67D1D89A"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Patients treated with prior letrozole or IV bisphosphonates or with prior fractures were excluded</w:t>
            </w:r>
          </w:p>
        </w:tc>
        <w:tc>
          <w:tcPr>
            <w:tcW w:w="2161" w:type="dxa"/>
            <w:vAlign w:val="center"/>
          </w:tcPr>
          <w:p w14:paraId="786F7332"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602 patients</w:t>
            </w:r>
            <w:r w:rsidRPr="007A365C">
              <w:rPr>
                <w:rFonts w:ascii="Arial" w:hAnsi="Arial" w:cs="Arial"/>
                <w:sz w:val="18"/>
                <w:szCs w:val="18"/>
                <w:lang w:val="en-US"/>
              </w:rPr>
              <w:t xml:space="preserve"> received oral letrozole and were randomly assigned 1:1 to receive either upfront or delayed ZOL (IV). All subjects were instructed to take daily calcium/vitamin D supplements</w:t>
            </w:r>
          </w:p>
          <w:p w14:paraId="66A32A8A" w14:textId="77777777" w:rsidR="007A365C" w:rsidRPr="007A365C" w:rsidRDefault="007A365C" w:rsidP="007A365C">
            <w:pPr>
              <w:spacing w:line="276" w:lineRule="auto"/>
              <w:rPr>
                <w:rFonts w:ascii="Arial" w:hAnsi="Arial" w:cs="Arial"/>
                <w:sz w:val="18"/>
                <w:szCs w:val="18"/>
                <w:lang w:val="en-US"/>
              </w:rPr>
            </w:pPr>
          </w:p>
        </w:tc>
        <w:tc>
          <w:tcPr>
            <w:tcW w:w="2462" w:type="dxa"/>
            <w:vAlign w:val="center"/>
          </w:tcPr>
          <w:p w14:paraId="1CA3E732"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Mean significant BMD percent difference between groups was 4.4% for LS and 3.3% for TH. 12.6% of patients with normal baseline BMD in ZOL delayed arm developed mild to moderate osteopenia vs. 3.4% of patients in upfront ZOL arm. Serum NTX and BALP decreased in the upfront ZOL arm and increased in the delayed ZOL</w:t>
            </w:r>
          </w:p>
        </w:tc>
        <w:tc>
          <w:tcPr>
            <w:tcW w:w="1456" w:type="dxa"/>
            <w:vAlign w:val="center"/>
          </w:tcPr>
          <w:p w14:paraId="56E934B1" w14:textId="77777777" w:rsidR="007A365C" w:rsidRPr="007A365C" w:rsidRDefault="007A365C" w:rsidP="007A365C">
            <w:pPr>
              <w:spacing w:line="276" w:lineRule="auto"/>
              <w:rPr>
                <w:rFonts w:ascii="Arial" w:hAnsi="Arial" w:cs="Arial"/>
                <w:sz w:val="18"/>
                <w:szCs w:val="18"/>
                <w:lang w:val="en-US"/>
              </w:rPr>
            </w:pPr>
          </w:p>
        </w:tc>
        <w:tc>
          <w:tcPr>
            <w:tcW w:w="2219" w:type="dxa"/>
            <w:vAlign w:val="center"/>
          </w:tcPr>
          <w:p w14:paraId="4B9747BC"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Occurrence of AEs was similar between groups except for bone pain, which was higher in the upfront ZOL group (11.3%) vs. 4% in ZOL delayed group. ONJ was not reported in either group</w:t>
            </w:r>
          </w:p>
        </w:tc>
      </w:tr>
      <w:tr w:rsidR="007A365C" w:rsidRPr="007A365C" w14:paraId="4D5BFD35" w14:textId="77777777" w:rsidTr="000E4810">
        <w:trPr>
          <w:trHeight w:val="96"/>
        </w:trPr>
        <w:tc>
          <w:tcPr>
            <w:tcW w:w="1668" w:type="dxa"/>
            <w:vAlign w:val="center"/>
          </w:tcPr>
          <w:p w14:paraId="14F77BE5" w14:textId="7010286A"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Bundred et al., 2008 </w:t>
            </w:r>
            <w:r w:rsidRPr="007A365C">
              <w:rPr>
                <w:rFonts w:ascii="Arial" w:hAnsi="Arial" w:cs="Arial"/>
                <w:sz w:val="18"/>
                <w:szCs w:val="18"/>
                <w:lang w:val="en-US"/>
              </w:rPr>
              <w:fldChar w:fldCharType="begin">
                <w:fldData xml:space="preserve">PEVuZE5vdGU+PENpdGU+PEF1dGhvcj5CdW5kcmVkPC9BdXRob3I+PFllYXI+MjAwODwvWWVhcj48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PEVuZE5vdGU+PENpdGU+PEF1dGhvcj5CdW5kcmVkPC9BdXRob3I+PFllYXI+MjAwODwvWWVhcj48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[12]</w:t>
            </w:r>
            <w:r w:rsidRPr="007A365C">
              <w:rPr>
                <w:rFonts w:ascii="Arial" w:hAnsi="Arial" w:cs="Arial"/>
                <w:sz w:val="18"/>
                <w:szCs w:val="18"/>
                <w:lang w:val="en-US"/>
              </w:rPr>
              <w:fldChar w:fldCharType="end"/>
            </w:r>
          </w:p>
          <w:p w14:paraId="7558BA08"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(1 y.)</w:t>
            </w:r>
          </w:p>
        </w:tc>
        <w:tc>
          <w:tcPr>
            <w:tcW w:w="1985" w:type="dxa"/>
            <w:vAlign w:val="center"/>
          </w:tcPr>
          <w:p w14:paraId="67E5CDCC"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Postmenopausal women with ER-positive EBC and baseline LS and TH T-scores &gt;2.0 </w:t>
            </w:r>
          </w:p>
        </w:tc>
        <w:tc>
          <w:tcPr>
            <w:tcW w:w="2366" w:type="dxa"/>
            <w:vAlign w:val="center"/>
          </w:tcPr>
          <w:p w14:paraId="761505EA"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Patients treated with prior letrozole or IV bisphosphonates or with prior fractures were excluded</w:t>
            </w:r>
          </w:p>
        </w:tc>
        <w:tc>
          <w:tcPr>
            <w:tcW w:w="2161" w:type="dxa"/>
            <w:vAlign w:val="center"/>
          </w:tcPr>
          <w:p w14:paraId="1F90D70C"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1065 patients</w:t>
            </w:r>
            <w:r w:rsidRPr="007A365C">
              <w:rPr>
                <w:rFonts w:ascii="Arial" w:hAnsi="Arial" w:cs="Arial"/>
                <w:sz w:val="18"/>
                <w:szCs w:val="18"/>
                <w:lang w:val="en-US"/>
              </w:rPr>
              <w:t xml:space="preserve"> received oral letrozole and were randomly assigned 1:1 to receive either upfront or delayed ZOL (IV). All subjects were instructed to take daily calcium/vitamin D supplements</w:t>
            </w:r>
          </w:p>
        </w:tc>
        <w:tc>
          <w:tcPr>
            <w:tcW w:w="2462" w:type="dxa"/>
            <w:vAlign w:val="center"/>
          </w:tcPr>
          <w:p w14:paraId="1296B6B6"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At 1 y., least mean squared percent change in BMD was 5.7% for LS (P &lt; 0.0001) and 6% for TH (P &lt; 0.0001)</w:t>
            </w:r>
          </w:p>
        </w:tc>
        <w:tc>
          <w:tcPr>
            <w:tcW w:w="1456" w:type="dxa"/>
            <w:vAlign w:val="center"/>
          </w:tcPr>
          <w:p w14:paraId="3AEC254E" w14:textId="77777777" w:rsidR="007A365C" w:rsidRPr="007A365C" w:rsidRDefault="007A365C" w:rsidP="007A365C">
            <w:pPr>
              <w:spacing w:line="276" w:lineRule="auto"/>
              <w:rPr>
                <w:rFonts w:ascii="Arial" w:hAnsi="Arial" w:cs="Arial"/>
                <w:sz w:val="18"/>
                <w:szCs w:val="18"/>
                <w:lang w:val="en-US"/>
              </w:rPr>
            </w:pPr>
          </w:p>
        </w:tc>
        <w:tc>
          <w:tcPr>
            <w:tcW w:w="2219" w:type="dxa"/>
            <w:vAlign w:val="center"/>
          </w:tcPr>
          <w:p w14:paraId="105FFC3A"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Occurrence of AE was similar between groups apart from bone pain, which was higher in upfront ZOL group (12.3%) compared to 6.9% of patients in ZOL delayed group, as expected</w:t>
            </w:r>
          </w:p>
        </w:tc>
      </w:tr>
      <w:tr w:rsidR="007A365C" w:rsidRPr="007A365C" w14:paraId="1FC85A74" w14:textId="77777777" w:rsidTr="000E4810">
        <w:trPr>
          <w:trHeight w:val="1792"/>
        </w:trPr>
        <w:tc>
          <w:tcPr>
            <w:tcW w:w="1668" w:type="dxa"/>
            <w:vAlign w:val="center"/>
          </w:tcPr>
          <w:p w14:paraId="5D0DC6AC" w14:textId="495EC2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Ellis et al., 2008 </w:t>
            </w:r>
            <w:r w:rsidRPr="007A365C">
              <w:rPr>
                <w:rFonts w:ascii="Arial" w:hAnsi="Arial" w:cs="Arial"/>
                <w:sz w:val="18"/>
                <w:szCs w:val="18"/>
                <w:lang w:val="en-US"/>
              </w:rPr>
              <w:fldChar w:fldCharType="begin">
                <w:fldData xml:space="preserve">PEVuZE5vdGU+PENpdGU+PEF1dGhvcj5FbGxpczwvQXV0aG9yPjxZZWFyPjIwMDg8L1llYXI+PFJl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PEVuZE5vdGU+PENpdGU+PEF1dGhvcj5FbGxpczwvQXV0aG9yPjxZZWFyPjIwMDg8L1llYXI+PFJl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[13]</w:t>
            </w:r>
            <w:r w:rsidRPr="007A365C">
              <w:rPr>
                <w:rFonts w:ascii="Arial" w:hAnsi="Arial" w:cs="Arial"/>
                <w:sz w:val="18"/>
                <w:szCs w:val="18"/>
                <w:lang w:val="en-US"/>
              </w:rPr>
              <w:fldChar w:fldCharType="end"/>
            </w:r>
          </w:p>
          <w:p w14:paraId="748BAE51"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(2 y.)</w:t>
            </w:r>
          </w:p>
        </w:tc>
        <w:tc>
          <w:tcPr>
            <w:tcW w:w="1985" w:type="dxa"/>
            <w:vAlign w:val="center"/>
          </w:tcPr>
          <w:p w14:paraId="2DAB409A"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Women with BC on adjuvant AI treatment. Low BMD (T-score of −1.0 to −2.5). Patients required to have serum vitamin D  levels ≥12 ng/mL</w:t>
            </w:r>
          </w:p>
        </w:tc>
        <w:tc>
          <w:tcPr>
            <w:tcW w:w="2366" w:type="dxa"/>
            <w:vAlign w:val="center"/>
          </w:tcPr>
          <w:p w14:paraId="1DDA326F"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Patients with osteoporosis (T-score &lt; −2.5), prior vertebral fracture, current use of bisphosphonates, and use of any antineoplastic therapy (apart from AI)</w:t>
            </w:r>
          </w:p>
        </w:tc>
        <w:tc>
          <w:tcPr>
            <w:tcW w:w="2161" w:type="dxa"/>
            <w:vAlign w:val="center"/>
          </w:tcPr>
          <w:p w14:paraId="56CD81AC"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252 patients</w:t>
            </w:r>
            <w:r w:rsidRPr="007A365C">
              <w:rPr>
                <w:rFonts w:ascii="Arial" w:hAnsi="Arial" w:cs="Arial"/>
                <w:sz w:val="18"/>
                <w:szCs w:val="18"/>
                <w:lang w:val="en-US"/>
              </w:rPr>
              <w:t xml:space="preserve"> randomized 1:1 to receive denosumab (D) or placebo (P). All patients were instructed to take calcium/vitamin D supplements</w:t>
            </w:r>
          </w:p>
        </w:tc>
        <w:tc>
          <w:tcPr>
            <w:tcW w:w="2462" w:type="dxa"/>
            <w:vAlign w:val="center"/>
          </w:tcPr>
          <w:p w14:paraId="24F489EA"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At 1 y., LS BMD increased by 5.5% in D group vs. P group, independently of AI or TX duration. Increase was sustained at 2 y. (7.6% difference between arms)</w:t>
            </w:r>
          </w:p>
          <w:p w14:paraId="545B9519" w14:textId="77777777" w:rsidR="007A365C" w:rsidRPr="007A365C" w:rsidRDefault="007A365C" w:rsidP="007A365C">
            <w:pPr>
              <w:spacing w:line="276" w:lineRule="auto"/>
              <w:rPr>
                <w:rFonts w:ascii="Arial" w:hAnsi="Arial" w:cs="Arial"/>
                <w:sz w:val="18"/>
                <w:szCs w:val="18"/>
                <w:lang w:val="en-US"/>
              </w:rPr>
            </w:pPr>
          </w:p>
        </w:tc>
        <w:tc>
          <w:tcPr>
            <w:tcW w:w="1456" w:type="dxa"/>
            <w:vAlign w:val="center"/>
          </w:tcPr>
          <w:p w14:paraId="5873B7AC"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No vertebral fractures were reported over 24 months</w:t>
            </w:r>
          </w:p>
        </w:tc>
        <w:tc>
          <w:tcPr>
            <w:tcW w:w="2219" w:type="dxa"/>
            <w:vAlign w:val="center"/>
          </w:tcPr>
          <w:p w14:paraId="6A5A2849"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Similar incidence of AEs between groups. Most common AEs included arthralgia, pain in extremity, back pain, and fatigue. No hypocalcemia was reported</w:t>
            </w:r>
          </w:p>
        </w:tc>
      </w:tr>
      <w:tr w:rsidR="007A365C" w:rsidRPr="007A365C" w14:paraId="0F836EF2" w14:textId="77777777" w:rsidTr="000E4810">
        <w:trPr>
          <w:trHeight w:val="1831"/>
        </w:trPr>
        <w:tc>
          <w:tcPr>
            <w:tcW w:w="1668" w:type="dxa"/>
            <w:vAlign w:val="center"/>
          </w:tcPr>
          <w:p w14:paraId="6442D720" w14:textId="05355210"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Hines et al., 2009 </w:t>
            </w:r>
            <w:r w:rsidRPr="007A365C">
              <w:rPr>
                <w:rFonts w:ascii="Arial" w:hAnsi="Arial" w:cs="Arial"/>
                <w:sz w:val="18"/>
                <w:szCs w:val="18"/>
                <w:lang w:val="en-US"/>
              </w:rPr>
              <w:fldChar w:fldCharType="begin">
                <w:fldData xml:space="preserve">PEVuZE5vdGU+PENpdGU+PEF1dGhvcj5IaW5lczwvQXV0aG9yPjxZZWFyPjIwMDk8L1llYXI+PFJl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=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PEVuZE5vdGU+PENpdGU+PEF1dGhvcj5IaW5lczwvQXV0aG9yPjxZZWFyPjIwMDk8L1llYXI+PFJl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=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[14]</w:t>
            </w:r>
            <w:r w:rsidRPr="007A365C">
              <w:rPr>
                <w:rFonts w:ascii="Arial" w:hAnsi="Arial" w:cs="Arial"/>
                <w:sz w:val="18"/>
                <w:szCs w:val="18"/>
                <w:lang w:val="en-US"/>
              </w:rPr>
              <w:fldChar w:fldCharType="end"/>
            </w:r>
            <w:r w:rsidRPr="007A365C">
              <w:rPr>
                <w:rFonts w:ascii="Arial" w:hAnsi="Arial" w:cs="Arial"/>
                <w:sz w:val="18"/>
                <w:szCs w:val="18"/>
                <w:lang w:val="en-US"/>
              </w:rPr>
              <w:t xml:space="preserve"> </w:t>
            </w:r>
          </w:p>
          <w:p w14:paraId="7343CF4C"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(5 y.)</w:t>
            </w:r>
          </w:p>
        </w:tc>
        <w:tc>
          <w:tcPr>
            <w:tcW w:w="1985" w:type="dxa"/>
            <w:vAlign w:val="center"/>
          </w:tcPr>
          <w:p w14:paraId="0B748D4D"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Postmenopausal women with non-metastatic HR-positive BC initiating AI therapy after TX and evidence of R/M disease</w:t>
            </w:r>
          </w:p>
        </w:tc>
        <w:tc>
          <w:tcPr>
            <w:tcW w:w="2366" w:type="dxa"/>
            <w:vAlign w:val="center"/>
          </w:tcPr>
          <w:p w14:paraId="115D6BA9"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R/M disease, existing LS and/or TH fracture, history of low-intensity fracture, baseline LS or FN BMD T-score &lt; -2.0; any prior treatment with drugs known to affect the skeleton</w:t>
            </w:r>
          </w:p>
        </w:tc>
        <w:tc>
          <w:tcPr>
            <w:tcW w:w="2161" w:type="dxa"/>
            <w:vAlign w:val="center"/>
          </w:tcPr>
          <w:p w14:paraId="47F7FE12"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558 patients</w:t>
            </w:r>
            <w:r w:rsidRPr="007A365C">
              <w:rPr>
                <w:rFonts w:ascii="Arial" w:hAnsi="Arial" w:cs="Arial"/>
                <w:sz w:val="18"/>
                <w:szCs w:val="18"/>
                <w:lang w:val="en-US"/>
              </w:rPr>
              <w:t xml:space="preserve"> randomized 1:1 to upfront</w:t>
            </w:r>
            <w:r w:rsidRPr="007A365C">
              <w:rPr>
                <w:rFonts w:ascii="Arial" w:hAnsi="Arial" w:cs="Arial"/>
                <w:i/>
                <w:iCs/>
                <w:sz w:val="18"/>
                <w:szCs w:val="18"/>
                <w:lang w:val="en-US"/>
              </w:rPr>
              <w:t xml:space="preserve"> </w:t>
            </w:r>
            <w:r w:rsidRPr="007A365C">
              <w:rPr>
                <w:rFonts w:ascii="Arial" w:hAnsi="Arial" w:cs="Arial"/>
                <w:sz w:val="18"/>
                <w:szCs w:val="18"/>
                <w:lang w:val="en-US"/>
              </w:rPr>
              <w:t>ZOL (IV) or delayed ZOL. All patients were assigned to take letrozole, vitamin D and calcium</w:t>
            </w:r>
          </w:p>
        </w:tc>
        <w:tc>
          <w:tcPr>
            <w:tcW w:w="2462" w:type="dxa"/>
            <w:vAlign w:val="center"/>
          </w:tcPr>
          <w:p w14:paraId="0FDAE3EA"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 Higher average/percent change in LS, TH and FN BMD, at 1 and 2 y. in upfront ZOL, and lower clinically meaningful BMD loss at LS, FN or TH at 1 y.</w:t>
            </w:r>
          </w:p>
        </w:tc>
        <w:tc>
          <w:tcPr>
            <w:tcW w:w="1456" w:type="dxa"/>
            <w:vAlign w:val="center"/>
          </w:tcPr>
          <w:p w14:paraId="5B6646A6" w14:textId="77777777" w:rsidR="007A365C" w:rsidRPr="007A365C" w:rsidRDefault="007A365C" w:rsidP="007A365C">
            <w:pPr>
              <w:spacing w:line="276" w:lineRule="auto"/>
              <w:rPr>
                <w:rFonts w:ascii="Arial" w:hAnsi="Arial" w:cs="Arial"/>
                <w:sz w:val="18"/>
                <w:szCs w:val="18"/>
                <w:lang w:val="en-US"/>
              </w:rPr>
            </w:pPr>
          </w:p>
        </w:tc>
        <w:tc>
          <w:tcPr>
            <w:tcW w:w="2219" w:type="dxa"/>
            <w:vAlign w:val="center"/>
          </w:tcPr>
          <w:p w14:paraId="7DB12272"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Significantly higher incidence of limb edema, fatigue, fever, and nausea at 1 y. in upfront ZOL group</w:t>
            </w:r>
          </w:p>
        </w:tc>
      </w:tr>
      <w:tr w:rsidR="007A365C" w:rsidRPr="007A365C" w14:paraId="1B38848A" w14:textId="77777777" w:rsidTr="000E4810">
        <w:trPr>
          <w:trHeight w:val="1831"/>
        </w:trPr>
        <w:tc>
          <w:tcPr>
            <w:tcW w:w="1668" w:type="dxa"/>
            <w:vAlign w:val="center"/>
          </w:tcPr>
          <w:p w14:paraId="4043F362" w14:textId="1313EEAE"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Eidtmann et al., 2010 </w:t>
            </w:r>
            <w:r w:rsidRPr="007A365C">
              <w:rPr>
                <w:rFonts w:ascii="Arial" w:hAnsi="Arial" w:cs="Arial"/>
                <w:sz w:val="18"/>
                <w:szCs w:val="18"/>
                <w:lang w:val="en-US"/>
              </w:rPr>
              <w:fldChar w:fldCharType="begin">
                <w:fldData xml:space="preserve">PEVuZE5vdGU+PENpdGU+PEF1dGhvcj5FaWR0bWFubjwvQXV0aG9yPjxZZWFyPjIwMTA8L1llYXI+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PEVuZE5vdGU+PENpdGU+PEF1dGhvcj5FaWR0bWFubjwvQXV0aG9yPjxZZWFyPjIwMTA8L1llYXI+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[15]</w:t>
            </w:r>
            <w:r w:rsidRPr="007A365C">
              <w:rPr>
                <w:rFonts w:ascii="Arial" w:hAnsi="Arial" w:cs="Arial"/>
                <w:sz w:val="18"/>
                <w:szCs w:val="18"/>
                <w:lang w:val="en-US"/>
              </w:rPr>
              <w:fldChar w:fldCharType="end"/>
            </w:r>
            <w:r w:rsidRPr="007A365C">
              <w:rPr>
                <w:rFonts w:ascii="Arial" w:hAnsi="Arial" w:cs="Arial"/>
                <w:sz w:val="18"/>
                <w:szCs w:val="18"/>
                <w:lang w:val="en-US"/>
              </w:rPr>
              <w:t xml:space="preserve"> (5 y.)</w:t>
            </w:r>
          </w:p>
        </w:tc>
        <w:tc>
          <w:tcPr>
            <w:tcW w:w="1985" w:type="dxa"/>
            <w:vAlign w:val="center"/>
          </w:tcPr>
          <w:p w14:paraId="09DCDCA8"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Premenopausal and recently menopausal women with ER-positive and/or PR-positive BC and baseline LS and TH BMD T-score &gt;2.0 </w:t>
            </w:r>
          </w:p>
        </w:tc>
        <w:tc>
          <w:tcPr>
            <w:tcW w:w="2366" w:type="dxa"/>
            <w:vAlign w:val="center"/>
          </w:tcPr>
          <w:p w14:paraId="7909DBA4" w14:textId="77777777" w:rsidR="007A365C" w:rsidRPr="007A365C" w:rsidRDefault="007A365C" w:rsidP="007A365C">
            <w:pPr>
              <w:spacing w:line="276" w:lineRule="auto"/>
              <w:rPr>
                <w:rFonts w:ascii="Arial" w:hAnsi="Arial" w:cs="Arial"/>
                <w:sz w:val="18"/>
                <w:szCs w:val="18"/>
                <w:lang w:val="en-US"/>
              </w:rPr>
            </w:pPr>
          </w:p>
        </w:tc>
        <w:tc>
          <w:tcPr>
            <w:tcW w:w="2161" w:type="dxa"/>
            <w:vAlign w:val="center"/>
          </w:tcPr>
          <w:p w14:paraId="0A3C0EC7"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1065 patients</w:t>
            </w:r>
            <w:r w:rsidRPr="007A365C">
              <w:rPr>
                <w:rFonts w:ascii="Arial" w:hAnsi="Arial" w:cs="Arial"/>
                <w:sz w:val="18"/>
                <w:szCs w:val="18"/>
                <w:lang w:val="en-US"/>
              </w:rPr>
              <w:t xml:space="preserve"> received adjuvant daily letrozole (oral, 2.5 mg/day) and were randomly assigned 1:1 to receive upfront or delayed ZOL</w:t>
            </w:r>
          </w:p>
          <w:p w14:paraId="3D0FA6DC" w14:textId="77777777" w:rsidR="007A365C" w:rsidRPr="007A365C" w:rsidRDefault="007A365C" w:rsidP="007A365C">
            <w:pPr>
              <w:spacing w:line="276" w:lineRule="auto"/>
              <w:rPr>
                <w:rFonts w:ascii="Arial" w:hAnsi="Arial" w:cs="Arial"/>
                <w:b/>
                <w:bCs/>
                <w:sz w:val="18"/>
                <w:szCs w:val="18"/>
                <w:lang w:val="en-US"/>
              </w:rPr>
            </w:pPr>
          </w:p>
        </w:tc>
        <w:tc>
          <w:tcPr>
            <w:tcW w:w="2462" w:type="dxa"/>
            <w:vAlign w:val="center"/>
          </w:tcPr>
          <w:p w14:paraId="1C81131A"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36 months: Mean percent change from baseline in LS BMD was 4.39% (upfront-ZOL patients) and -4.9% (delayed-ZOL patients). Least-squares mean difference in LS BMD was 5.27%, 7.94% and 9.29% at 1, 2 and 3 y. Mean changes in TH BMD were similar but smaller</w:t>
            </w:r>
          </w:p>
        </w:tc>
        <w:tc>
          <w:tcPr>
            <w:tcW w:w="1456" w:type="dxa"/>
            <w:vAlign w:val="center"/>
          </w:tcPr>
          <w:p w14:paraId="1EC6835F"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Fractures occurred in 24</w:t>
            </w:r>
          </w:p>
          <w:p w14:paraId="40AA8C75"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upfront-ZOL patients and 26 delayed-ZOL patients</w:t>
            </w:r>
          </w:p>
        </w:tc>
        <w:tc>
          <w:tcPr>
            <w:tcW w:w="2219" w:type="dxa"/>
            <w:vAlign w:val="center"/>
          </w:tcPr>
          <w:p w14:paraId="69DB4024"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Incidence of AEs was similar between groups. Upfront-ZOL patients experienced slightly more flu-like symptoms. Higher number of patients with renal failure/impairment in delayed-ZOL. ONJ was reported in 2 upfront-ZOL patients</w:t>
            </w:r>
          </w:p>
        </w:tc>
      </w:tr>
      <w:tr w:rsidR="007A365C" w:rsidRPr="007A365C" w14:paraId="6FB01A5C" w14:textId="77777777" w:rsidTr="000E4810">
        <w:trPr>
          <w:trHeight w:val="1831"/>
        </w:trPr>
        <w:tc>
          <w:tcPr>
            <w:tcW w:w="1668" w:type="dxa"/>
            <w:vAlign w:val="center"/>
          </w:tcPr>
          <w:p w14:paraId="62416557" w14:textId="56F25940" w:rsidR="007A365C" w:rsidRPr="007A365C" w:rsidRDefault="007A365C" w:rsidP="007A365C">
            <w:pPr>
              <w:spacing w:line="276" w:lineRule="auto"/>
              <w:rPr>
                <w:rFonts w:ascii="Arial" w:hAnsi="Arial" w:cs="Arial"/>
                <w:sz w:val="18"/>
                <w:szCs w:val="18"/>
                <w:lang w:val="es-ES"/>
              </w:rPr>
            </w:pPr>
            <w:r w:rsidRPr="007A365C">
              <w:rPr>
                <w:rFonts w:ascii="Arial" w:hAnsi="Arial" w:cs="Arial"/>
                <w:sz w:val="18"/>
                <w:szCs w:val="18"/>
                <w:lang w:val="es-ES"/>
              </w:rPr>
              <w:t xml:space="preserve">Van Poznak et al., 2010 </w:t>
            </w:r>
            <w:r w:rsidRPr="007A365C">
              <w:rPr>
                <w:rFonts w:ascii="Arial" w:hAnsi="Arial" w:cs="Arial"/>
                <w:sz w:val="18"/>
                <w:szCs w:val="18"/>
                <w:lang w:val="en-US"/>
              </w:rPr>
              <w:fldChar w:fldCharType="begin">
                <w:fldData xml:space="preserve">PEVuZE5vdGU+PENpdGU+PEF1dGhvcj5WYW4gUG96bmFrPC9BdXRob3I+PFllYXI+MjAxMDwvWWVh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=
</w:fldData>
              </w:fldChar>
            </w:r>
            <w:r w:rsidR="00245F2E" w:rsidRPr="00245F2E">
              <w:rPr>
                <w:rFonts w:ascii="Arial" w:hAnsi="Arial" w:cs="Arial"/>
                <w:sz w:val="18"/>
                <w:szCs w:val="18"/>
                <w:lang w:val="es-ES"/>
              </w:rPr>
              <w:instrText xml:space="preserve"> ADDIN EN.CITE </w:instrText>
            </w:r>
            <w:r w:rsidR="00245F2E">
              <w:rPr>
                <w:rFonts w:ascii="Arial" w:hAnsi="Arial" w:cs="Arial"/>
                <w:sz w:val="18"/>
                <w:szCs w:val="18"/>
                <w:lang w:val="en-US"/>
              </w:rPr>
              <w:fldChar w:fldCharType="begin">
                <w:fldData xml:space="preserve">PEVuZE5vdGU+PENpdGU+PEF1dGhvcj5WYW4gUG96bmFrPC9BdXRob3I+PFllYXI+MjAxMDwvWWVh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=
</w:fldData>
              </w:fldChar>
            </w:r>
            <w:r w:rsidR="00245F2E" w:rsidRPr="00245F2E">
              <w:rPr>
                <w:rFonts w:ascii="Arial" w:hAnsi="Arial" w:cs="Arial"/>
                <w:sz w:val="18"/>
                <w:szCs w:val="18"/>
                <w:lang w:val="es-E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sidRPr="00245F2E">
              <w:rPr>
                <w:rFonts w:ascii="Arial" w:hAnsi="Arial" w:cs="Arial"/>
                <w:noProof/>
                <w:sz w:val="18"/>
                <w:szCs w:val="18"/>
                <w:lang w:val="es-ES"/>
              </w:rPr>
              <w:t>[16]</w:t>
            </w:r>
            <w:r w:rsidRPr="007A365C">
              <w:rPr>
                <w:rFonts w:ascii="Arial" w:hAnsi="Arial" w:cs="Arial"/>
                <w:sz w:val="18"/>
                <w:szCs w:val="18"/>
                <w:lang w:val="en-US"/>
              </w:rPr>
              <w:fldChar w:fldCharType="end"/>
            </w:r>
          </w:p>
          <w:p w14:paraId="01D9B830" w14:textId="77777777" w:rsidR="007A365C" w:rsidRPr="007A365C" w:rsidRDefault="007A365C" w:rsidP="007A365C">
            <w:pPr>
              <w:spacing w:line="276" w:lineRule="auto"/>
              <w:rPr>
                <w:rFonts w:ascii="Arial" w:hAnsi="Arial" w:cs="Arial"/>
                <w:sz w:val="18"/>
                <w:szCs w:val="18"/>
                <w:lang w:val="es-ES"/>
              </w:rPr>
            </w:pPr>
            <w:r w:rsidRPr="007A365C">
              <w:rPr>
                <w:rFonts w:ascii="Arial" w:hAnsi="Arial" w:cs="Arial"/>
                <w:sz w:val="18"/>
                <w:szCs w:val="18"/>
                <w:lang w:val="es-ES"/>
              </w:rPr>
              <w:t>(2 y.)</w:t>
            </w:r>
          </w:p>
        </w:tc>
        <w:tc>
          <w:tcPr>
            <w:tcW w:w="1985" w:type="dxa"/>
            <w:vAlign w:val="center"/>
          </w:tcPr>
          <w:p w14:paraId="187BCD66"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Postmenopausal women with no metastatic HR–positive EBC (scheduled to receive anastrozole), high risk of fracture with LS or FN T-score &lt;-2.0, prior history of fragility fracture</w:t>
            </w:r>
          </w:p>
        </w:tc>
        <w:tc>
          <w:tcPr>
            <w:tcW w:w="2366" w:type="dxa"/>
            <w:vAlign w:val="center"/>
          </w:tcPr>
          <w:p w14:paraId="6083923B"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Exclusion criteria included metastatic disease, recent hormone treatment, and medications known to alter BMD</w:t>
            </w:r>
          </w:p>
        </w:tc>
        <w:tc>
          <w:tcPr>
            <w:tcW w:w="2161" w:type="dxa"/>
            <w:vAlign w:val="center"/>
          </w:tcPr>
          <w:p w14:paraId="328DB98D" w14:textId="77777777" w:rsidR="007A365C" w:rsidRPr="007A365C" w:rsidRDefault="007A365C" w:rsidP="007A365C">
            <w:pPr>
              <w:spacing w:line="276" w:lineRule="auto"/>
              <w:rPr>
                <w:rFonts w:ascii="Arial" w:hAnsi="Arial" w:cs="Arial"/>
                <w:b/>
                <w:bCs/>
                <w:sz w:val="18"/>
                <w:szCs w:val="18"/>
                <w:lang w:val="en-US"/>
              </w:rPr>
            </w:pPr>
            <w:r w:rsidRPr="007A365C">
              <w:rPr>
                <w:rFonts w:ascii="Arial" w:hAnsi="Arial" w:cs="Arial"/>
                <w:b/>
                <w:bCs/>
                <w:sz w:val="18"/>
                <w:szCs w:val="18"/>
                <w:lang w:val="en-US"/>
              </w:rPr>
              <w:t>234 patients</w:t>
            </w:r>
            <w:r w:rsidRPr="007A365C">
              <w:rPr>
                <w:rFonts w:ascii="Arial" w:hAnsi="Arial" w:cs="Arial"/>
                <w:sz w:val="18"/>
                <w:szCs w:val="18"/>
                <w:lang w:val="en-US"/>
              </w:rPr>
              <w:t xml:space="preserve"> allocated based on their fracture risk (higher, HR; moderate, MR or lower risk, LR). HR patients (38) received anastrozole+ risedronate (A+R). LR patients (42) received A. MR patients (77) were randomly assigned to receive either A+R or A+ placebo (A+P). LR patients only received A. Calcium/vitamin D were recommended for all patients</w:t>
            </w:r>
          </w:p>
        </w:tc>
        <w:tc>
          <w:tcPr>
            <w:tcW w:w="2462" w:type="dxa"/>
            <w:vAlign w:val="center"/>
          </w:tcPr>
          <w:p w14:paraId="02142115"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MR patients:</w:t>
            </w:r>
            <w:r w:rsidRPr="007A365C">
              <w:rPr>
                <w:rFonts w:ascii="Arial" w:hAnsi="Arial" w:cs="Arial"/>
                <w:sz w:val="18"/>
                <w:szCs w:val="18"/>
                <w:lang w:val="en-US"/>
              </w:rPr>
              <w:t xml:space="preserve"> significant increase in LS and TH BMD in A + R vs. A + P (2.2% </w:t>
            </w:r>
            <w:r w:rsidRPr="007A365C">
              <w:rPr>
                <w:rFonts w:ascii="Arial" w:hAnsi="Arial" w:cs="Arial"/>
                <w:i/>
                <w:iCs/>
                <w:sz w:val="18"/>
                <w:szCs w:val="18"/>
                <w:lang w:val="en-US"/>
              </w:rPr>
              <w:t>v</w:t>
            </w:r>
            <w:r w:rsidRPr="007A365C">
              <w:rPr>
                <w:rFonts w:ascii="Arial" w:hAnsi="Arial" w:cs="Arial"/>
                <w:sz w:val="18"/>
                <w:szCs w:val="18"/>
                <w:lang w:val="en-US"/>
              </w:rPr>
              <w:t> −1.8%; and 1.8% </w:t>
            </w:r>
            <w:r w:rsidRPr="007A365C">
              <w:rPr>
                <w:rFonts w:ascii="Arial" w:hAnsi="Arial" w:cs="Arial"/>
                <w:i/>
                <w:iCs/>
                <w:sz w:val="18"/>
                <w:szCs w:val="18"/>
                <w:lang w:val="en-US"/>
              </w:rPr>
              <w:t>v</w:t>
            </w:r>
            <w:r w:rsidRPr="007A365C">
              <w:rPr>
                <w:rFonts w:ascii="Arial" w:hAnsi="Arial" w:cs="Arial"/>
                <w:sz w:val="18"/>
                <w:szCs w:val="18"/>
                <w:lang w:val="en-US"/>
              </w:rPr>
              <w:t xml:space="preserve"> −1.1%; respectively). </w:t>
            </w:r>
            <w:r w:rsidRPr="007A365C">
              <w:rPr>
                <w:rFonts w:ascii="Arial" w:hAnsi="Arial" w:cs="Arial"/>
                <w:b/>
                <w:bCs/>
                <w:sz w:val="18"/>
                <w:szCs w:val="18"/>
                <w:lang w:val="en-US"/>
              </w:rPr>
              <w:t>HR patients:</w:t>
            </w:r>
            <w:r w:rsidRPr="007A365C">
              <w:rPr>
                <w:rFonts w:ascii="Arial" w:hAnsi="Arial" w:cs="Arial"/>
                <w:sz w:val="18"/>
                <w:szCs w:val="18"/>
                <w:lang w:val="en-US"/>
              </w:rPr>
              <w:t xml:space="preserve"> significant increase in LS and TH BMD in A+R group (3.0% and 2.0%, respectively). </w:t>
            </w:r>
            <w:r w:rsidRPr="007A365C">
              <w:rPr>
                <w:rFonts w:ascii="Arial" w:hAnsi="Arial" w:cs="Arial"/>
                <w:b/>
                <w:bCs/>
                <w:sz w:val="18"/>
                <w:szCs w:val="18"/>
                <w:lang w:val="en-US"/>
              </w:rPr>
              <w:t xml:space="preserve">LR patients: </w:t>
            </w:r>
            <w:r w:rsidRPr="007A365C">
              <w:rPr>
                <w:rFonts w:ascii="Arial" w:hAnsi="Arial" w:cs="Arial"/>
                <w:sz w:val="18"/>
                <w:szCs w:val="18"/>
                <w:lang w:val="en-US"/>
              </w:rPr>
              <w:t>significant decrease in LS BMD in A+R arm (−2.1%) and numerical decrease in TH BMD (−0.4%). At 1 y., CTX and PINP decreased (43-46%) in all R groups</w:t>
            </w:r>
          </w:p>
        </w:tc>
        <w:tc>
          <w:tcPr>
            <w:tcW w:w="1456" w:type="dxa"/>
            <w:vAlign w:val="center"/>
          </w:tcPr>
          <w:p w14:paraId="5945C159"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No difference in the incidence of fractures between arms</w:t>
            </w:r>
          </w:p>
        </w:tc>
        <w:tc>
          <w:tcPr>
            <w:tcW w:w="2219" w:type="dxa"/>
            <w:vAlign w:val="center"/>
          </w:tcPr>
          <w:p w14:paraId="64175F4E"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Incidence of AEs was comparable among groups</w:t>
            </w:r>
          </w:p>
        </w:tc>
      </w:tr>
      <w:tr w:rsidR="007A365C" w:rsidRPr="007A365C" w14:paraId="720822DD" w14:textId="77777777" w:rsidTr="000E4810">
        <w:trPr>
          <w:trHeight w:val="1831"/>
        </w:trPr>
        <w:tc>
          <w:tcPr>
            <w:tcW w:w="1668" w:type="dxa"/>
            <w:vAlign w:val="center"/>
          </w:tcPr>
          <w:p w14:paraId="51F03242" w14:textId="5DCD49A3"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Brufsky et al., 2012 </w:t>
            </w:r>
            <w:r w:rsidRPr="007A365C">
              <w:rPr>
                <w:rFonts w:ascii="Arial" w:hAnsi="Arial" w:cs="Arial"/>
                <w:sz w:val="18"/>
                <w:szCs w:val="18"/>
                <w:lang w:val="en-US"/>
              </w:rPr>
              <w:fldChar w:fldCharType="begin">
                <w:fldData xml:space="preserve">PEVuZE5vdGU+PENpdGU+PEF1dGhvcj5CcnVmc2t5PC9BdXRob3I+PFllYXI+MjAxMjwvWWVhcj48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PEVuZE5vdGU+PENpdGU+PEF1dGhvcj5CcnVmc2t5PC9BdXRob3I+PFllYXI+MjAxMjwvWWVhcj48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[17]</w:t>
            </w:r>
            <w:r w:rsidRPr="007A365C">
              <w:rPr>
                <w:rFonts w:ascii="Arial" w:hAnsi="Arial" w:cs="Arial"/>
                <w:sz w:val="18"/>
                <w:szCs w:val="18"/>
                <w:lang w:val="en-US"/>
              </w:rPr>
              <w:fldChar w:fldCharType="end"/>
            </w:r>
          </w:p>
          <w:p w14:paraId="06C4EB1E"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(5 y.)</w:t>
            </w:r>
          </w:p>
        </w:tc>
        <w:tc>
          <w:tcPr>
            <w:tcW w:w="1985" w:type="dxa"/>
            <w:vAlign w:val="center"/>
          </w:tcPr>
          <w:p w14:paraId="4B7C88E8"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Postmenopausal women with a history of surgically resectable ER and/or PR-positive EBC receiving letrozole</w:t>
            </w:r>
          </w:p>
        </w:tc>
        <w:tc>
          <w:tcPr>
            <w:tcW w:w="2366" w:type="dxa"/>
            <w:vAlign w:val="center"/>
          </w:tcPr>
          <w:p w14:paraId="039D102A" w14:textId="77777777" w:rsidR="007A365C" w:rsidRPr="007A365C" w:rsidRDefault="007A365C" w:rsidP="007A365C">
            <w:pPr>
              <w:spacing w:line="276" w:lineRule="auto"/>
              <w:rPr>
                <w:rFonts w:ascii="Arial" w:hAnsi="Arial" w:cs="Arial"/>
                <w:sz w:val="18"/>
                <w:szCs w:val="18"/>
                <w:lang w:val="en-US"/>
              </w:rPr>
            </w:pPr>
          </w:p>
        </w:tc>
        <w:tc>
          <w:tcPr>
            <w:tcW w:w="2161" w:type="dxa"/>
            <w:vAlign w:val="center"/>
          </w:tcPr>
          <w:p w14:paraId="3B81D39B" w14:textId="77777777" w:rsidR="007A365C" w:rsidRPr="007A365C" w:rsidRDefault="007A365C" w:rsidP="007A365C">
            <w:pPr>
              <w:spacing w:line="276" w:lineRule="auto"/>
              <w:rPr>
                <w:rFonts w:ascii="Arial" w:hAnsi="Arial" w:cs="Arial"/>
                <w:b/>
                <w:bCs/>
                <w:sz w:val="18"/>
                <w:szCs w:val="18"/>
                <w:lang w:val="en-US"/>
              </w:rPr>
            </w:pPr>
            <w:r w:rsidRPr="007A365C">
              <w:rPr>
                <w:rFonts w:ascii="Arial" w:hAnsi="Arial" w:cs="Arial"/>
                <w:b/>
                <w:bCs/>
                <w:sz w:val="18"/>
                <w:szCs w:val="18"/>
                <w:lang w:val="en-US"/>
              </w:rPr>
              <w:t>602 patients</w:t>
            </w:r>
            <w:r w:rsidRPr="007A365C">
              <w:rPr>
                <w:rFonts w:ascii="Arial" w:hAnsi="Arial" w:cs="Arial"/>
                <w:sz w:val="18"/>
                <w:szCs w:val="18"/>
                <w:lang w:val="en-US"/>
              </w:rPr>
              <w:t xml:space="preserve"> randomized 1:1 to receive upfront or delayed-start ZOL (IV)</w:t>
            </w:r>
          </w:p>
        </w:tc>
        <w:tc>
          <w:tcPr>
            <w:tcW w:w="2462" w:type="dxa"/>
            <w:vAlign w:val="center"/>
          </w:tcPr>
          <w:p w14:paraId="7E9FAB8F"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Least square means of LS and FN BMD were 8.9% and 6.7% in upfront ZOL and delayed ZOL arms, respectively (P &lt; .0001). </w:t>
            </w:r>
          </w:p>
          <w:p w14:paraId="4E858D60"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Least squares mean BMD difference between groups steadily increased from baseline to month 61 for LS (4.3% to 8.9%) and TH (3.2% to 6.7%)</w:t>
            </w:r>
          </w:p>
        </w:tc>
        <w:tc>
          <w:tcPr>
            <w:tcW w:w="1456" w:type="dxa"/>
            <w:vAlign w:val="center"/>
          </w:tcPr>
          <w:p w14:paraId="748D8299"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The incidence of fractures was 9.3% in delayed ZOL group vs 11% in upfront ZOL</w:t>
            </w:r>
          </w:p>
          <w:p w14:paraId="73D828E8" w14:textId="77777777" w:rsidR="007A365C" w:rsidRPr="007A365C" w:rsidRDefault="007A365C" w:rsidP="007A365C">
            <w:pPr>
              <w:spacing w:line="276" w:lineRule="auto"/>
              <w:rPr>
                <w:rFonts w:ascii="Arial" w:hAnsi="Arial" w:cs="Arial"/>
                <w:sz w:val="18"/>
                <w:szCs w:val="18"/>
                <w:lang w:val="en-US"/>
              </w:rPr>
            </w:pPr>
          </w:p>
        </w:tc>
        <w:tc>
          <w:tcPr>
            <w:tcW w:w="2219" w:type="dxa"/>
            <w:vAlign w:val="center"/>
          </w:tcPr>
          <w:p w14:paraId="46A639E7"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Types and rates of AE were similar between groups</w:t>
            </w:r>
          </w:p>
        </w:tc>
      </w:tr>
      <w:tr w:rsidR="007A365C" w:rsidRPr="007A365C" w14:paraId="15FB3687" w14:textId="77777777" w:rsidTr="000E4810">
        <w:trPr>
          <w:trHeight w:val="1831"/>
        </w:trPr>
        <w:tc>
          <w:tcPr>
            <w:tcW w:w="1668" w:type="dxa"/>
            <w:vAlign w:val="center"/>
          </w:tcPr>
          <w:p w14:paraId="3D2E7138" w14:textId="74CCB258"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Rhee et al., 2013 </w:t>
            </w:r>
            <w:r w:rsidRPr="007A365C">
              <w:rPr>
                <w:rFonts w:ascii="Arial" w:hAnsi="Arial" w:cs="Arial"/>
                <w:sz w:val="18"/>
                <w:szCs w:val="18"/>
                <w:lang w:val="en-US"/>
              </w:rPr>
              <w:fldChar w:fldCharType="begin">
                <w:fldData xml:space="preserve">PEVuZE5vdGU+PENpdGU+PEF1dGhvcj5SaGVlPC9BdXRob3I+PFllYXI+MjAxMzwvWWVhcj48UmVj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PEVuZE5vdGU+PENpdGU+PEF1dGhvcj5SaGVlPC9BdXRob3I+PFllYXI+MjAxMzwvWWVhcj48UmVj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[18]</w:t>
            </w:r>
            <w:r w:rsidRPr="007A365C">
              <w:rPr>
                <w:rFonts w:ascii="Arial" w:hAnsi="Arial" w:cs="Arial"/>
                <w:sz w:val="18"/>
                <w:szCs w:val="18"/>
                <w:lang w:val="en-US"/>
              </w:rPr>
              <w:fldChar w:fldCharType="end"/>
            </w:r>
          </w:p>
          <w:p w14:paraId="39BA51C7"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(6 months)</w:t>
            </w:r>
          </w:p>
        </w:tc>
        <w:tc>
          <w:tcPr>
            <w:tcW w:w="1985" w:type="dxa"/>
            <w:vAlign w:val="center"/>
          </w:tcPr>
          <w:p w14:paraId="3BE0105E"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Postmenopausal women with HR-positive EBC on AI treatment (anastrozole or letrozole)</w:t>
            </w:r>
          </w:p>
          <w:p w14:paraId="1DE0AE28" w14:textId="77777777" w:rsidR="007A365C" w:rsidRPr="007A365C" w:rsidRDefault="007A365C" w:rsidP="007A365C">
            <w:pPr>
              <w:spacing w:line="276" w:lineRule="auto"/>
              <w:rPr>
                <w:rFonts w:ascii="Arial" w:hAnsi="Arial" w:cs="Arial"/>
                <w:sz w:val="18"/>
                <w:szCs w:val="18"/>
                <w:lang w:val="en-US"/>
              </w:rPr>
            </w:pPr>
          </w:p>
        </w:tc>
        <w:tc>
          <w:tcPr>
            <w:tcW w:w="2366" w:type="dxa"/>
            <w:vAlign w:val="center"/>
          </w:tcPr>
          <w:p w14:paraId="4F85FD5C"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Clinical and/or radiological evidence of distant metastasis, previous use of</w:t>
            </w:r>
          </w:p>
          <w:p w14:paraId="6255A18A"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bisphosphonates or contraindication for bisphosphonates or use of drugs affecting bone metabolism</w:t>
            </w:r>
          </w:p>
        </w:tc>
        <w:tc>
          <w:tcPr>
            <w:tcW w:w="2161" w:type="dxa"/>
            <w:vAlign w:val="center"/>
          </w:tcPr>
          <w:p w14:paraId="0A231349" w14:textId="77777777" w:rsidR="007A365C" w:rsidRPr="007A365C" w:rsidRDefault="007A365C" w:rsidP="007A365C">
            <w:pPr>
              <w:spacing w:line="276" w:lineRule="auto"/>
              <w:rPr>
                <w:rFonts w:ascii="Arial" w:hAnsi="Arial" w:cs="Arial"/>
                <w:b/>
                <w:bCs/>
                <w:sz w:val="18"/>
                <w:szCs w:val="18"/>
                <w:lang w:val="en-US"/>
              </w:rPr>
            </w:pPr>
            <w:r w:rsidRPr="007A365C">
              <w:rPr>
                <w:rFonts w:ascii="Arial" w:hAnsi="Arial" w:cs="Arial"/>
                <w:b/>
                <w:bCs/>
                <w:sz w:val="18"/>
                <w:szCs w:val="18"/>
                <w:lang w:val="en-US"/>
              </w:rPr>
              <w:t>98 patients</w:t>
            </w:r>
            <w:r w:rsidRPr="007A365C">
              <w:rPr>
                <w:rFonts w:ascii="Arial" w:hAnsi="Arial" w:cs="Arial"/>
                <w:sz w:val="18"/>
                <w:szCs w:val="18"/>
                <w:lang w:val="en-US"/>
              </w:rPr>
              <w:t xml:space="preserve"> randomized 1:1 to receive alendronate combined with calcitriol (AC) or placebo (P). All patients received daily calcium/vitamin D supplements</w:t>
            </w:r>
          </w:p>
        </w:tc>
        <w:tc>
          <w:tcPr>
            <w:tcW w:w="2462" w:type="dxa"/>
            <w:vAlign w:val="center"/>
          </w:tcPr>
          <w:p w14:paraId="7EA79D6D"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In P group, LS BMD decreased by 3.5% after AI initiation while it was well maintained in AC group. LS BMD difference was ~3.0% between groups. TH BMD decreased by 1.3% in P vs 0.5% in AC. Serum CTX was markedly higher in P group after AI initiation. Change difference in CTX was 72.4%, between AC and P arms</w:t>
            </w:r>
          </w:p>
        </w:tc>
        <w:tc>
          <w:tcPr>
            <w:tcW w:w="1456" w:type="dxa"/>
            <w:vAlign w:val="center"/>
          </w:tcPr>
          <w:p w14:paraId="7F4F4A7E"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No differences in the risk of major osteoporotic fractures or TH fractures at 10 y. </w:t>
            </w:r>
          </w:p>
        </w:tc>
        <w:tc>
          <w:tcPr>
            <w:tcW w:w="2219" w:type="dxa"/>
            <w:vAlign w:val="center"/>
          </w:tcPr>
          <w:p w14:paraId="1FE9B332"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No significant differences in incidence of AEs between groups</w:t>
            </w:r>
          </w:p>
          <w:p w14:paraId="638C3C89"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 </w:t>
            </w:r>
          </w:p>
        </w:tc>
      </w:tr>
      <w:tr w:rsidR="007A365C" w:rsidRPr="007A365C" w14:paraId="6FF9F958" w14:textId="77777777" w:rsidTr="000E4810">
        <w:tc>
          <w:tcPr>
            <w:tcW w:w="1668" w:type="dxa"/>
            <w:vAlign w:val="center"/>
          </w:tcPr>
          <w:p w14:paraId="61679BF4" w14:textId="388E86C6"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Sestak et al., 2014 </w:t>
            </w:r>
            <w:r w:rsidRPr="007A365C">
              <w:rPr>
                <w:rFonts w:ascii="Arial" w:hAnsi="Arial" w:cs="Arial"/>
                <w:sz w:val="18"/>
                <w:szCs w:val="18"/>
                <w:lang w:val="en-US"/>
              </w:rPr>
              <w:fldChar w:fldCharType="begin">
                <w:fldData xml:space="preserve">PEVuZE5vdGU+PENpdGU+PEF1dGhvcj5TZXN0YWs8L0F1dGhvcj48WWVhcj4yMDE0PC9ZZWFyPjxS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=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PEVuZE5vdGU+PENpdGU+PEF1dGhvcj5TZXN0YWs8L0F1dGhvcj48WWVhcj4yMDE0PC9ZZWFyPjxS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=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[19]</w:t>
            </w:r>
            <w:r w:rsidRPr="007A365C">
              <w:rPr>
                <w:rFonts w:ascii="Arial" w:hAnsi="Arial" w:cs="Arial"/>
                <w:sz w:val="18"/>
                <w:szCs w:val="18"/>
                <w:lang w:val="en-US"/>
              </w:rPr>
              <w:fldChar w:fldCharType="end"/>
            </w:r>
          </w:p>
          <w:p w14:paraId="5ED6C158"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(5 y.)</w:t>
            </w:r>
          </w:p>
        </w:tc>
        <w:tc>
          <w:tcPr>
            <w:tcW w:w="1985" w:type="dxa"/>
            <w:vAlign w:val="center"/>
          </w:tcPr>
          <w:p w14:paraId="6FC447C6"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Healthy postmenopausal</w:t>
            </w:r>
          </w:p>
          <w:p w14:paraId="58026BF7"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women at increased risk of BC on anastrozole (Study IBIS-II)</w:t>
            </w:r>
          </w:p>
        </w:tc>
        <w:tc>
          <w:tcPr>
            <w:tcW w:w="2366" w:type="dxa"/>
            <w:vAlign w:val="center"/>
          </w:tcPr>
          <w:p w14:paraId="6FF4D871"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Premenopausal status, previous diagnosis of invasive cancers, current use of selective ER modulators for ≥6 months or evidence of severe osteoporosis (T-score </w:t>
            </w:r>
            <w:r w:rsidRPr="007A365C">
              <w:rPr>
                <w:rFonts w:ascii="Arial" w:hAnsi="Arial" w:cs="Arial"/>
                <w:sz w:val="18"/>
                <w:szCs w:val="18"/>
                <w:lang w:val="en-US"/>
              </w:rPr>
              <w:sym w:font="Symbol" w:char="F03C"/>
            </w:r>
            <w:r w:rsidRPr="007A365C">
              <w:rPr>
                <w:rFonts w:ascii="Arial" w:hAnsi="Arial" w:cs="Arial"/>
                <w:sz w:val="18"/>
                <w:szCs w:val="18"/>
                <w:lang w:val="en-US"/>
              </w:rPr>
              <w:t>–4·0)</w:t>
            </w:r>
          </w:p>
          <w:p w14:paraId="1F204E9B" w14:textId="77777777" w:rsidR="007A365C" w:rsidRPr="007A365C" w:rsidRDefault="007A365C" w:rsidP="007A365C">
            <w:pPr>
              <w:spacing w:line="276" w:lineRule="auto"/>
              <w:rPr>
                <w:rFonts w:ascii="Arial" w:hAnsi="Arial" w:cs="Arial"/>
                <w:sz w:val="18"/>
                <w:szCs w:val="18"/>
                <w:lang w:val="en-US"/>
              </w:rPr>
            </w:pPr>
          </w:p>
        </w:tc>
        <w:tc>
          <w:tcPr>
            <w:tcW w:w="2161" w:type="dxa"/>
            <w:vAlign w:val="center"/>
          </w:tcPr>
          <w:p w14:paraId="357444FC"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260 women</w:t>
            </w:r>
            <w:r w:rsidRPr="007A365C">
              <w:rPr>
                <w:rFonts w:ascii="Arial" w:hAnsi="Arial" w:cs="Arial"/>
                <w:sz w:val="18"/>
                <w:szCs w:val="18"/>
                <w:lang w:val="en-US"/>
              </w:rPr>
              <w:t xml:space="preserve"> in stratum II were randomly assigned to receive risedronate (R; n=137) or matched placebo (P; n=123).</w:t>
            </w:r>
          </w:p>
          <w:p w14:paraId="4887459F"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Calcium/vitamin D were recommended for all patients</w:t>
            </w:r>
          </w:p>
          <w:p w14:paraId="0886C8F2" w14:textId="77777777" w:rsidR="007A365C" w:rsidRPr="007A365C" w:rsidRDefault="007A365C" w:rsidP="007A365C">
            <w:pPr>
              <w:spacing w:line="276" w:lineRule="auto"/>
              <w:rPr>
                <w:rFonts w:ascii="Arial" w:hAnsi="Arial" w:cs="Arial"/>
                <w:b/>
                <w:bCs/>
                <w:sz w:val="18"/>
                <w:szCs w:val="18"/>
                <w:lang w:val="en-US"/>
              </w:rPr>
            </w:pPr>
          </w:p>
        </w:tc>
        <w:tc>
          <w:tcPr>
            <w:tcW w:w="2462" w:type="dxa"/>
            <w:vAlign w:val="center"/>
          </w:tcPr>
          <w:p w14:paraId="35D799C5"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36 months: Women in stratum II randomly allocated to A+R achieved a mean LS BMD increase of 1.1% vs. -2.6% in P. TH BMD decreased by -0.7% for A+R vs. 3.5% decrease in A+P arm (p=0·000). 12 months: NTX/Creatinine decreased by 13% in R vs. 11.7% in P</w:t>
            </w:r>
          </w:p>
        </w:tc>
        <w:tc>
          <w:tcPr>
            <w:tcW w:w="1456" w:type="dxa"/>
            <w:vAlign w:val="center"/>
          </w:tcPr>
          <w:p w14:paraId="2B32FAB3"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The incidence rate for fractures in both arms was similar</w:t>
            </w:r>
          </w:p>
        </w:tc>
        <w:tc>
          <w:tcPr>
            <w:tcW w:w="2219" w:type="dxa"/>
            <w:vAlign w:val="center"/>
          </w:tcPr>
          <w:p w14:paraId="5DC88097"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Incidence of AEs was similar between groups within each stratum. In R arm, no serious AEs, such as ONJ or serious GI problems were reported after 3 y. of follow-up</w:t>
            </w:r>
          </w:p>
        </w:tc>
      </w:tr>
      <w:tr w:rsidR="007A365C" w:rsidRPr="007A365C" w14:paraId="2FB90D09" w14:textId="77777777" w:rsidTr="000E4810">
        <w:tc>
          <w:tcPr>
            <w:tcW w:w="1668" w:type="dxa"/>
            <w:vAlign w:val="center"/>
          </w:tcPr>
          <w:p w14:paraId="63DF92A9" w14:textId="6AD8C6FB"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Greenspan et al., 2015 </w:t>
            </w:r>
            <w:r w:rsidRPr="007A365C">
              <w:rPr>
                <w:rFonts w:ascii="Arial" w:hAnsi="Arial" w:cs="Arial"/>
                <w:sz w:val="18"/>
                <w:szCs w:val="18"/>
                <w:lang w:val="en-US"/>
              </w:rPr>
              <w:fldChar w:fldCharType="begin">
                <w:fldData xml:space="preserve">PEVuZE5vdGU+PENpdGU+PEF1dGhvcj5HcmVlbnNwYW48L0F1dGhvcj48WWVhcj4yMDE1PC9ZZWFy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PEVuZE5vdGU+PENpdGU+PEF1dGhvcj5HcmVlbnNwYW48L0F1dGhvcj48WWVhcj4yMDE1PC9ZZWFy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[20]</w:t>
            </w:r>
            <w:r w:rsidRPr="007A365C">
              <w:rPr>
                <w:rFonts w:ascii="Arial" w:hAnsi="Arial" w:cs="Arial"/>
                <w:sz w:val="18"/>
                <w:szCs w:val="18"/>
                <w:lang w:val="en-US"/>
              </w:rPr>
              <w:fldChar w:fldCharType="end"/>
            </w:r>
          </w:p>
          <w:p w14:paraId="130A5A9A"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(2 y.)</w:t>
            </w:r>
          </w:p>
        </w:tc>
        <w:tc>
          <w:tcPr>
            <w:tcW w:w="1985" w:type="dxa"/>
            <w:vAlign w:val="center"/>
          </w:tcPr>
          <w:p w14:paraId="0F428D6E"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Postmenopausal women with HR-positive BC, &gt; 55 y., currently receiving AI (including anastrozole, letrozole, or exemestane)</w:t>
            </w:r>
          </w:p>
        </w:tc>
        <w:tc>
          <w:tcPr>
            <w:tcW w:w="2366" w:type="dxa"/>
            <w:vAlign w:val="center"/>
          </w:tcPr>
          <w:p w14:paraId="07387361"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Women treated with a bisphosphonate in the previous year or on any medication known to affect bone and mineral metabolism such as GC</w:t>
            </w:r>
          </w:p>
        </w:tc>
        <w:tc>
          <w:tcPr>
            <w:tcW w:w="2161" w:type="dxa"/>
            <w:vAlign w:val="center"/>
          </w:tcPr>
          <w:p w14:paraId="1BAF0F7B"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109 patients</w:t>
            </w:r>
            <w:r w:rsidRPr="007A365C">
              <w:rPr>
                <w:rFonts w:ascii="Arial" w:hAnsi="Arial" w:cs="Arial"/>
                <w:sz w:val="18"/>
                <w:szCs w:val="18"/>
                <w:lang w:val="en-US"/>
              </w:rPr>
              <w:t xml:space="preserve"> randomly assigned 1:1 to receive oral risedronate (R) or placebo (P)</w:t>
            </w:r>
          </w:p>
        </w:tc>
        <w:tc>
          <w:tcPr>
            <w:tcW w:w="2462" w:type="dxa"/>
            <w:vAlign w:val="center"/>
          </w:tcPr>
          <w:p w14:paraId="25F1A0DA"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LS BMD increased in R group and decreased in P arm over 1 and 2 y. The adjusted difference was 3.9% in favor of R group at 2 y. At 1 and 2 y., TH BMD increased more in R than in P. The adjusted difference at 2 y. was 3.2% in favor of R arm. Similar differences were achieved at FN with 2.6% of adjusted difference at 2 y. In R, CTX and PINP decreased at 1 and 2 y.</w:t>
            </w:r>
          </w:p>
        </w:tc>
        <w:tc>
          <w:tcPr>
            <w:tcW w:w="1456" w:type="dxa"/>
            <w:vAlign w:val="center"/>
          </w:tcPr>
          <w:p w14:paraId="41B48364" w14:textId="77777777" w:rsidR="007A365C" w:rsidRPr="007A365C" w:rsidRDefault="007A365C" w:rsidP="007A365C">
            <w:pPr>
              <w:spacing w:line="276" w:lineRule="auto"/>
              <w:rPr>
                <w:rFonts w:ascii="Arial" w:hAnsi="Arial" w:cs="Arial"/>
                <w:sz w:val="18"/>
                <w:szCs w:val="18"/>
                <w:lang w:val="en-US"/>
              </w:rPr>
            </w:pPr>
          </w:p>
        </w:tc>
        <w:tc>
          <w:tcPr>
            <w:tcW w:w="2219" w:type="dxa"/>
            <w:vAlign w:val="center"/>
          </w:tcPr>
          <w:p w14:paraId="45217602"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94% had no serious AEs. There were no differences between the groups</w:t>
            </w:r>
          </w:p>
        </w:tc>
      </w:tr>
      <w:tr w:rsidR="007A365C" w:rsidRPr="007A365C" w14:paraId="00E83409" w14:textId="77777777" w:rsidTr="000E4810">
        <w:trPr>
          <w:trHeight w:val="2309"/>
        </w:trPr>
        <w:tc>
          <w:tcPr>
            <w:tcW w:w="1668" w:type="dxa"/>
            <w:vAlign w:val="center"/>
          </w:tcPr>
          <w:p w14:paraId="6935D1BB" w14:textId="086BB5E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Gnant et al., 2015 </w:t>
            </w:r>
            <w:r w:rsidRPr="007A365C">
              <w:rPr>
                <w:rFonts w:ascii="Arial" w:hAnsi="Arial" w:cs="Arial"/>
                <w:sz w:val="18"/>
                <w:szCs w:val="18"/>
                <w:lang w:val="en-US"/>
              </w:rPr>
              <w:fldChar w:fldCharType="begin">
                <w:fldData xml:space="preserve">PEVuZE5vdGU+PENpdGU+PEF1dGhvcj5HbmFudDwvQXV0aG9yPjxZZWFyPjIwMTU8L1llYXI+PFJl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PEVuZE5vdGU+PENpdGU+PEF1dGhvcj5HbmFudDwvQXV0aG9yPjxZZWFyPjIwMTU8L1llYXI+PFJl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[21]</w:t>
            </w:r>
            <w:r w:rsidRPr="007A365C">
              <w:rPr>
                <w:rFonts w:ascii="Arial" w:hAnsi="Arial" w:cs="Arial"/>
                <w:sz w:val="18"/>
                <w:szCs w:val="18"/>
                <w:lang w:val="en-US"/>
              </w:rPr>
              <w:fldChar w:fldCharType="end"/>
            </w:r>
          </w:p>
          <w:p w14:paraId="50BBED5E"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(3 y.)</w:t>
            </w:r>
          </w:p>
        </w:tc>
        <w:tc>
          <w:tcPr>
            <w:tcW w:w="1985" w:type="dxa"/>
            <w:vAlign w:val="center"/>
          </w:tcPr>
          <w:p w14:paraId="548E0158"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Postmenopausal women with non-metastatic ER-positive or PR-positive BC receiving adjuvant non-steroidal AI</w:t>
            </w:r>
          </w:p>
          <w:p w14:paraId="66D670C5" w14:textId="77777777" w:rsidR="007A365C" w:rsidRPr="007A365C" w:rsidRDefault="007A365C" w:rsidP="007A365C">
            <w:pPr>
              <w:spacing w:line="276" w:lineRule="auto"/>
              <w:rPr>
                <w:rFonts w:ascii="Arial" w:hAnsi="Arial" w:cs="Arial"/>
                <w:sz w:val="18"/>
                <w:szCs w:val="18"/>
                <w:lang w:val="en-US"/>
              </w:rPr>
            </w:pPr>
          </w:p>
        </w:tc>
        <w:tc>
          <w:tcPr>
            <w:tcW w:w="2366" w:type="dxa"/>
            <w:vAlign w:val="center"/>
          </w:tcPr>
          <w:p w14:paraId="4BB133AC"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Prior or concomitant treatment with Tx or SERM. Prior treatment with bisphosphonates</w:t>
            </w:r>
          </w:p>
        </w:tc>
        <w:tc>
          <w:tcPr>
            <w:tcW w:w="2161" w:type="dxa"/>
            <w:vAlign w:val="center"/>
          </w:tcPr>
          <w:p w14:paraId="68181BDB"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b/>
                <w:bCs/>
                <w:sz w:val="18"/>
                <w:szCs w:val="18"/>
                <w:lang w:val="en-US"/>
              </w:rPr>
              <w:t>3420 patients</w:t>
            </w:r>
            <w:r w:rsidRPr="007A365C">
              <w:rPr>
                <w:rFonts w:ascii="Arial" w:hAnsi="Arial" w:cs="Arial"/>
                <w:sz w:val="18"/>
                <w:szCs w:val="18"/>
                <w:lang w:val="en-US"/>
              </w:rPr>
              <w:t xml:space="preserve"> randomly assigned 1:1 to receive either denosumab (D) or placebo (P). All patients received calcium/vitamin D</w:t>
            </w:r>
          </w:p>
        </w:tc>
        <w:tc>
          <w:tcPr>
            <w:tcW w:w="2462" w:type="dxa"/>
            <w:vAlign w:val="center"/>
          </w:tcPr>
          <w:p w14:paraId="7FF1A09C"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At 3 y., D arm had a significant relative increase in LS, TH and FN BMD (10.02%, 7.92%, and 6.51%, respectively). 10%, 17% and 22% of D patients lost LS, TH or FN BMD vs. 74%, 78% and 75% of P patients</w:t>
            </w:r>
          </w:p>
        </w:tc>
        <w:tc>
          <w:tcPr>
            <w:tcW w:w="1456" w:type="dxa"/>
            <w:vAlign w:val="center"/>
          </w:tcPr>
          <w:p w14:paraId="73AB6AC4"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Time to first clinical fracture</w:t>
            </w:r>
          </w:p>
          <w:p w14:paraId="122BE933"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was delayed in D arm. 5% (D arm) vs.9.6% patients (P group) had fractures</w:t>
            </w:r>
          </w:p>
        </w:tc>
        <w:tc>
          <w:tcPr>
            <w:tcW w:w="2219" w:type="dxa"/>
            <w:vAlign w:val="center"/>
          </w:tcPr>
          <w:p w14:paraId="399E1714"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Total incidence of AEs did not differ between D or P arms (80% vs. 79%) nor did the incidence of serious AE (30% of each group). Main AEs were arthralgia and other AI-related symptoms</w:t>
            </w:r>
          </w:p>
        </w:tc>
      </w:tr>
      <w:tr w:rsidR="007A365C" w:rsidRPr="007A365C" w14:paraId="2F70C0E2" w14:textId="77777777" w:rsidTr="000E4810">
        <w:trPr>
          <w:trHeight w:val="3240"/>
        </w:trPr>
        <w:tc>
          <w:tcPr>
            <w:tcW w:w="1668" w:type="dxa"/>
            <w:vAlign w:val="center"/>
          </w:tcPr>
          <w:p w14:paraId="6720E19C" w14:textId="12AD4C16"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Lester et al., 2008 </w:t>
            </w:r>
            <w:r w:rsidRPr="007A365C">
              <w:rPr>
                <w:rFonts w:ascii="Arial" w:hAnsi="Arial" w:cs="Arial"/>
                <w:sz w:val="18"/>
                <w:szCs w:val="18"/>
                <w:lang w:val="en-US"/>
              </w:rPr>
              <w:fldChar w:fldCharType="begin">
                <w:fldData xml:space="preserve">PEVuZE5vdGU+PENpdGU+PEF1dGhvcj5MZXN0ZXI8L0F1dGhvcj48WWVhcj4yMDA4PC9ZZWFyPjxS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</w:fldData>
              </w:fldChar>
            </w:r>
            <w:r w:rsidR="00245F2E">
              <w:rPr>
                <w:rFonts w:ascii="Arial" w:hAnsi="Arial" w:cs="Arial"/>
                <w:sz w:val="18"/>
                <w:szCs w:val="18"/>
                <w:lang w:val="en-US"/>
              </w:rPr>
              <w:instrText xml:space="preserve"> ADDIN EN.CITE </w:instrText>
            </w:r>
            <w:r w:rsidR="00245F2E">
              <w:rPr>
                <w:rFonts w:ascii="Arial" w:hAnsi="Arial" w:cs="Arial"/>
                <w:sz w:val="18"/>
                <w:szCs w:val="18"/>
                <w:lang w:val="en-US"/>
              </w:rPr>
              <w:fldChar w:fldCharType="begin">
                <w:fldData xml:space="preserve">PEVuZE5vdGU+PENpdGU+PEF1dGhvcj5MZXN0ZXI8L0F1dGhvcj48WWVhcj4yMDA4PC9ZZWFyPjxS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</w:fldData>
              </w:fldChar>
            </w:r>
            <w:r w:rsidR="00245F2E">
              <w:rPr>
                <w:rFonts w:ascii="Arial" w:hAnsi="Arial" w:cs="Arial"/>
                <w:sz w:val="18"/>
                <w:szCs w:val="18"/>
                <w:lang w:val="en-US"/>
              </w:rPr>
              <w:instrText xml:space="preserve"> ADDIN EN.CITE.DATA </w:instrText>
            </w:r>
            <w:r w:rsidR="00245F2E">
              <w:rPr>
                <w:rFonts w:ascii="Arial" w:hAnsi="Arial" w:cs="Arial"/>
                <w:sz w:val="18"/>
                <w:szCs w:val="18"/>
                <w:lang w:val="en-US"/>
              </w:rPr>
            </w:r>
            <w:r w:rsidR="00245F2E">
              <w:rPr>
                <w:rFonts w:ascii="Arial" w:hAnsi="Arial" w:cs="Arial"/>
                <w:sz w:val="18"/>
                <w:szCs w:val="18"/>
                <w:lang w:val="en-US"/>
              </w:rPr>
              <w:fldChar w:fldCharType="end"/>
            </w:r>
            <w:r w:rsidRPr="007A365C">
              <w:rPr>
                <w:rFonts w:ascii="Arial" w:hAnsi="Arial" w:cs="Arial"/>
                <w:sz w:val="18"/>
                <w:szCs w:val="18"/>
                <w:lang w:val="en-US"/>
              </w:rPr>
            </w:r>
            <w:r w:rsidRPr="007A365C">
              <w:rPr>
                <w:rFonts w:ascii="Arial" w:hAnsi="Arial" w:cs="Arial"/>
                <w:sz w:val="18"/>
                <w:szCs w:val="18"/>
                <w:lang w:val="en-US"/>
              </w:rPr>
              <w:fldChar w:fldCharType="separate"/>
            </w:r>
            <w:r w:rsidR="00245F2E">
              <w:rPr>
                <w:rFonts w:ascii="Arial" w:hAnsi="Arial" w:cs="Arial"/>
                <w:noProof/>
                <w:sz w:val="18"/>
                <w:szCs w:val="18"/>
                <w:lang w:val="en-US"/>
              </w:rPr>
              <w:t>[22]</w:t>
            </w:r>
            <w:r w:rsidRPr="007A365C">
              <w:rPr>
                <w:rFonts w:ascii="Arial" w:hAnsi="Arial" w:cs="Arial"/>
                <w:sz w:val="18"/>
                <w:szCs w:val="18"/>
                <w:lang w:val="en-US"/>
              </w:rPr>
              <w:fldChar w:fldCharType="end"/>
            </w:r>
          </w:p>
          <w:p w14:paraId="737BFB2E"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(2 y.)</w:t>
            </w:r>
          </w:p>
        </w:tc>
        <w:tc>
          <w:tcPr>
            <w:tcW w:w="1985" w:type="dxa"/>
            <w:vAlign w:val="center"/>
          </w:tcPr>
          <w:p w14:paraId="76601363"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Postmenopausal women with ER-positive BC surgically treated</w:t>
            </w:r>
          </w:p>
        </w:tc>
        <w:tc>
          <w:tcPr>
            <w:tcW w:w="2366" w:type="dxa"/>
            <w:vAlign w:val="center"/>
          </w:tcPr>
          <w:p w14:paraId="5ED4AA95"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Patients were excluded if menopause was induced by either prior CT or drug therapy, were receiving medication with effects on bone, had abnormal renal function or disorders of bone metabolism or previous bilateral hip fractures</w:t>
            </w:r>
          </w:p>
          <w:p w14:paraId="1FA10C71" w14:textId="77777777" w:rsidR="007A365C" w:rsidRPr="007A365C" w:rsidRDefault="007A365C" w:rsidP="007A365C">
            <w:pPr>
              <w:spacing w:line="276" w:lineRule="auto"/>
              <w:rPr>
                <w:rFonts w:ascii="Arial" w:hAnsi="Arial" w:cs="Arial"/>
                <w:sz w:val="18"/>
                <w:szCs w:val="18"/>
                <w:lang w:val="en-US"/>
              </w:rPr>
            </w:pPr>
          </w:p>
        </w:tc>
        <w:tc>
          <w:tcPr>
            <w:tcW w:w="2161" w:type="dxa"/>
            <w:vAlign w:val="center"/>
          </w:tcPr>
          <w:p w14:paraId="00671DA0"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 xml:space="preserve">All patients received anastrozole and calcium/vitamin D supplements. </w:t>
            </w:r>
            <w:r w:rsidRPr="007A365C">
              <w:rPr>
                <w:rFonts w:ascii="Arial" w:hAnsi="Arial" w:cs="Arial"/>
                <w:b/>
                <w:bCs/>
                <w:sz w:val="18"/>
                <w:szCs w:val="18"/>
                <w:lang w:val="en-US"/>
              </w:rPr>
              <w:t>50 osteopenic patients</w:t>
            </w:r>
            <w:r w:rsidRPr="007A365C">
              <w:rPr>
                <w:rFonts w:ascii="Arial" w:hAnsi="Arial" w:cs="Arial"/>
                <w:sz w:val="18"/>
                <w:szCs w:val="18"/>
                <w:lang w:val="en-US"/>
              </w:rPr>
              <w:t xml:space="preserve"> were randomized 1:1 to receive ibandronate (I) or placebo (P)</w:t>
            </w:r>
          </w:p>
          <w:p w14:paraId="0EE83D0C" w14:textId="77777777" w:rsidR="007A365C" w:rsidRPr="007A365C" w:rsidRDefault="007A365C" w:rsidP="007A365C">
            <w:pPr>
              <w:spacing w:line="276" w:lineRule="auto"/>
              <w:rPr>
                <w:rFonts w:ascii="Arial" w:hAnsi="Arial" w:cs="Arial"/>
                <w:sz w:val="18"/>
                <w:szCs w:val="18"/>
                <w:lang w:val="en-US"/>
              </w:rPr>
            </w:pPr>
          </w:p>
        </w:tc>
        <w:tc>
          <w:tcPr>
            <w:tcW w:w="2462" w:type="dxa"/>
            <w:vAlign w:val="center"/>
          </w:tcPr>
          <w:p w14:paraId="7E7AB87E"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 xml:space="preserve">I-patients gained +2.98% and +0.60% at LS and TH BMD, respectively. In the P arm, mean BMD declines were observed at 1 and 2 y. at LS (-2.35% and -3.22%) and TH (-2.27% and -3.90), at both sites, at each time point. At 1-y., mean percentage change from baseline was -30.9%, </w:t>
            </w:r>
          </w:p>
          <w:p w14:paraId="4504BEC1" w14:textId="77777777" w:rsidR="007A365C" w:rsidRPr="007A365C" w:rsidRDefault="007A365C" w:rsidP="007A365C">
            <w:pPr>
              <w:spacing w:after="0" w:line="276" w:lineRule="auto"/>
              <w:rPr>
                <w:rFonts w:ascii="Arial" w:hAnsi="Arial" w:cs="Arial"/>
                <w:sz w:val="18"/>
                <w:szCs w:val="18"/>
                <w:lang w:val="en-US"/>
              </w:rPr>
            </w:pPr>
            <w:r w:rsidRPr="007A365C">
              <w:rPr>
                <w:rFonts w:ascii="Arial" w:hAnsi="Arial" w:cs="Arial"/>
                <w:sz w:val="18"/>
                <w:szCs w:val="18"/>
                <w:lang w:val="en-US"/>
              </w:rPr>
              <w:t>-26.3%, and -22.8% for uNTX, sCTX, and sBALP, respectively in I arm (all highly significant)</w:t>
            </w:r>
          </w:p>
        </w:tc>
        <w:tc>
          <w:tcPr>
            <w:tcW w:w="1456" w:type="dxa"/>
            <w:vAlign w:val="center"/>
          </w:tcPr>
          <w:p w14:paraId="6216BD44"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No fragility fractures were reported in either group</w:t>
            </w:r>
          </w:p>
        </w:tc>
        <w:tc>
          <w:tcPr>
            <w:tcW w:w="2219" w:type="dxa"/>
            <w:vAlign w:val="center"/>
          </w:tcPr>
          <w:p w14:paraId="1D67BAAA" w14:textId="77777777" w:rsidR="007A365C" w:rsidRPr="007A365C" w:rsidRDefault="007A365C" w:rsidP="007A365C">
            <w:pPr>
              <w:spacing w:line="276" w:lineRule="auto"/>
              <w:rPr>
                <w:rFonts w:ascii="Arial" w:hAnsi="Arial" w:cs="Arial"/>
                <w:sz w:val="18"/>
                <w:szCs w:val="18"/>
                <w:lang w:val="en-US"/>
              </w:rPr>
            </w:pPr>
            <w:r w:rsidRPr="007A365C">
              <w:rPr>
                <w:rFonts w:ascii="Arial" w:hAnsi="Arial" w:cs="Arial"/>
                <w:sz w:val="18"/>
                <w:szCs w:val="18"/>
                <w:lang w:val="en-US"/>
              </w:rPr>
              <w:t>Upper GI tract symptoms such as nausea and indigestion were experienced by 16% of patients in I arm vs. 0% in P group</w:t>
            </w:r>
          </w:p>
        </w:tc>
      </w:tr>
    </w:tbl>
    <w:p w14:paraId="6FA414CC" w14:textId="77777777" w:rsidR="007A365C" w:rsidRPr="002F15B2" w:rsidRDefault="007A365C" w:rsidP="007A365C">
      <w:pPr>
        <w:spacing w:before="240" w:line="480" w:lineRule="auto"/>
        <w:jc w:val="both"/>
        <w:rPr>
          <w:sz w:val="18"/>
          <w:szCs w:val="18"/>
        </w:rPr>
      </w:pPr>
      <w:r w:rsidRPr="002F15B2">
        <w:rPr>
          <w:sz w:val="18"/>
          <w:szCs w:val="18"/>
          <w:lang w:val="en-US"/>
        </w:rPr>
        <w:t xml:space="preserve">ADT androgen deprivation therapy, AE adverse events, AI aromatase inhibitors, AS androgen suppression, BC/EBC breast cancer/early breast cancer, BM bone mass, BMD bone mineral density, BALP bone-specific alkaline phosphatase, BTM </w:t>
      </w:r>
      <w:r w:rsidRPr="00763798">
        <w:rPr>
          <w:sz w:val="18"/>
          <w:szCs w:val="18"/>
          <w:lang w:val="en-US"/>
        </w:rPr>
        <w:t>bone turnover markers, Cr creatinine, ER estrogen receptor, FN femoral neck, GC glucocorticoid</w:t>
      </w:r>
      <w:r>
        <w:rPr>
          <w:sz w:val="18"/>
          <w:szCs w:val="18"/>
          <w:lang w:val="en-US"/>
        </w:rPr>
        <w:t>s</w:t>
      </w:r>
      <w:r w:rsidRPr="00763798">
        <w:rPr>
          <w:sz w:val="18"/>
          <w:szCs w:val="18"/>
          <w:lang w:val="en-US"/>
        </w:rPr>
        <w:t>, GI gastrointestinal, GnRH gonadotropin-releasing hormone, HR hormone receptor,  IV intravenous, LHRH luteinizing hormone-releasing hormone, LS lumbar spine, ONJ osteonecrosis of the jaw, PC prostate cancer, PINP procollagen type I N-terminal propeptide, PR progesterone receptor, PTH parathyroid hormone, PTHrP parathyroid hormone-</w:t>
      </w:r>
      <w:r w:rsidRPr="00763798">
        <w:rPr>
          <w:sz w:val="18"/>
          <w:szCs w:val="18"/>
        </w:rPr>
        <w:t>related protein, RANKL/RANK receptor activator of the NF-κB (L: ligand), SC subcutaneous, SERMs selective estrogen receptor modulators, R/M recurrent/metastatic, RT radiotherapy, TGFβ transforming growth factor beta, TH total hip, TRAP5b tartrate-resistant acid phosphatase 5b, T</w:t>
      </w:r>
      <w:r>
        <w:rPr>
          <w:sz w:val="18"/>
          <w:szCs w:val="18"/>
        </w:rPr>
        <w:t>x</w:t>
      </w:r>
      <w:r w:rsidRPr="00763798">
        <w:rPr>
          <w:sz w:val="18"/>
          <w:szCs w:val="18"/>
        </w:rPr>
        <w:t xml:space="preserve"> tamoxifen, w/wo with/without, y year(s), ZOL zoledronic acid /zoledronate.</w:t>
      </w:r>
    </w:p>
    <w:p w14:paraId="2261D4D3" w14:textId="01F8AE75" w:rsidR="00245F2E" w:rsidRPr="00A1036E" w:rsidRDefault="00A1036E" w:rsidP="007A365C">
      <w:pPr>
        <w:rPr>
          <w:b/>
          <w:bCs/>
          <w:sz w:val="28"/>
          <w:szCs w:val="28"/>
        </w:rPr>
      </w:pPr>
      <w:r w:rsidRPr="00A1036E">
        <w:rPr>
          <w:b/>
          <w:bCs/>
          <w:sz w:val="28"/>
          <w:szCs w:val="28"/>
        </w:rPr>
        <w:t>References</w:t>
      </w:r>
    </w:p>
    <w:p w14:paraId="73F592C9" w14:textId="77777777" w:rsidR="00245F2E" w:rsidRDefault="00245F2E" w:rsidP="007A365C"/>
    <w:p w14:paraId="4E8C79AA"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fldChar w:fldCharType="begin"/>
      </w:r>
      <w:r w:rsidRPr="00A1036E">
        <w:rPr>
          <w:sz w:val="24"/>
          <w:szCs w:val="24"/>
        </w:rPr>
        <w:instrText xml:space="preserve"> ADDIN EN.REFLIST </w:instrText>
      </w:r>
      <w:r w:rsidRPr="00A1036E">
        <w:rPr>
          <w:sz w:val="24"/>
          <w:szCs w:val="24"/>
        </w:rPr>
        <w:fldChar w:fldCharType="separate"/>
      </w:r>
      <w:r w:rsidRPr="00A1036E">
        <w:rPr>
          <w:sz w:val="24"/>
          <w:szCs w:val="24"/>
        </w:rPr>
        <w:t>1.</w:t>
      </w:r>
      <w:r w:rsidRPr="00A1036E">
        <w:rPr>
          <w:sz w:val="24"/>
          <w:szCs w:val="24"/>
        </w:rPr>
        <w:tab/>
        <w:t xml:space="preserve">Smith, M.R., McGovern, F.J., Zietman, A.L., Fallon, M.A., Hayden, D.L., Schoenfeld, D.A., Kantoff, P.W., and Finkelstein, J.S., Pamidronate to prevent bone loss during androgen-deprivation therapy for prostate cancer. N Engl J Med, 2001. </w:t>
      </w:r>
      <w:r w:rsidRPr="00A1036E">
        <w:rPr>
          <w:b/>
          <w:sz w:val="24"/>
          <w:szCs w:val="24"/>
        </w:rPr>
        <w:t>345</w:t>
      </w:r>
      <w:r w:rsidRPr="00A1036E">
        <w:rPr>
          <w:sz w:val="24"/>
          <w:szCs w:val="24"/>
        </w:rPr>
        <w:t>(13): p. 948-55.</w:t>
      </w:r>
    </w:p>
    <w:p w14:paraId="2BB771B9"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2.</w:t>
      </w:r>
      <w:r w:rsidRPr="00A1036E">
        <w:rPr>
          <w:sz w:val="24"/>
          <w:szCs w:val="24"/>
        </w:rPr>
        <w:tab/>
        <w:t xml:space="preserve">Smith, M.R., Eastham, J., Gleason, D.M., Shasha, D., Tchekmedyian, S., and Zinner, N., Randomized controlled trial of zoledronic acid to prevent bone loss in men receiving androgen deprivation therapy for nonmetastatic prostate cancer. J Urol, 2003. </w:t>
      </w:r>
      <w:r w:rsidRPr="00A1036E">
        <w:rPr>
          <w:b/>
          <w:sz w:val="24"/>
          <w:szCs w:val="24"/>
        </w:rPr>
        <w:t>169</w:t>
      </w:r>
      <w:r w:rsidRPr="00A1036E">
        <w:rPr>
          <w:sz w:val="24"/>
          <w:szCs w:val="24"/>
        </w:rPr>
        <w:t>(6): p. 2008-12.</w:t>
      </w:r>
    </w:p>
    <w:p w14:paraId="5DACA3D4"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3.</w:t>
      </w:r>
      <w:r w:rsidRPr="00A1036E">
        <w:rPr>
          <w:sz w:val="24"/>
          <w:szCs w:val="24"/>
        </w:rPr>
        <w:tab/>
        <w:t xml:space="preserve">Ryan, C.W., Huo, D., Demers, L.M., Beer, T.M., and Lacerna, L.V., Zoledronic acid initiated during the first year of androgen deprivation therapy increases bone mineral density in patients with prostate cancer. J Urol, 2006. </w:t>
      </w:r>
      <w:r w:rsidRPr="00A1036E">
        <w:rPr>
          <w:b/>
          <w:sz w:val="24"/>
          <w:szCs w:val="24"/>
        </w:rPr>
        <w:t>176</w:t>
      </w:r>
      <w:r w:rsidRPr="00A1036E">
        <w:rPr>
          <w:sz w:val="24"/>
          <w:szCs w:val="24"/>
        </w:rPr>
        <w:t>(3): p. 972-8; discussion 978.</w:t>
      </w:r>
    </w:p>
    <w:p w14:paraId="67F7FF85"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4.</w:t>
      </w:r>
      <w:r w:rsidRPr="00A1036E">
        <w:rPr>
          <w:sz w:val="24"/>
          <w:szCs w:val="24"/>
        </w:rPr>
        <w:tab/>
        <w:t xml:space="preserve">Israeli, R.S., Rosenberg, S.J., Saltzstein, D.R., Gottesman, J.E., Goldstein, H.R., Hull, G.W., Tran, D.N., Warsi, G.M., and Lacerna, L.V., The effect of zoledronic acid on bone mineral density in patients undergoing androgen deprivation therapy. Clin Genitourin Cancer, 2007. </w:t>
      </w:r>
      <w:r w:rsidRPr="00A1036E">
        <w:rPr>
          <w:b/>
          <w:sz w:val="24"/>
          <w:szCs w:val="24"/>
        </w:rPr>
        <w:t>5</w:t>
      </w:r>
      <w:r w:rsidRPr="00A1036E">
        <w:rPr>
          <w:sz w:val="24"/>
          <w:szCs w:val="24"/>
        </w:rPr>
        <w:t>(4): p. 271-7.</w:t>
      </w:r>
    </w:p>
    <w:p w14:paraId="4287CFAD"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5.</w:t>
      </w:r>
      <w:r w:rsidRPr="00A1036E">
        <w:rPr>
          <w:sz w:val="24"/>
          <w:szCs w:val="24"/>
        </w:rPr>
        <w:tab/>
        <w:t xml:space="preserve">Greenspan, S.L., Nelson, J.B., Trump, D.L., Wagner, J.M., Miller, M.E., Perera, S., and Resnick, N.M., Skeletal health after continuation, withdrawal, or delay of alendronate in men with prostate cancer undergoing androgen-deprivation therapy. J Clin Oncol, 2008. </w:t>
      </w:r>
      <w:r w:rsidRPr="00A1036E">
        <w:rPr>
          <w:b/>
          <w:sz w:val="24"/>
          <w:szCs w:val="24"/>
        </w:rPr>
        <w:t>26</w:t>
      </w:r>
      <w:r w:rsidRPr="00A1036E">
        <w:rPr>
          <w:sz w:val="24"/>
          <w:szCs w:val="24"/>
        </w:rPr>
        <w:t>(27): p. 4426-34.</w:t>
      </w:r>
    </w:p>
    <w:p w14:paraId="6A9A9CF8"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6.</w:t>
      </w:r>
      <w:r w:rsidRPr="00A1036E">
        <w:rPr>
          <w:sz w:val="24"/>
          <w:szCs w:val="24"/>
        </w:rPr>
        <w:tab/>
        <w:t xml:space="preserve">Smith, M.R., Egerdie, B., Hernandez Toriz, N., Feldman, R., Tammela, T.L., Saad, F., Heracek, J., Szwedowski, M., Ke, C., Kupic, A., Leder, B.Z., Goessl, C., and Denosumab, H.P.C.S.G., Denosumab in men receiving androgen-deprivation therapy for prostate cancer. N Engl J Med, 2009. </w:t>
      </w:r>
      <w:r w:rsidRPr="00A1036E">
        <w:rPr>
          <w:b/>
          <w:sz w:val="24"/>
          <w:szCs w:val="24"/>
        </w:rPr>
        <w:t>361</w:t>
      </w:r>
      <w:r w:rsidRPr="00A1036E">
        <w:rPr>
          <w:sz w:val="24"/>
          <w:szCs w:val="24"/>
        </w:rPr>
        <w:t>(8): p. 745-55.</w:t>
      </w:r>
    </w:p>
    <w:p w14:paraId="04AFFFC1"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7.</w:t>
      </w:r>
      <w:r w:rsidRPr="00A1036E">
        <w:rPr>
          <w:sz w:val="24"/>
          <w:szCs w:val="24"/>
        </w:rPr>
        <w:tab/>
        <w:t xml:space="preserve">Choo, R., Lukka, H., Cheung, P., Corbett, T., Briones-Urbina, R., Vieth, R., Ehrlich, L., Kiss, A., and Danjoux, C., Randomized, double-blinded, placebo-controlled, trial of risedronate for the prevention of bone mineral density loss in nonmetastatic prostate cancer patients receiving radiation therapy plus androgen deprivation therapy. Int J Radiat Oncol Biol Phys, 2013. </w:t>
      </w:r>
      <w:r w:rsidRPr="00A1036E">
        <w:rPr>
          <w:b/>
          <w:sz w:val="24"/>
          <w:szCs w:val="24"/>
        </w:rPr>
        <w:t>85</w:t>
      </w:r>
      <w:r w:rsidRPr="00A1036E">
        <w:rPr>
          <w:sz w:val="24"/>
          <w:szCs w:val="24"/>
        </w:rPr>
        <w:t>(5): p. 1239-45.</w:t>
      </w:r>
    </w:p>
    <w:p w14:paraId="2342F94C"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8.</w:t>
      </w:r>
      <w:r w:rsidRPr="00A1036E">
        <w:rPr>
          <w:sz w:val="24"/>
          <w:szCs w:val="24"/>
        </w:rPr>
        <w:tab/>
        <w:t xml:space="preserve">Kachnic, L.A., Pugh, S.L., Tai, P., Smith, M., Gore, E., Shah, A.B., Martin, A.G., Kim, H.E., Nabid, A., and Lawton, C.A., RTOG 0518: randomized phase III trial to evaluate zoledronic acid for prevention of osteoporosis and associated fractures in prostate cancer patients. Prostate Cancer Prostatic Dis, 2013. </w:t>
      </w:r>
      <w:r w:rsidRPr="00A1036E">
        <w:rPr>
          <w:b/>
          <w:sz w:val="24"/>
          <w:szCs w:val="24"/>
        </w:rPr>
        <w:t>16</w:t>
      </w:r>
      <w:r w:rsidRPr="00A1036E">
        <w:rPr>
          <w:sz w:val="24"/>
          <w:szCs w:val="24"/>
        </w:rPr>
        <w:t>(4): p. 382-6.</w:t>
      </w:r>
    </w:p>
    <w:p w14:paraId="0E582708"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9.</w:t>
      </w:r>
      <w:r w:rsidRPr="00A1036E">
        <w:rPr>
          <w:sz w:val="24"/>
          <w:szCs w:val="24"/>
        </w:rPr>
        <w:tab/>
        <w:t xml:space="preserve">Klotz, L.H., McNeill, I.Y., Kebabdjian, M., Zhang, L., Chin, J.L., and Canadian Urology Research, C., A phase 3, double-blind, randomised, parallel-group, placebo-controlled study of oral weekly alendronate for the prevention of androgen deprivation bone loss in nonmetastatic prostate cancer: the Cancer and Osteoporosis Research with Alendronate and Leuprolide (CORAL) study. Eur Urol, 2013. </w:t>
      </w:r>
      <w:r w:rsidRPr="00A1036E">
        <w:rPr>
          <w:b/>
          <w:sz w:val="24"/>
          <w:szCs w:val="24"/>
        </w:rPr>
        <w:t>63</w:t>
      </w:r>
      <w:r w:rsidRPr="00A1036E">
        <w:rPr>
          <w:sz w:val="24"/>
          <w:szCs w:val="24"/>
        </w:rPr>
        <w:t>(5): p. 927-35.</w:t>
      </w:r>
    </w:p>
    <w:p w14:paraId="7602EDFF"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10.</w:t>
      </w:r>
      <w:r w:rsidRPr="00A1036E">
        <w:rPr>
          <w:sz w:val="24"/>
          <w:szCs w:val="24"/>
        </w:rPr>
        <w:tab/>
        <w:t xml:space="preserve">Denham, J.W., Nowitz, M., Joseph, D., Duchesne, G., Spry, N.A., Lamb, D.S., Matthews, J., Turner, S., Atkinson, C., Tai, K.H., Gogna, N.K., Kenny, L., Diamond, T., Smart, R., Rowan, D., Moscato, P., Vimieiro, R., Woodfield, R., Lynch, K., Delahunt, B., Murray, J., D'Este, C., McElduff, P., Steigler, A., Kautto, A., and Ball, J., Impact of androgen suppression and zoledronic acid on bone mineral density and fractures in the Trans-Tasman Radiation Oncology Group (TROG) 03.04 Randomised Androgen Deprivation and Radiotherapy (RADAR) randomized controlled trial for locally advanced prostate cancer. BJU Int, 2014. </w:t>
      </w:r>
      <w:r w:rsidRPr="00A1036E">
        <w:rPr>
          <w:b/>
          <w:sz w:val="24"/>
          <w:szCs w:val="24"/>
        </w:rPr>
        <w:t>114</w:t>
      </w:r>
      <w:r w:rsidRPr="00A1036E">
        <w:rPr>
          <w:sz w:val="24"/>
          <w:szCs w:val="24"/>
        </w:rPr>
        <w:t>(3): p. 344-53.</w:t>
      </w:r>
    </w:p>
    <w:p w14:paraId="3D4D7769"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11.</w:t>
      </w:r>
      <w:r w:rsidRPr="00A1036E">
        <w:rPr>
          <w:sz w:val="24"/>
          <w:szCs w:val="24"/>
        </w:rPr>
        <w:tab/>
        <w:t xml:space="preserve">Brufsky, A., Harker, W.G., Beck, J.T., Carroll, R., Tan-Chiu, E., Seidler, C., Hohneker, J., Lacerna, L., Petrone, S., and Perez, E.A., Zoledronic acid inhibits adjuvant letrozole-induced bone loss in postmenopausal women with early breast cancer. J Clin Oncol, 2007. </w:t>
      </w:r>
      <w:r w:rsidRPr="00A1036E">
        <w:rPr>
          <w:b/>
          <w:sz w:val="24"/>
          <w:szCs w:val="24"/>
        </w:rPr>
        <w:t>25</w:t>
      </w:r>
      <w:r w:rsidRPr="00A1036E">
        <w:rPr>
          <w:sz w:val="24"/>
          <w:szCs w:val="24"/>
        </w:rPr>
        <w:t>(7): p. 829-36.</w:t>
      </w:r>
    </w:p>
    <w:p w14:paraId="59B7528C"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12.</w:t>
      </w:r>
      <w:r w:rsidRPr="00A1036E">
        <w:rPr>
          <w:sz w:val="24"/>
          <w:szCs w:val="24"/>
        </w:rPr>
        <w:tab/>
        <w:t xml:space="preserve">Bundred, N.J., Campbell, I.D., Davidson, N., DeBoer, R.H., Eidtmann, H., Monnier, A., Neven, P., von Minckwitz, G., Miller, J.C., Schenk, N.L., and Coleman, R.E., Effective inhibition of aromatase inhibitor-associated bone loss by zoledronic acid in postmenopausal women with early breast cancer receiving adjuvant letrozole: ZO-FAST Study results. Cancer, 2008. </w:t>
      </w:r>
      <w:r w:rsidRPr="00A1036E">
        <w:rPr>
          <w:b/>
          <w:sz w:val="24"/>
          <w:szCs w:val="24"/>
        </w:rPr>
        <w:t>112</w:t>
      </w:r>
      <w:r w:rsidRPr="00A1036E">
        <w:rPr>
          <w:sz w:val="24"/>
          <w:szCs w:val="24"/>
        </w:rPr>
        <w:t>(5): p. 1001-10.</w:t>
      </w:r>
    </w:p>
    <w:p w14:paraId="0549B267"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13.</w:t>
      </w:r>
      <w:r w:rsidRPr="00A1036E">
        <w:rPr>
          <w:sz w:val="24"/>
          <w:szCs w:val="24"/>
        </w:rPr>
        <w:tab/>
        <w:t xml:space="preserve">Ellis, G.K., Bone, H.G., Chlebowski, R., Paul, D., Spadafora, S., Smith, J., Fan, M., and Jun, S., Randomized trial of denosumab in patients receiving adjuvant aromatase inhibitors for nonmetastatic breast cancer. J Clin Oncol, 2008. </w:t>
      </w:r>
      <w:r w:rsidRPr="00A1036E">
        <w:rPr>
          <w:b/>
          <w:sz w:val="24"/>
          <w:szCs w:val="24"/>
        </w:rPr>
        <w:t>26</w:t>
      </w:r>
      <w:r w:rsidRPr="00A1036E">
        <w:rPr>
          <w:sz w:val="24"/>
          <w:szCs w:val="24"/>
        </w:rPr>
        <w:t>(30): p. 4875-82.</w:t>
      </w:r>
    </w:p>
    <w:p w14:paraId="188C6685"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14.</w:t>
      </w:r>
      <w:r w:rsidRPr="00A1036E">
        <w:rPr>
          <w:sz w:val="24"/>
          <w:szCs w:val="24"/>
        </w:rPr>
        <w:tab/>
        <w:t xml:space="preserve">Hines, S.L., Mincey, B., Dentchev, T., Sloan, J.A., Perez, E.A., Johnson, D.B., Schaefer, P.L., Alberts, S., Liu, H., Kahanic, S., Mazurczak, M.A., Nikcevich, D.A., and Loprinzi, C.L., Immediate versus delayed zoledronic acid for prevention of bone loss in postmenopausal women with breast cancer starting letrozole after tamoxifen-N03CC. Breast Cancer Res Treat, 2009. </w:t>
      </w:r>
      <w:r w:rsidRPr="00A1036E">
        <w:rPr>
          <w:b/>
          <w:sz w:val="24"/>
          <w:szCs w:val="24"/>
        </w:rPr>
        <w:t>117</w:t>
      </w:r>
      <w:r w:rsidRPr="00A1036E">
        <w:rPr>
          <w:sz w:val="24"/>
          <w:szCs w:val="24"/>
        </w:rPr>
        <w:t>(3): p. 603-9.</w:t>
      </w:r>
    </w:p>
    <w:p w14:paraId="6DB86778"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15.</w:t>
      </w:r>
      <w:r w:rsidRPr="00A1036E">
        <w:rPr>
          <w:sz w:val="24"/>
          <w:szCs w:val="24"/>
        </w:rPr>
        <w:tab/>
        <w:t xml:space="preserve">Eidtmann, H., de Boer, R., Bundred, N., Llombart-Cussac, A., Davidson, N., Neven, P., von Minckwitz, G., Miller, J., Schenk, N., and Coleman, R., Efficacy of zoledronic acid in postmenopausal women with early breast cancer receiving adjuvant letrozole: 36-month results of the ZO-FAST Study. Ann Oncol, 2010. </w:t>
      </w:r>
      <w:r w:rsidRPr="00A1036E">
        <w:rPr>
          <w:b/>
          <w:sz w:val="24"/>
          <w:szCs w:val="24"/>
        </w:rPr>
        <w:t>21</w:t>
      </w:r>
      <w:r w:rsidRPr="00A1036E">
        <w:rPr>
          <w:sz w:val="24"/>
          <w:szCs w:val="24"/>
        </w:rPr>
        <w:t>(11): p. 2188-2194.</w:t>
      </w:r>
    </w:p>
    <w:p w14:paraId="05F137EC"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16.</w:t>
      </w:r>
      <w:r w:rsidRPr="00A1036E">
        <w:rPr>
          <w:sz w:val="24"/>
          <w:szCs w:val="24"/>
        </w:rPr>
        <w:tab/>
        <w:t xml:space="preserve">Van Poznak, C., Hannon, R.A., Mackey, J.R., Campone, M., Apffelstaedt, J.P., Clack, G., Barlow, D., Makris, A., and Eastell, R., Prevention of aromatase inhibitor-induced bone loss using risedronate: the SABRE trial. J Clin Oncol, 2010. </w:t>
      </w:r>
      <w:r w:rsidRPr="00A1036E">
        <w:rPr>
          <w:b/>
          <w:sz w:val="24"/>
          <w:szCs w:val="24"/>
        </w:rPr>
        <w:t>28</w:t>
      </w:r>
      <w:r w:rsidRPr="00A1036E">
        <w:rPr>
          <w:sz w:val="24"/>
          <w:szCs w:val="24"/>
        </w:rPr>
        <w:t>(6): p. 967-75.</w:t>
      </w:r>
    </w:p>
    <w:p w14:paraId="5880813E"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17.</w:t>
      </w:r>
      <w:r w:rsidRPr="00A1036E">
        <w:rPr>
          <w:sz w:val="24"/>
          <w:szCs w:val="24"/>
        </w:rPr>
        <w:tab/>
        <w:t xml:space="preserve">Brufsky, A.M., Harker, W.G., Beck, J.T., Bosserman, L., Vogel, C., Seidler, C., Jin, L., Warsi, G., Argonza-Aviles, E., Hohneker, J., Ericson, S.G., and Perez, E.A., Final 5-year results of Z-FAST trial: adjuvant zoledronic acid maintains bone mass in postmenopausal breast cancer patients receiving letrozole. Cancer, 2012. </w:t>
      </w:r>
      <w:r w:rsidRPr="00A1036E">
        <w:rPr>
          <w:b/>
          <w:sz w:val="24"/>
          <w:szCs w:val="24"/>
        </w:rPr>
        <w:t>118</w:t>
      </w:r>
      <w:r w:rsidRPr="00A1036E">
        <w:rPr>
          <w:sz w:val="24"/>
          <w:szCs w:val="24"/>
        </w:rPr>
        <w:t>(5): p. 1192-201.</w:t>
      </w:r>
    </w:p>
    <w:p w14:paraId="7E62AAB4"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18.</w:t>
      </w:r>
      <w:r w:rsidRPr="00A1036E">
        <w:rPr>
          <w:sz w:val="24"/>
          <w:szCs w:val="24"/>
        </w:rPr>
        <w:tab/>
        <w:t xml:space="preserve">Rhee, Y., Song, K., Park, S., Park, H.S., Lim, S.K., and Park, B.W., Efficacy of a combined alendronate and calcitriol agent (Maxmarvil(R)) in Korean postmenopausal women with early breast cancer receiving aromatase inhibitor: a double-blind, randomized, placebo-controlled study. Endocr J, 2013. </w:t>
      </w:r>
      <w:r w:rsidRPr="00A1036E">
        <w:rPr>
          <w:b/>
          <w:sz w:val="24"/>
          <w:szCs w:val="24"/>
        </w:rPr>
        <w:t>60</w:t>
      </w:r>
      <w:r w:rsidRPr="00A1036E">
        <w:rPr>
          <w:sz w:val="24"/>
          <w:szCs w:val="24"/>
        </w:rPr>
        <w:t>(2): p. 167-72.</w:t>
      </w:r>
    </w:p>
    <w:p w14:paraId="107DA13B"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19.</w:t>
      </w:r>
      <w:r w:rsidRPr="00A1036E">
        <w:rPr>
          <w:sz w:val="24"/>
          <w:szCs w:val="24"/>
        </w:rPr>
        <w:tab/>
        <w:t xml:space="preserve">Sestak, I., Singh, S., Cuzick, J., Blake, G.M., Patel, R., Gossiel, F., Coleman, R., Dowsett, M., Forbes, J.F., Howell, A., and Eastell, R., Changes in bone mineral density at 3 years in postmenopausal women receiving anastrozole and risedronate in the IBIS-II bone substudy: an international, double-blind, randomised, placebo-controlled trial. Lancet Oncol, 2014. </w:t>
      </w:r>
      <w:r w:rsidRPr="00A1036E">
        <w:rPr>
          <w:b/>
          <w:sz w:val="24"/>
          <w:szCs w:val="24"/>
        </w:rPr>
        <w:t>15</w:t>
      </w:r>
      <w:r w:rsidRPr="00A1036E">
        <w:rPr>
          <w:sz w:val="24"/>
          <w:szCs w:val="24"/>
        </w:rPr>
        <w:t>(13): p. 1460-1468.</w:t>
      </w:r>
    </w:p>
    <w:p w14:paraId="13F6F9C8"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20.</w:t>
      </w:r>
      <w:r w:rsidRPr="00A1036E">
        <w:rPr>
          <w:sz w:val="24"/>
          <w:szCs w:val="24"/>
        </w:rPr>
        <w:tab/>
        <w:t xml:space="preserve">Greenspan, S.L., Vujevich, K.T., Brufsky, A., Lembersky, B.C., van Londen, G.J., Jankowitz, R.C., Puhalla, S.L., Rastogi, P., and Perera, S., Prevention of bone loss with risedronate in breast cancer survivors: a randomized, controlled clinical trial. Osteoporos Int, 2015. </w:t>
      </w:r>
      <w:r w:rsidRPr="00A1036E">
        <w:rPr>
          <w:b/>
          <w:sz w:val="24"/>
          <w:szCs w:val="24"/>
        </w:rPr>
        <w:t>26</w:t>
      </w:r>
      <w:r w:rsidRPr="00A1036E">
        <w:rPr>
          <w:sz w:val="24"/>
          <w:szCs w:val="24"/>
        </w:rPr>
        <w:t>(6): p. 1857-64.</w:t>
      </w:r>
    </w:p>
    <w:p w14:paraId="2D2DABAA" w14:textId="77777777" w:rsidR="00245F2E" w:rsidRPr="00A1036E" w:rsidRDefault="00245F2E" w:rsidP="00A1036E">
      <w:pPr>
        <w:pStyle w:val="EndNoteBibliography"/>
        <w:spacing w:after="0" w:line="480" w:lineRule="auto"/>
        <w:ind w:left="720" w:hanging="720"/>
        <w:rPr>
          <w:sz w:val="24"/>
          <w:szCs w:val="24"/>
        </w:rPr>
      </w:pPr>
      <w:r w:rsidRPr="00A1036E">
        <w:rPr>
          <w:sz w:val="24"/>
          <w:szCs w:val="24"/>
        </w:rPr>
        <w:t>21.</w:t>
      </w:r>
      <w:r w:rsidRPr="00A1036E">
        <w:rPr>
          <w:sz w:val="24"/>
          <w:szCs w:val="24"/>
        </w:rPr>
        <w:tab/>
        <w:t xml:space="preserve">Gnant, M., Pfeiler, G., Dubsky, P.C., Hubalek, M., Greil, R., Jakesz, R., Wette, V., Balic, M., Haslbauer, F., Melbinger, E., Bjelic-Radisic, V., Artner-Matuschek, S., Fitzal, F., Marth, C., Sevelda, P., Mlineritsch, B., Steger, G.G., Manfreda, D., Exner, R., Egle, D., Bergh, J., Kainberger, F., Talbot, S., Warner, D., Fesl, C., Singer, C.F., Austrian, B., and Colorectal Cancer Study, G., Adjuvant denosumab in breast cancer (ABCSG-18): a multicentre, randomised, double-blind, placebo-controlled trial. Lancet, 2015. </w:t>
      </w:r>
      <w:r w:rsidRPr="00A1036E">
        <w:rPr>
          <w:b/>
          <w:sz w:val="24"/>
          <w:szCs w:val="24"/>
        </w:rPr>
        <w:t>386</w:t>
      </w:r>
      <w:r w:rsidRPr="00A1036E">
        <w:rPr>
          <w:sz w:val="24"/>
          <w:szCs w:val="24"/>
        </w:rPr>
        <w:t>(9992): p. 433-43.</w:t>
      </w:r>
    </w:p>
    <w:p w14:paraId="55F5110C" w14:textId="77777777" w:rsidR="00245F2E" w:rsidRPr="00A1036E" w:rsidRDefault="00245F2E" w:rsidP="00A1036E">
      <w:pPr>
        <w:pStyle w:val="EndNoteBibliography"/>
        <w:spacing w:line="480" w:lineRule="auto"/>
        <w:ind w:left="720" w:hanging="720"/>
        <w:rPr>
          <w:sz w:val="24"/>
          <w:szCs w:val="24"/>
        </w:rPr>
      </w:pPr>
      <w:r w:rsidRPr="00A1036E">
        <w:rPr>
          <w:sz w:val="24"/>
          <w:szCs w:val="24"/>
        </w:rPr>
        <w:t>22.</w:t>
      </w:r>
      <w:r w:rsidRPr="00A1036E">
        <w:rPr>
          <w:sz w:val="24"/>
          <w:szCs w:val="24"/>
        </w:rPr>
        <w:tab/>
        <w:t xml:space="preserve">Lester, J.E., Dodwell, D., Purohit, O.P., Gutcher, S.A., Ellis, S.P., Thorpe, R., Horsman, J.M., Brown, J.E., Hannon, R.A., and Coleman, R.E., Prevention of anastrozole-induced bone loss with monthly oral ibandronate during adjuvant aromatase inhibitor therapy for breast cancer. Clin Cancer Res, 2008. </w:t>
      </w:r>
      <w:r w:rsidRPr="00A1036E">
        <w:rPr>
          <w:b/>
          <w:sz w:val="24"/>
          <w:szCs w:val="24"/>
        </w:rPr>
        <w:t>14</w:t>
      </w:r>
      <w:r w:rsidRPr="00A1036E">
        <w:rPr>
          <w:sz w:val="24"/>
          <w:szCs w:val="24"/>
        </w:rPr>
        <w:t>(19): p. 6336-42.</w:t>
      </w:r>
    </w:p>
    <w:p w14:paraId="1AEEF488" w14:textId="68DBDE89" w:rsidR="009F2B53" w:rsidRPr="007A365C" w:rsidRDefault="00245F2E" w:rsidP="00A1036E">
      <w:pPr>
        <w:spacing w:line="480" w:lineRule="auto"/>
      </w:pPr>
      <w:r w:rsidRPr="00A1036E">
        <w:rPr>
          <w:sz w:val="24"/>
          <w:szCs w:val="24"/>
        </w:rPr>
        <w:fldChar w:fldCharType="end"/>
      </w:r>
    </w:p>
    <w:sectPr w:rsidR="009F2B53" w:rsidRPr="007A365C" w:rsidSect="007A365C">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45CF5" w14:textId="77777777" w:rsidR="002E6D5D" w:rsidRDefault="002E6D5D" w:rsidP="002E6D5D">
      <w:pPr>
        <w:spacing w:after="0" w:line="240" w:lineRule="auto"/>
      </w:pPr>
      <w:r>
        <w:separator/>
      </w:r>
    </w:p>
  </w:endnote>
  <w:endnote w:type="continuationSeparator" w:id="0">
    <w:p w14:paraId="470B7CCA" w14:textId="77777777" w:rsidR="002E6D5D" w:rsidRDefault="002E6D5D" w:rsidP="002E6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0211034"/>
      <w:docPartObj>
        <w:docPartGallery w:val="Page Numbers (Bottom of Page)"/>
        <w:docPartUnique/>
      </w:docPartObj>
    </w:sdtPr>
    <w:sdtEndPr/>
    <w:sdtContent>
      <w:p w14:paraId="16C836E0" w14:textId="5885FB73" w:rsidR="002E6D5D" w:rsidRDefault="002E6D5D">
        <w:pPr>
          <w:pStyle w:val="Piedepgina"/>
          <w:jc w:val="right"/>
        </w:pPr>
        <w:r>
          <w:fldChar w:fldCharType="begin"/>
        </w:r>
        <w:r>
          <w:instrText>PAGE   \* MERGEFORMAT</w:instrText>
        </w:r>
        <w:r>
          <w:fldChar w:fldCharType="separate"/>
        </w:r>
        <w:r>
          <w:rPr>
            <w:lang w:val="es-ES"/>
          </w:rPr>
          <w:t>2</w:t>
        </w:r>
        <w:r>
          <w:fldChar w:fldCharType="end"/>
        </w:r>
      </w:p>
    </w:sdtContent>
  </w:sdt>
  <w:p w14:paraId="4BB2584A" w14:textId="77777777" w:rsidR="002E6D5D" w:rsidRDefault="002E6D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FB5A0" w14:textId="77777777" w:rsidR="002E6D5D" w:rsidRDefault="002E6D5D" w:rsidP="002E6D5D">
      <w:pPr>
        <w:spacing w:after="0" w:line="240" w:lineRule="auto"/>
      </w:pPr>
      <w:r>
        <w:separator/>
      </w:r>
    </w:p>
  </w:footnote>
  <w:footnote w:type="continuationSeparator" w:id="0">
    <w:p w14:paraId="507DCA7D" w14:textId="77777777" w:rsidR="002E6D5D" w:rsidRDefault="002E6D5D" w:rsidP="002E6D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920CC"/>
    <w:multiLevelType w:val="multilevel"/>
    <w:tmpl w:val="CB42249A"/>
    <w:styleLink w:val="SEPAR"/>
    <w:lvl w:ilvl="0">
      <w:start w:val="1"/>
      <w:numFmt w:val="decimal"/>
      <w:lvlText w:val="%1"/>
      <w:lvlJc w:val="left"/>
      <w:pPr>
        <w:ind w:left="357" w:hanging="357"/>
      </w:pPr>
      <w:rPr>
        <w:rFonts w:asciiTheme="minorHAnsi" w:hAnsiTheme="minorHAnsi" w:hint="default"/>
        <w:b/>
        <w:i w:val="0"/>
        <w:color w:val="auto"/>
        <w:sz w:val="28"/>
        <w:u w:val="none"/>
      </w:rPr>
    </w:lvl>
    <w:lvl w:ilvl="1">
      <w:start w:val="3"/>
      <w:numFmt w:val="decimal"/>
      <w:lvlText w:val="%1.%2"/>
      <w:lvlJc w:val="left"/>
      <w:pPr>
        <w:ind w:left="794" w:hanging="437"/>
      </w:pPr>
      <w:rPr>
        <w:rFonts w:asciiTheme="minorHAnsi" w:hAnsiTheme="minorHAnsi" w:hint="default"/>
        <w:b/>
        <w:i w:val="0"/>
        <w:color w:val="auto"/>
        <w:sz w:val="24"/>
        <w:u w:val="none"/>
      </w:rPr>
    </w:lvl>
    <w:lvl w:ilvl="2">
      <w:start w:val="1"/>
      <w:numFmt w:val="decimal"/>
      <w:lvlText w:val="%1.%2.%3"/>
      <w:lvlJc w:val="left"/>
      <w:pPr>
        <w:ind w:left="1225" w:hanging="505"/>
      </w:pPr>
      <w:rPr>
        <w:rFonts w:hint="default"/>
        <w:b/>
        <w:i/>
        <w:color w:val="auto"/>
        <w:sz w:val="24"/>
        <w:u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6EE526A5"/>
    <w:multiLevelType w:val="multilevel"/>
    <w:tmpl w:val="D64A6978"/>
    <w:styleLink w:val="Estilo1"/>
    <w:lvl w:ilvl="0">
      <w:start w:val="1"/>
      <w:numFmt w:val="decimal"/>
      <w:lvlText w:val="%1"/>
      <w:lvlJc w:val="left"/>
      <w:pPr>
        <w:ind w:left="357" w:hanging="357"/>
      </w:pPr>
      <w:rPr>
        <w:rFonts w:hint="default"/>
        <w:b/>
        <w:i w:val="0"/>
        <w:color w:val="auto"/>
        <w:sz w:val="28"/>
        <w:u w:val="none"/>
      </w:rPr>
    </w:lvl>
    <w:lvl w:ilvl="1">
      <w:start w:val="1"/>
      <w:numFmt w:val="decimal"/>
      <w:lvlText w:val="%1.%2"/>
      <w:lvlJc w:val="left"/>
      <w:pPr>
        <w:ind w:left="794" w:hanging="437"/>
      </w:pPr>
      <w:rPr>
        <w:rFonts w:hint="default"/>
        <w:b/>
        <w:i w:val="0"/>
        <w:color w:val="auto"/>
        <w:sz w:val="24"/>
        <w:u w:val="none"/>
      </w:rPr>
    </w:lvl>
    <w:lvl w:ilvl="2">
      <w:start w:val="1"/>
      <w:numFmt w:val="decimal"/>
      <w:lvlText w:val="%1.%2.%3"/>
      <w:lvlJc w:val="left"/>
      <w:pPr>
        <w:ind w:left="1225" w:hanging="505"/>
      </w:pPr>
      <w:rPr>
        <w:b/>
        <w:i/>
        <w:color w:val="auto"/>
        <w:sz w:val="24"/>
        <w:u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umbered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00tws5wxaswce5eva5pfa1txrxevw25eap&quot;&gt;20029-Osteoporosis-Susana-20220113&lt;record-ids&gt;&lt;item&gt;62&lt;/item&gt;&lt;item&gt;63&lt;/item&gt;&lt;item&gt;64&lt;/item&gt;&lt;item&gt;66&lt;/item&gt;&lt;item&gt;67&lt;/item&gt;&lt;item&gt;77&lt;/item&gt;&lt;item&gt;78&lt;/item&gt;&lt;item&gt;79&lt;/item&gt;&lt;item&gt;105&lt;/item&gt;&lt;item&gt;106&lt;/item&gt;&lt;item&gt;107&lt;/item&gt;&lt;item&gt;108&lt;/item&gt;&lt;item&gt;109&lt;/item&gt;&lt;item&gt;110&lt;/item&gt;&lt;item&gt;111&lt;/item&gt;&lt;item&gt;112&lt;/item&gt;&lt;item&gt;113&lt;/item&gt;&lt;item&gt;114&lt;/item&gt;&lt;item&gt;115&lt;/item&gt;&lt;item&gt;116&lt;/item&gt;&lt;item&gt;117&lt;/item&gt;&lt;item&gt;125&lt;/item&gt;&lt;/record-ids&gt;&lt;/item&gt;&lt;/Libraries&gt;"/>
  </w:docVars>
  <w:rsids>
    <w:rsidRoot w:val="007A365C"/>
    <w:rsid w:val="001929DA"/>
    <w:rsid w:val="00245F2E"/>
    <w:rsid w:val="002E6D5D"/>
    <w:rsid w:val="00441E43"/>
    <w:rsid w:val="00525660"/>
    <w:rsid w:val="0066229A"/>
    <w:rsid w:val="007172A9"/>
    <w:rsid w:val="007A365C"/>
    <w:rsid w:val="009A09BE"/>
    <w:rsid w:val="009F2B53"/>
    <w:rsid w:val="00A1036E"/>
    <w:rsid w:val="00B050EE"/>
    <w:rsid w:val="00DD7081"/>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FC2E9"/>
  <w15:chartTrackingRefBased/>
  <w15:docId w15:val="{0D0C5D52-A61F-4379-B13E-2F00B07C8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5C"/>
    <w:pPr>
      <w:spacing w:line="360" w:lineRule="auto"/>
    </w:pPr>
    <w:rPr>
      <w:rFonts w:ascii="Times New Roman" w:eastAsia="Calibri" w:hAnsi="Times New Roman" w:cs="Times New Roman"/>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EPAR">
    <w:name w:val="SEPAR"/>
    <w:uiPriority w:val="99"/>
    <w:rsid w:val="00441E43"/>
    <w:pPr>
      <w:numPr>
        <w:numId w:val="1"/>
      </w:numPr>
    </w:pPr>
  </w:style>
  <w:style w:type="numbering" w:customStyle="1" w:styleId="Estilo1">
    <w:name w:val="Estilo1"/>
    <w:uiPriority w:val="99"/>
    <w:rsid w:val="00441E43"/>
    <w:pPr>
      <w:numPr>
        <w:numId w:val="2"/>
      </w:numPr>
    </w:pPr>
  </w:style>
  <w:style w:type="paragraph" w:customStyle="1" w:styleId="EndNoteBibliographyTitle">
    <w:name w:val="EndNote Bibliography Title"/>
    <w:basedOn w:val="Normal"/>
    <w:link w:val="EndNoteBibliographyTitleCar"/>
    <w:rsid w:val="00245F2E"/>
    <w:pPr>
      <w:spacing w:after="0"/>
      <w:jc w:val="center"/>
    </w:pPr>
    <w:rPr>
      <w:noProof/>
      <w:lang w:val="en-US"/>
    </w:rPr>
  </w:style>
  <w:style w:type="character" w:customStyle="1" w:styleId="EndNoteBibliographyTitleCar">
    <w:name w:val="EndNote Bibliography Title Car"/>
    <w:basedOn w:val="Fuentedeprrafopredeter"/>
    <w:link w:val="EndNoteBibliographyTitle"/>
    <w:rsid w:val="00245F2E"/>
    <w:rPr>
      <w:rFonts w:ascii="Times New Roman" w:eastAsia="Calibri" w:hAnsi="Times New Roman" w:cs="Times New Roman"/>
      <w:noProof/>
      <w:sz w:val="20"/>
      <w:lang w:val="en-US"/>
    </w:rPr>
  </w:style>
  <w:style w:type="paragraph" w:customStyle="1" w:styleId="EndNoteBibliography">
    <w:name w:val="EndNote Bibliography"/>
    <w:basedOn w:val="Normal"/>
    <w:link w:val="EndNoteBibliographyCar"/>
    <w:rsid w:val="00245F2E"/>
    <w:pPr>
      <w:spacing w:line="240" w:lineRule="auto"/>
    </w:pPr>
    <w:rPr>
      <w:noProof/>
      <w:lang w:val="en-US"/>
    </w:rPr>
  </w:style>
  <w:style w:type="character" w:customStyle="1" w:styleId="EndNoteBibliographyCar">
    <w:name w:val="EndNote Bibliography Car"/>
    <w:basedOn w:val="Fuentedeprrafopredeter"/>
    <w:link w:val="EndNoteBibliography"/>
    <w:rsid w:val="00245F2E"/>
    <w:rPr>
      <w:rFonts w:ascii="Times New Roman" w:eastAsia="Calibri" w:hAnsi="Times New Roman" w:cs="Times New Roman"/>
      <w:noProof/>
      <w:sz w:val="20"/>
      <w:lang w:val="en-US"/>
    </w:rPr>
  </w:style>
  <w:style w:type="character" w:styleId="Hipervnculo">
    <w:name w:val="Hyperlink"/>
    <w:uiPriority w:val="99"/>
    <w:unhideWhenUsed/>
    <w:rsid w:val="00DD7081"/>
    <w:rPr>
      <w:color w:val="0563C1"/>
      <w:u w:val="single"/>
    </w:rPr>
  </w:style>
  <w:style w:type="paragraph" w:styleId="Encabezado">
    <w:name w:val="header"/>
    <w:basedOn w:val="Normal"/>
    <w:link w:val="EncabezadoCar"/>
    <w:uiPriority w:val="99"/>
    <w:unhideWhenUsed/>
    <w:rsid w:val="002E6D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E6D5D"/>
    <w:rPr>
      <w:rFonts w:ascii="Times New Roman" w:eastAsia="Calibri" w:hAnsi="Times New Roman" w:cs="Times New Roman"/>
      <w:sz w:val="20"/>
    </w:rPr>
  </w:style>
  <w:style w:type="paragraph" w:styleId="Piedepgina">
    <w:name w:val="footer"/>
    <w:basedOn w:val="Normal"/>
    <w:link w:val="PiedepginaCar"/>
    <w:uiPriority w:val="99"/>
    <w:unhideWhenUsed/>
    <w:rsid w:val="002E6D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E6D5D"/>
    <w:rPr>
      <w:rFonts w:ascii="Times New Roman" w:eastAsia="Calibri"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lescure@geicam.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15</Pages>
  <Words>4966</Words>
  <Characters>28311</Characters>
  <Application>Microsoft Office Word</Application>
  <DocSecurity>0</DocSecurity>
  <Lines>235</Lines>
  <Paragraphs>66</Paragraphs>
  <ScaleCrop>false</ScaleCrop>
  <Company/>
  <LinksUpToDate>false</LinksUpToDate>
  <CharactersWithSpaces>33211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MSC-SC</dc:creator>
  <cp:keywords/>
  <dc:description/>
  <cp:lastModifiedBy>MSC-SC</cp:lastModifiedBy>
  <cp:revision>9</cp:revision>
  <dcterms:created xsi:type="dcterms:W3CDTF">2022-01-31T14:58:00Z</dcterms:created>
  <dcterms:modified xsi:type="dcterms:W3CDTF">2022-02-01T08:40:00Z</dcterms:modified>
</cp:coreProperties>
</file>