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41608" w14:textId="77777777" w:rsidR="00AF6F4C" w:rsidRPr="00154CB3" w:rsidRDefault="00AF6F4C" w:rsidP="00AF6F4C">
      <w:pPr>
        <w:widowControl/>
        <w:suppressLineNumbers/>
        <w:spacing w:before="240" w:after="120"/>
        <w:jc w:val="center"/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154CB3">
        <w:rPr>
          <w:rFonts w:ascii="Times New Roman" w:eastAsia="SimSun" w:hAnsi="Times New Roman" w:cs="Times New Roman"/>
          <w:b/>
          <w:kern w:val="0"/>
          <w:sz w:val="24"/>
          <w:szCs w:val="24"/>
          <w:lang w:eastAsia="en-US"/>
          <w14:ligatures w14:val="none"/>
        </w:rPr>
        <w:t>Supplementary Material</w:t>
      </w:r>
    </w:p>
    <w:p w14:paraId="29A498D9" w14:textId="12D1B5E3" w:rsidR="00AF6F4C" w:rsidRPr="00154CB3" w:rsidRDefault="00AF6F4C">
      <w:pPr>
        <w:widowControl/>
        <w:spacing w:line="360" w:lineRule="auto"/>
        <w:rPr>
          <w:rFonts w:ascii="Times New Roman" w:eastAsia="DengXian" w:hAnsi="Times New Roman" w:cs="Times New Roman"/>
          <w:b/>
          <w:bCs/>
          <w:kern w:val="0"/>
          <w:sz w:val="20"/>
          <w:szCs w:val="20"/>
          <w:lang w:eastAsia="en-US"/>
          <w14:ligatures w14:val="none"/>
        </w:rPr>
      </w:pPr>
    </w:p>
    <w:p w14:paraId="5AC8A48B" w14:textId="124BA3DB" w:rsidR="007D020A" w:rsidRPr="00154CB3" w:rsidRDefault="007D020A" w:rsidP="00154CB3">
      <w:pPr>
        <w:widowControl/>
        <w:spacing w:beforeLines="50" w:before="120" w:line="36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154CB3"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  <w:t>Article title: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Adjuvant anlotinib plus TACE in hepatocellular carcinoma with postoperative high-risk recurrence: a single-arm, multi-center, phase II study</w:t>
      </w:r>
    </w:p>
    <w:p w14:paraId="3DD1ABDE" w14:textId="4FE057F8" w:rsidR="007D020A" w:rsidRPr="00154CB3" w:rsidRDefault="007D020A" w:rsidP="00154CB3">
      <w:pPr>
        <w:widowControl/>
        <w:spacing w:beforeLines="50" w:before="120" w:line="36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154CB3"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  <w:t>Journal name: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Clinical &amp; Translational Oncology</w:t>
      </w:r>
    </w:p>
    <w:p w14:paraId="72E1ECEF" w14:textId="77777777" w:rsidR="007D020A" w:rsidRPr="00154CB3" w:rsidRDefault="007D020A" w:rsidP="00154CB3">
      <w:pPr>
        <w:widowControl/>
        <w:spacing w:beforeLines="50" w:before="120" w:line="36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154CB3"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  <w:t>Author names: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Zheng Wang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vertAlign w:val="superscript"/>
        </w:rPr>
        <w:t>1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Lei Zhang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vertAlign w:val="superscript"/>
        </w:rPr>
        <w:t>2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Xin Zheng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vertAlign w:val="superscript"/>
        </w:rPr>
        <w:t>1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Dong Zhang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vertAlign w:val="superscript"/>
        </w:rPr>
        <w:t>1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Xue Yang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vertAlign w:val="superscript"/>
        </w:rPr>
        <w:t>1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Kedong Xu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vertAlign w:val="superscript"/>
        </w:rPr>
        <w:t>1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Jie Tao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vertAlign w:val="superscript"/>
        </w:rPr>
        <w:t>1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Xiaojing Song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vertAlign w:val="superscript"/>
        </w:rPr>
        <w:t>2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Jian Ma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vertAlign w:val="superscript"/>
        </w:rPr>
        <w:t>2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Zheng Wu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vertAlign w:val="superscript"/>
        </w:rPr>
        <w:t>1, *</w:t>
      </w:r>
    </w:p>
    <w:p w14:paraId="604B7A98" w14:textId="77777777" w:rsidR="007D020A" w:rsidRPr="00154CB3" w:rsidRDefault="007D020A" w:rsidP="00154CB3">
      <w:pPr>
        <w:widowControl/>
        <w:spacing w:beforeLines="50" w:before="120" w:line="36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vertAlign w:val="superscript"/>
        </w:rPr>
        <w:t>1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Department of Hepatobiliary Surgery, First Affiliated Hospital of Xi'an Jiaotong University, China</w:t>
      </w:r>
    </w:p>
    <w:p w14:paraId="4AAAF71B" w14:textId="77777777" w:rsidR="007D020A" w:rsidRPr="00154CB3" w:rsidRDefault="007D020A" w:rsidP="00154CB3">
      <w:pPr>
        <w:widowControl/>
        <w:spacing w:beforeLines="50" w:before="120" w:line="36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vertAlign w:val="superscript"/>
        </w:rPr>
        <w:t>2</w:t>
      </w: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Department of General Surgery, The First Hospital of Lanzhou University, China</w:t>
      </w:r>
    </w:p>
    <w:p w14:paraId="1BD69124" w14:textId="77777777" w:rsidR="007D020A" w:rsidRPr="00154CB3" w:rsidRDefault="007D020A" w:rsidP="00154CB3">
      <w:pPr>
        <w:widowControl/>
        <w:spacing w:beforeLines="50" w:before="120" w:line="360" w:lineRule="auto"/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</w:pPr>
      <w:r w:rsidRPr="00154CB3"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  <w:vertAlign w:val="superscript"/>
        </w:rPr>
        <w:t>*</w:t>
      </w:r>
      <w:r w:rsidRPr="00154CB3"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  <w:t xml:space="preserve">Corresponding author: </w:t>
      </w:r>
    </w:p>
    <w:p w14:paraId="3C7D9E3B" w14:textId="118ACCC0" w:rsidR="007D020A" w:rsidRPr="00154CB3" w:rsidRDefault="007D020A" w:rsidP="00154CB3">
      <w:pPr>
        <w:widowControl/>
        <w:spacing w:beforeLines="50" w:before="120" w:line="36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154CB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Zheng Wu, Department of Hepatobiliary Surgery, First Affiliated Hospital of Xi'an Jiaotong University, 277 West Yanta Road, Yanta District, Xi’an 710061, Shaanxi Province, China. Tel: 13609195898; E-mail: woogcp@126.com.</w:t>
      </w:r>
    </w:p>
    <w:p w14:paraId="0F1BAE18" w14:textId="14DD9DD8" w:rsidR="007D020A" w:rsidRPr="00154CB3" w:rsidRDefault="007D020A">
      <w:pPr>
        <w:widowControl/>
        <w:jc w:val="left"/>
        <w:rPr>
          <w:rFonts w:ascii="Times New Roman" w:eastAsia="DengXian" w:hAnsi="Times New Roman" w:cs="Times New Roman"/>
          <w:b/>
          <w:bCs/>
          <w:kern w:val="0"/>
          <w:sz w:val="20"/>
          <w:szCs w:val="20"/>
          <w:lang w:eastAsia="en-US"/>
          <w14:ligatures w14:val="none"/>
        </w:rPr>
      </w:pPr>
      <w:r w:rsidRPr="00154CB3">
        <w:rPr>
          <w:rFonts w:ascii="Times New Roman" w:eastAsia="DengXian" w:hAnsi="Times New Roman" w:cs="Times New Roman"/>
          <w:b/>
          <w:bCs/>
          <w:kern w:val="0"/>
          <w:sz w:val="20"/>
          <w:szCs w:val="20"/>
          <w:lang w:eastAsia="en-US"/>
          <w14:ligatures w14:val="none"/>
        </w:rPr>
        <w:br w:type="page"/>
      </w:r>
    </w:p>
    <w:p w14:paraId="107294E7" w14:textId="0BE34A43" w:rsidR="00DC5192" w:rsidRPr="00154CB3" w:rsidRDefault="00D20492">
      <w:pPr>
        <w:widowControl/>
        <w:spacing w:line="360" w:lineRule="auto"/>
        <w:rPr>
          <w:rFonts w:ascii="Times New Roman" w:eastAsia="DengXian" w:hAnsi="Times New Roman" w:cs="Times New Roman"/>
          <w:b/>
          <w:bCs/>
          <w:kern w:val="0"/>
          <w:sz w:val="20"/>
          <w:szCs w:val="20"/>
          <w:lang w:eastAsia="en-US"/>
          <w14:ligatures w14:val="none"/>
        </w:rPr>
      </w:pPr>
      <w:r w:rsidRPr="00154CB3">
        <w:rPr>
          <w:rFonts w:ascii="Times New Roman" w:eastAsia="DengXian" w:hAnsi="Times New Roman" w:cs="Times New Roman"/>
          <w:b/>
          <w:bCs/>
          <w:kern w:val="0"/>
          <w:sz w:val="20"/>
          <w:szCs w:val="20"/>
          <w:lang w:eastAsia="en-US"/>
          <w14:ligatures w14:val="none"/>
        </w:rPr>
        <w:t>Supplementary Tables</w:t>
      </w:r>
    </w:p>
    <w:p w14:paraId="16C714CC" w14:textId="77777777" w:rsidR="00DC5192" w:rsidRPr="00154CB3" w:rsidRDefault="00D20492">
      <w:pPr>
        <w:keepNext/>
        <w:keepLines/>
        <w:spacing w:line="360" w:lineRule="auto"/>
        <w:outlineLvl w:val="0"/>
        <w:rPr>
          <w:rFonts w:ascii="Times New Roman" w:eastAsia="DengXian" w:hAnsi="Times New Roman" w:cs="Times New Roman"/>
          <w:b/>
          <w:bCs/>
          <w:kern w:val="44"/>
          <w:sz w:val="20"/>
          <w:szCs w:val="20"/>
          <w14:ligatures w14:val="none"/>
        </w:rPr>
      </w:pPr>
      <w:r w:rsidRPr="00154CB3">
        <w:rPr>
          <w:rFonts w:ascii="Times New Roman" w:eastAsia="DengXian" w:hAnsi="Times New Roman" w:cs="Times New Roman"/>
          <w:b/>
          <w:bCs/>
          <w:kern w:val="44"/>
          <w:sz w:val="20"/>
          <w:szCs w:val="20"/>
          <w14:ligatures w14:val="none"/>
        </w:rPr>
        <w:t>Supplementary Table S1. Detailed eligibility criteria</w:t>
      </w: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58"/>
      </w:tblGrid>
      <w:tr w:rsidR="00DC5192" w:rsidRPr="00154CB3" w14:paraId="30179B0D" w14:textId="777777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759665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Inclusion criteria</w:t>
            </w:r>
          </w:p>
        </w:tc>
      </w:tr>
      <w:tr w:rsidR="00DC5192" w:rsidRPr="00154CB3" w14:paraId="74948E12" w14:textId="77777777">
        <w:tc>
          <w:tcPr>
            <w:tcW w:w="0" w:type="auto"/>
            <w:tcBorders>
              <w:top w:val="single" w:sz="4" w:space="0" w:color="auto"/>
            </w:tcBorders>
          </w:tcPr>
          <w:p w14:paraId="14A40D07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Written informed consent for all study procedures prior to the study;</w:t>
            </w:r>
          </w:p>
        </w:tc>
      </w:tr>
      <w:tr w:rsidR="00DC5192" w:rsidRPr="00154CB3" w14:paraId="6AC57E26" w14:textId="77777777">
        <w:tc>
          <w:tcPr>
            <w:tcW w:w="0" w:type="auto"/>
          </w:tcPr>
          <w:p w14:paraId="021B4227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Meet the assessment criteria for recurrence after hepatectomy: 5 cm ≤ maximum tumor diameter &lt;10 cm; the number of tumor lesions of ≥3; microvascular invasion (MVI) was graded as M1 or M2 by postoperative pathology examination; grade I/II portal vein tumor thrombus resection;</w:t>
            </w:r>
          </w:p>
        </w:tc>
      </w:tr>
      <w:tr w:rsidR="00DC5192" w:rsidRPr="00154CB3" w14:paraId="5A2F066F" w14:textId="77777777">
        <w:tc>
          <w:tcPr>
            <w:tcW w:w="0" w:type="auto"/>
          </w:tcPr>
          <w:p w14:paraId="3585698D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Histologically or cytologically confirmed HCC, or confirmed characteristics of HCC by at least 2 imaging examinations, or confirmed characteristics of HCC by one imaging examination and AFP &gt;400 μg/L;</w:t>
            </w:r>
          </w:p>
        </w:tc>
      </w:tr>
      <w:tr w:rsidR="00DC5192" w:rsidRPr="00154CB3" w14:paraId="595F12D4" w14:textId="77777777">
        <w:tc>
          <w:tcPr>
            <w:tcW w:w="0" w:type="auto"/>
          </w:tcPr>
          <w:p w14:paraId="5916C3B6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Age 18-75 years; </w:t>
            </w:r>
          </w:p>
        </w:tc>
      </w:tr>
      <w:tr w:rsidR="00DC5192" w:rsidRPr="00154CB3" w14:paraId="65D43390" w14:textId="77777777">
        <w:tc>
          <w:tcPr>
            <w:tcW w:w="0" w:type="auto"/>
          </w:tcPr>
          <w:p w14:paraId="2F623691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ECOG PS of 0 or 1;</w:t>
            </w:r>
          </w:p>
        </w:tc>
      </w:tr>
      <w:tr w:rsidR="00DC5192" w:rsidRPr="00154CB3" w14:paraId="3F1174FC" w14:textId="77777777">
        <w:tc>
          <w:tcPr>
            <w:tcW w:w="0" w:type="auto"/>
          </w:tcPr>
          <w:p w14:paraId="18CB01D1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Class A or B with a Child-Pugh score of ≤7 regardless of compensatory cirrhosis diagnosed by AASLD;</w:t>
            </w:r>
          </w:p>
        </w:tc>
      </w:tr>
      <w:tr w:rsidR="00DC5192" w:rsidRPr="00154CB3" w14:paraId="72306FA0" w14:textId="77777777">
        <w:tc>
          <w:tcPr>
            <w:tcW w:w="0" w:type="auto"/>
          </w:tcPr>
          <w:p w14:paraId="1BC1BB05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No previous anti-tumor treatments other than hepatectomy; good functional status of the remaining hepatocytes;</w:t>
            </w:r>
          </w:p>
        </w:tc>
      </w:tr>
      <w:tr w:rsidR="00DC5192" w:rsidRPr="00154CB3" w14:paraId="304DB94D" w14:textId="77777777">
        <w:tc>
          <w:tcPr>
            <w:tcW w:w="0" w:type="auto"/>
          </w:tcPr>
          <w:p w14:paraId="473751E6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HBV-DNA of &lt;1000 IU/mL for patients with HBV infection before the study; Patients with HBV-DNA &gt;100 IU/mL or HBsAg-positive must receive antiviral therapy according to the guidelines of prevention and treatment for chronic hepatitis B (2019 version), and entecavir or tenofovir was recommended;</w:t>
            </w:r>
          </w:p>
        </w:tc>
      </w:tr>
      <w:tr w:rsidR="00DC5192" w:rsidRPr="00154CB3" w14:paraId="64167A9C" w14:textId="77777777">
        <w:tc>
          <w:tcPr>
            <w:tcW w:w="0" w:type="auto"/>
          </w:tcPr>
          <w:p w14:paraId="30CA8329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Laboratory tests within 28 days prior to the study:</w:t>
            </w:r>
          </w:p>
        </w:tc>
      </w:tr>
      <w:tr w:rsidR="00DC5192" w:rsidRPr="00154CB3" w14:paraId="0BCE2D11" w14:textId="77777777">
        <w:tc>
          <w:tcPr>
            <w:tcW w:w="0" w:type="auto"/>
          </w:tcPr>
          <w:p w14:paraId="4D6A8DC9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Hemoglobin (Hgb) ≥90 g/L;</w:t>
            </w:r>
          </w:p>
        </w:tc>
      </w:tr>
      <w:tr w:rsidR="00DC5192" w:rsidRPr="00154CB3" w14:paraId="4312A59B" w14:textId="77777777">
        <w:tc>
          <w:tcPr>
            <w:tcW w:w="0" w:type="auto"/>
          </w:tcPr>
          <w:p w14:paraId="7FA39EDE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Absolute neutrophil count (ANC) ≥1.5×10</w:t>
            </w: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9</w:t>
            </w: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/L (1500/mm</w:t>
            </w: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3</w:t>
            </w: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);</w:t>
            </w:r>
          </w:p>
        </w:tc>
      </w:tr>
      <w:tr w:rsidR="00DC5192" w:rsidRPr="00154CB3" w14:paraId="5B078F90" w14:textId="77777777">
        <w:tc>
          <w:tcPr>
            <w:tcW w:w="0" w:type="auto"/>
          </w:tcPr>
          <w:p w14:paraId="3D6807FF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Platelets (PLT) ≥75×10^9/L;</w:t>
            </w:r>
          </w:p>
        </w:tc>
      </w:tr>
      <w:tr w:rsidR="00DC5192" w:rsidRPr="00154CB3" w14:paraId="50E0ED0C" w14:textId="77777777">
        <w:tc>
          <w:tcPr>
            <w:tcW w:w="0" w:type="auto"/>
          </w:tcPr>
          <w:p w14:paraId="4C1B5D8E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White blood cell count (WBC) ≥3×10</w:t>
            </w: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9</w:t>
            </w: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/L</w:t>
            </w:r>
          </w:p>
        </w:tc>
      </w:tr>
      <w:tr w:rsidR="00DC5192" w:rsidRPr="00154CB3" w14:paraId="7F728FA0" w14:textId="77777777">
        <w:tc>
          <w:tcPr>
            <w:tcW w:w="0" w:type="auto"/>
          </w:tcPr>
          <w:p w14:paraId="5FF2C4BE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Total Bilirubin (TBIL) ≤2 mg/dL (or ≤34.2μmol/L);</w:t>
            </w:r>
          </w:p>
        </w:tc>
      </w:tr>
      <w:tr w:rsidR="00DC5192" w:rsidRPr="00154CB3" w14:paraId="4A62FEAD" w14:textId="77777777">
        <w:tc>
          <w:tcPr>
            <w:tcW w:w="0" w:type="auto"/>
          </w:tcPr>
          <w:p w14:paraId="68FCEED3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ALT and AST ≤5×ULN;</w:t>
            </w:r>
          </w:p>
        </w:tc>
      </w:tr>
      <w:tr w:rsidR="00DC5192" w:rsidRPr="00154CB3" w14:paraId="39002C30" w14:textId="77777777">
        <w:tc>
          <w:tcPr>
            <w:tcW w:w="0" w:type="auto"/>
          </w:tcPr>
          <w:p w14:paraId="52D10D83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Creatinine (Cr) ≤1.5×ULN or creatinine clearance rate (CCr) ≥60 mL/min;</w:t>
            </w:r>
          </w:p>
        </w:tc>
      </w:tr>
      <w:tr w:rsidR="00DC5192" w:rsidRPr="00154CB3" w14:paraId="1F836D45" w14:textId="77777777">
        <w:tc>
          <w:tcPr>
            <w:tcW w:w="0" w:type="auto"/>
          </w:tcPr>
          <w:p w14:paraId="56ABFFDC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International normalized ratio (INR) ≤1.5×ULN or prothrombin time (PT) should be delayed &lt;4 s compared with the desired ranges;</w:t>
            </w:r>
          </w:p>
        </w:tc>
      </w:tr>
      <w:tr w:rsidR="00DC5192" w:rsidRPr="00154CB3" w14:paraId="7A3AD3E9" w14:textId="77777777">
        <w:tc>
          <w:tcPr>
            <w:tcW w:w="0" w:type="auto"/>
          </w:tcPr>
          <w:p w14:paraId="1003BB73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Female subjects with childbearing potential must agree to use contraception (eg. Iud, birth control pill, or condom) during the study and within 6 months after the last dose; females with negative β-HCG pregnancy test within 7 days prior to the study and without lactating; no risk of pregnancy if one of the following criteria were met:</w:t>
            </w:r>
          </w:p>
        </w:tc>
      </w:tr>
      <w:tr w:rsidR="00DC5192" w:rsidRPr="00154CB3" w14:paraId="69ACF5FF" w14:textId="77777777">
        <w:tc>
          <w:tcPr>
            <w:tcW w:w="0" w:type="auto"/>
          </w:tcPr>
          <w:p w14:paraId="3DE08722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Post-menopause was defined as females aged &gt;50 and who discontinued replacement therapy of exogenous hormone after amenorrhea for at least 12 months;</w:t>
            </w:r>
          </w:p>
        </w:tc>
      </w:tr>
      <w:tr w:rsidR="00DC5192" w:rsidRPr="00154CB3" w14:paraId="07BBCFD9" w14:textId="77777777">
        <w:tc>
          <w:tcPr>
            <w:tcW w:w="0" w:type="auto"/>
          </w:tcPr>
          <w:p w14:paraId="2B661EE4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Women aged &lt;50 were considered post-menopause if they have had amenorrhea for ≥12 months after discontinuing exogenous hormone therapy and luteinizing hormone (LH) and follicle-stimulating hormone (FSH) levels of the desired ranges;</w:t>
            </w:r>
          </w:p>
        </w:tc>
      </w:tr>
      <w:tr w:rsidR="00DC5192" w:rsidRPr="00154CB3" w14:paraId="5ABCF747" w14:textId="77777777">
        <w:tc>
          <w:tcPr>
            <w:tcW w:w="0" w:type="auto"/>
          </w:tcPr>
          <w:p w14:paraId="4B216217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Patients with irreversible sterilization, including hysterectomy, bilateral ovariectomy, or bilateral tubal resection, except bilateral tubal ligation;</w:t>
            </w:r>
          </w:p>
        </w:tc>
      </w:tr>
      <w:tr w:rsidR="00DC5192" w:rsidRPr="00154CB3" w14:paraId="7A1C8333" w14:textId="77777777">
        <w:tc>
          <w:tcPr>
            <w:tcW w:w="0" w:type="auto"/>
          </w:tcPr>
          <w:p w14:paraId="1E67405A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Male subjects must agree to use contraception during the study and within 6 months after the last dose;</w:t>
            </w:r>
          </w:p>
        </w:tc>
      </w:tr>
      <w:tr w:rsidR="00DC5192" w:rsidRPr="00154CB3" w14:paraId="2BAA2BA7" w14:textId="777777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E238CF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Exclusion criteria</w:t>
            </w:r>
          </w:p>
        </w:tc>
      </w:tr>
      <w:tr w:rsidR="00DC5192" w:rsidRPr="00154CB3" w14:paraId="11C34659" w14:textId="77777777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A595FF6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Other malignancies except for HCC; new lesions with extrahepatic metastasis after surgery; recurrent HCC lesions of &gt;10 mm by preoperative examination or intraoperative observation;</w:t>
            </w:r>
          </w:p>
        </w:tc>
      </w:tr>
      <w:tr w:rsidR="00DC5192" w:rsidRPr="00154CB3" w14:paraId="293063C7" w14:textId="77777777">
        <w:tc>
          <w:tcPr>
            <w:tcW w:w="0" w:type="auto"/>
            <w:tcBorders>
              <w:top w:val="nil"/>
            </w:tcBorders>
          </w:tcPr>
          <w:p w14:paraId="0B6E7FFA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Absolute contraindications to TACE:</w:t>
            </w:r>
          </w:p>
        </w:tc>
      </w:tr>
      <w:tr w:rsidR="00DC5192" w:rsidRPr="00154CB3" w14:paraId="380A70BF" w14:textId="77777777">
        <w:tc>
          <w:tcPr>
            <w:tcW w:w="0" w:type="auto"/>
            <w:tcBorders>
              <w:top w:val="nil"/>
            </w:tcBorders>
          </w:tcPr>
          <w:p w14:paraId="4070877C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Severe liver dysfunction, including severe jaundice, hepatic encephalopathy, refractory ascites, or hepatorenal syndrome;</w:t>
            </w:r>
          </w:p>
        </w:tc>
      </w:tr>
      <w:tr w:rsidR="00DC5192" w:rsidRPr="00154CB3" w14:paraId="63D96071" w14:textId="77777777">
        <w:tc>
          <w:tcPr>
            <w:tcW w:w="0" w:type="auto"/>
            <w:tcBorders>
              <w:top w:val="nil"/>
            </w:tcBorders>
          </w:tcPr>
          <w:p w14:paraId="03941AEB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The dramatic drop in blood coagulation without correction;</w:t>
            </w:r>
          </w:p>
        </w:tc>
      </w:tr>
      <w:tr w:rsidR="00DC5192" w:rsidRPr="00154CB3" w14:paraId="65258301" w14:textId="77777777">
        <w:tc>
          <w:tcPr>
            <w:tcW w:w="0" w:type="auto"/>
            <w:tcBorders>
              <w:top w:val="nil"/>
            </w:tcBorders>
          </w:tcPr>
          <w:p w14:paraId="2555BC4C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The main portal vein was completely embolized by cancer-associated thrombus, the collateral vessels were less formed, and the portal vein stent could not be used to restore the main portal vein to the liver;</w:t>
            </w:r>
          </w:p>
        </w:tc>
      </w:tr>
      <w:tr w:rsidR="00DC5192" w:rsidRPr="00154CB3" w14:paraId="36ECCC92" w14:textId="77777777">
        <w:tc>
          <w:tcPr>
            <w:tcW w:w="0" w:type="auto"/>
            <w:tcBorders>
              <w:top w:val="nil"/>
            </w:tcBorders>
          </w:tcPr>
          <w:p w14:paraId="6B1F9D92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Patients with active hepatitis or severe infection, and two diseases cannot be treated simultaneously;</w:t>
            </w:r>
          </w:p>
        </w:tc>
      </w:tr>
      <w:tr w:rsidR="00DC5192" w:rsidRPr="00154CB3" w14:paraId="442150B9" w14:textId="77777777">
        <w:tc>
          <w:tcPr>
            <w:tcW w:w="0" w:type="auto"/>
            <w:tcBorders>
              <w:top w:val="nil"/>
            </w:tcBorders>
          </w:tcPr>
          <w:p w14:paraId="3570D17C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Severe iodine contrast allergy;</w:t>
            </w:r>
          </w:p>
        </w:tc>
      </w:tr>
      <w:tr w:rsidR="00DC5192" w:rsidRPr="00154CB3" w14:paraId="433DA765" w14:textId="77777777">
        <w:tc>
          <w:tcPr>
            <w:tcW w:w="0" w:type="auto"/>
            <w:tcBorders>
              <w:top w:val="nil"/>
            </w:tcBorders>
          </w:tcPr>
          <w:p w14:paraId="4D229868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Patients who did not receive periodic reexamination within 1 month after hepatectomy and did not receive TACE therapy or did not assess the baseline status for more than two months;</w:t>
            </w:r>
          </w:p>
        </w:tc>
      </w:tr>
      <w:tr w:rsidR="00DC5192" w:rsidRPr="00154CB3" w14:paraId="05CB4E0C" w14:textId="77777777">
        <w:tc>
          <w:tcPr>
            <w:tcW w:w="0" w:type="auto"/>
            <w:tcBorders>
              <w:top w:val="nil"/>
            </w:tcBorders>
          </w:tcPr>
          <w:p w14:paraId="2F4BB0D3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Patients with HCV infection;</w:t>
            </w:r>
          </w:p>
        </w:tc>
      </w:tr>
      <w:tr w:rsidR="00DC5192" w:rsidRPr="00154CB3" w14:paraId="6B989A66" w14:textId="77777777">
        <w:tc>
          <w:tcPr>
            <w:tcW w:w="0" w:type="auto"/>
            <w:tcBorders>
              <w:top w:val="nil"/>
            </w:tcBorders>
          </w:tcPr>
          <w:p w14:paraId="637DC918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Any severe and/or uncontrolled disease:</w:t>
            </w:r>
          </w:p>
        </w:tc>
      </w:tr>
      <w:tr w:rsidR="00DC5192" w:rsidRPr="00154CB3" w14:paraId="2D665663" w14:textId="77777777">
        <w:tc>
          <w:tcPr>
            <w:tcW w:w="0" w:type="auto"/>
            <w:tcBorders>
              <w:top w:val="nil"/>
            </w:tcBorders>
          </w:tcPr>
          <w:p w14:paraId="58681E7C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Uncontrolled hypertension (systolic blood pressure of ≥150 mmHg and/or diastolic blood pressure of ≥100 mmHg); myocardial ischemia, myocardial infarction, or arrhythmia (including QTc ≥430 ms) of &gt;class I, heart failure in New York Heart Association (NYHA) functional class I;</w:t>
            </w:r>
          </w:p>
        </w:tc>
      </w:tr>
      <w:tr w:rsidR="00DC5192" w:rsidRPr="00154CB3" w14:paraId="69B60FEA" w14:textId="77777777">
        <w:tc>
          <w:tcPr>
            <w:tcW w:w="0" w:type="auto"/>
            <w:tcBorders>
              <w:top w:val="nil"/>
            </w:tcBorders>
          </w:tcPr>
          <w:p w14:paraId="4A0CD78D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Active or uncontrolled severe infection;</w:t>
            </w:r>
          </w:p>
        </w:tc>
      </w:tr>
      <w:tr w:rsidR="00DC5192" w:rsidRPr="00154CB3" w14:paraId="3777C467" w14:textId="77777777">
        <w:tc>
          <w:tcPr>
            <w:tcW w:w="0" w:type="auto"/>
            <w:tcBorders>
              <w:top w:val="nil"/>
            </w:tcBorders>
          </w:tcPr>
          <w:p w14:paraId="088D8018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Liver cirrhosis, decompensated liver disease, active hepatitis HBV;</w:t>
            </w:r>
          </w:p>
        </w:tc>
      </w:tr>
      <w:tr w:rsidR="00DC5192" w:rsidRPr="00154CB3" w14:paraId="5B57C580" w14:textId="77777777">
        <w:tc>
          <w:tcPr>
            <w:tcW w:w="0" w:type="auto"/>
            <w:tcBorders>
              <w:top w:val="nil"/>
            </w:tcBorders>
          </w:tcPr>
          <w:p w14:paraId="08B6794A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Poor diabetes control (fasting blood glucose [FBG] &gt;10 mmol/L);</w:t>
            </w:r>
          </w:p>
        </w:tc>
      </w:tr>
      <w:tr w:rsidR="00DC5192" w:rsidRPr="00154CB3" w14:paraId="3A32A325" w14:textId="77777777">
        <w:tc>
          <w:tcPr>
            <w:tcW w:w="0" w:type="auto"/>
            <w:tcBorders>
              <w:top w:val="nil"/>
            </w:tcBorders>
          </w:tcPr>
          <w:p w14:paraId="5140B37D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ind w:firstLineChars="133" w:firstLine="266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Urinary protein ≥++, and confirmed 24-hour urinary protein &gt;1.0 g;</w:t>
            </w:r>
          </w:p>
        </w:tc>
      </w:tr>
      <w:tr w:rsidR="00DC5192" w:rsidRPr="00154CB3" w14:paraId="59FA8910" w14:textId="77777777">
        <w:tc>
          <w:tcPr>
            <w:tcW w:w="0" w:type="auto"/>
            <w:tcBorders>
              <w:top w:val="nil"/>
            </w:tcBorders>
          </w:tcPr>
          <w:p w14:paraId="43A98906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Non-healing wounds or fractures for a long time;</w:t>
            </w:r>
          </w:p>
        </w:tc>
      </w:tr>
      <w:tr w:rsidR="00DC5192" w:rsidRPr="00154CB3" w14:paraId="0A5104E6" w14:textId="77777777">
        <w:tc>
          <w:tcPr>
            <w:tcW w:w="0" w:type="auto"/>
            <w:tcBorders>
              <w:top w:val="nil"/>
            </w:tcBorders>
          </w:tcPr>
          <w:p w14:paraId="7B691B80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Pulmonary hemorrhage of &gt;grade 1 or &gt;grade 2 other bleeding per the NCI CTCAE version4.0 within 4 weeks before the study; patients with a bleeding tendency (eg. active digestive tract ulcer) or receiving thrombolytic or anticoagulant therapy such as warfarin, heparin, or their analogies; </w:t>
            </w:r>
          </w:p>
        </w:tc>
      </w:tr>
      <w:tr w:rsidR="00DC5192" w:rsidRPr="00154CB3" w14:paraId="62703893" w14:textId="77777777">
        <w:tc>
          <w:tcPr>
            <w:tcW w:w="0" w:type="auto"/>
            <w:tcBorders>
              <w:top w:val="nil"/>
            </w:tcBorders>
          </w:tcPr>
          <w:p w14:paraId="6135A7B8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Gastrointestinal perforation and/or fistula, or arterial and venous thrombosis (eg. cerebrovascular accidents [including temporary ischemic attacks], deep vein thrombosis, and pulmonary embolism) within 6 months prior to the study;</w:t>
            </w:r>
          </w:p>
        </w:tc>
      </w:tr>
      <w:tr w:rsidR="00DC5192" w:rsidRPr="00154CB3" w14:paraId="12A3EE48" w14:textId="77777777">
        <w:tc>
          <w:tcPr>
            <w:tcW w:w="0" w:type="auto"/>
            <w:tcBorders>
              <w:top w:val="nil"/>
            </w:tcBorders>
          </w:tcPr>
          <w:p w14:paraId="06374D7A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Fatal haemorrhage because tumors currently or potentially invade the peripheral blood vessels per investigators;</w:t>
            </w:r>
          </w:p>
        </w:tc>
      </w:tr>
      <w:tr w:rsidR="00DC5192" w:rsidRPr="00154CB3" w14:paraId="2A90608F" w14:textId="77777777">
        <w:tc>
          <w:tcPr>
            <w:tcW w:w="0" w:type="auto"/>
            <w:tcBorders>
              <w:top w:val="nil"/>
            </w:tcBorders>
          </w:tcPr>
          <w:p w14:paraId="35F8F309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Patients with previous or current treatment for ascites by physical examination; excluding asymptomatic those with fewer ascites by imaging; </w:t>
            </w:r>
          </w:p>
        </w:tc>
      </w:tr>
      <w:tr w:rsidR="00DC5192" w:rsidRPr="00154CB3" w14:paraId="2E840C25" w14:textId="77777777">
        <w:tc>
          <w:tcPr>
            <w:tcW w:w="0" w:type="auto"/>
            <w:tcBorders>
              <w:top w:val="nil"/>
            </w:tcBorders>
          </w:tcPr>
          <w:p w14:paraId="7FD521F1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Uncontrolled metabolic disorders or other organs without non-malignant tumors or systemic diseases or reactions secondary to cancer that may lead to higher medical risks and/or uncertainty in the evaluation of survival;</w:t>
            </w:r>
          </w:p>
        </w:tc>
      </w:tr>
      <w:tr w:rsidR="00DC5192" w:rsidRPr="00154CB3" w14:paraId="1EAA62BB" w14:textId="77777777">
        <w:tc>
          <w:tcPr>
            <w:tcW w:w="0" w:type="auto"/>
            <w:tcBorders>
              <w:top w:val="nil"/>
            </w:tcBorders>
          </w:tcPr>
          <w:p w14:paraId="1AD2A902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A history of psychotropic substance abuse with the inability to quit, or dysphrenia;</w:t>
            </w:r>
          </w:p>
        </w:tc>
      </w:tr>
      <w:tr w:rsidR="00DC5192" w:rsidRPr="00154CB3" w14:paraId="050DC050" w14:textId="77777777">
        <w:tc>
          <w:tcPr>
            <w:tcW w:w="0" w:type="auto"/>
            <w:tcBorders>
              <w:top w:val="nil"/>
            </w:tcBorders>
          </w:tcPr>
          <w:p w14:paraId="099A71D5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A history of immune deficiency, including HIV-positive, other acquired and congenital immunodeficiency diseases, or previous organ transplantation;</w:t>
            </w:r>
          </w:p>
        </w:tc>
      </w:tr>
      <w:tr w:rsidR="00DC5192" w:rsidRPr="00154CB3" w14:paraId="7DED16F8" w14:textId="77777777">
        <w:tc>
          <w:tcPr>
            <w:tcW w:w="0" w:type="auto"/>
            <w:tcBorders>
              <w:top w:val="nil"/>
            </w:tcBorders>
          </w:tcPr>
          <w:p w14:paraId="7B977EEC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Concomitant diseases seriously endangering patients’ safety or interfering with the completion of the study</w:t>
            </w:r>
          </w:p>
        </w:tc>
      </w:tr>
      <w:tr w:rsidR="00DC5192" w:rsidRPr="00154CB3" w14:paraId="430E250B" w14:textId="77777777">
        <w:tc>
          <w:tcPr>
            <w:tcW w:w="0" w:type="auto"/>
          </w:tcPr>
          <w:p w14:paraId="0B973663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Allergy to any study drugs or their excipients; </w:t>
            </w:r>
          </w:p>
        </w:tc>
      </w:tr>
      <w:tr w:rsidR="00DC5192" w:rsidRPr="00154CB3" w14:paraId="4891B518" w14:textId="77777777">
        <w:tc>
          <w:tcPr>
            <w:tcW w:w="0" w:type="auto"/>
          </w:tcPr>
          <w:p w14:paraId="10AFEFDD" w14:textId="77777777" w:rsidR="00DC5192" w:rsidRPr="00154CB3" w:rsidRDefault="00D20492">
            <w:pPr>
              <w:widowControl/>
              <w:tabs>
                <w:tab w:val="left" w:pos="1373"/>
              </w:tabs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Concomitant diseases seriously endangering patients’ safety or interfering with the completion of the study; Other reasons for exclusion from the study by investigators;</w:t>
            </w:r>
          </w:p>
        </w:tc>
      </w:tr>
    </w:tbl>
    <w:p w14:paraId="18DD4252" w14:textId="77777777" w:rsidR="00DC5192" w:rsidRPr="00154CB3" w:rsidRDefault="00D20492">
      <w:pPr>
        <w:widowControl/>
        <w:spacing w:line="360" w:lineRule="auto"/>
        <w:jc w:val="left"/>
        <w:rPr>
          <w:rFonts w:ascii="Times New Roman" w:eastAsia="DengXian" w:hAnsi="Times New Roman" w:cs="Times New Roman"/>
          <w:b/>
          <w:bCs/>
          <w:kern w:val="0"/>
          <w:sz w:val="20"/>
          <w:szCs w:val="20"/>
          <w:lang w:val="it-IT" w:eastAsia="en-US"/>
          <w14:ligatures w14:val="none"/>
        </w:rPr>
      </w:pPr>
      <w:r w:rsidRPr="00154CB3">
        <w:rPr>
          <w:rFonts w:ascii="Times New Roman" w:eastAsia="DengXian" w:hAnsi="Times New Roman" w:cs="Times New Roman"/>
          <w:kern w:val="0"/>
          <w:sz w:val="20"/>
          <w:szCs w:val="20"/>
          <w:lang w:val="it-IT" w:eastAsia="en-US"/>
          <w14:ligatures w14:val="none"/>
        </w:rPr>
        <w:t>Abbreviations: HCC=hepatocellular carcinoma, AFP=alpha fetoprotein, ECOG PS=Eastern Cooperative Oncology Group Performance Status, AASLD=American Association for the Study of Liver Diseases, HBV-DNA=hepatitis B virus-deoxyribonucleic acid, HBsAg= hepatitis B surface antigen, ULN=upper limit of normal, ALT=alanine aminotransferase, AST=aspartate aminotransferase, HCV=hepatitis C virus, NCI CTCAE= National Cancer Institute Common Terminology Criteria for Adverse Events.</w:t>
      </w:r>
      <w:r w:rsidRPr="00154CB3">
        <w:rPr>
          <w:rFonts w:ascii="Times New Roman" w:eastAsia="DengXian" w:hAnsi="Times New Roman" w:cs="Times New Roman"/>
          <w:b/>
          <w:bCs/>
          <w:kern w:val="0"/>
          <w:sz w:val="20"/>
          <w:szCs w:val="20"/>
          <w:lang w:val="it-IT" w:eastAsia="en-US"/>
          <w14:ligatures w14:val="none"/>
        </w:rPr>
        <w:br w:type="page"/>
      </w:r>
    </w:p>
    <w:p w14:paraId="7B460D24" w14:textId="77777777" w:rsidR="00DC5192" w:rsidRPr="00154CB3" w:rsidRDefault="00D20492">
      <w:pPr>
        <w:keepNext/>
        <w:keepLines/>
        <w:spacing w:line="360" w:lineRule="auto"/>
        <w:outlineLvl w:val="0"/>
        <w:rPr>
          <w:rFonts w:ascii="Times New Roman" w:eastAsia="DengXian" w:hAnsi="Times New Roman" w:cs="Times New Roman"/>
          <w:b/>
          <w:bCs/>
          <w:kern w:val="44"/>
          <w:sz w:val="20"/>
          <w:szCs w:val="20"/>
          <w14:ligatures w14:val="none"/>
        </w:rPr>
      </w:pPr>
      <w:r w:rsidRPr="00154CB3">
        <w:rPr>
          <w:rFonts w:ascii="Times New Roman" w:eastAsia="DengXian" w:hAnsi="Times New Roman" w:cs="Times New Roman"/>
          <w:b/>
          <w:bCs/>
          <w:kern w:val="44"/>
          <w:sz w:val="20"/>
          <w:szCs w:val="20"/>
          <w14:ligatures w14:val="none"/>
        </w:rPr>
        <w:t xml:space="preserve">Supplementary Table S2. Detailed dose titration and delayed dose criteria of anlotinib </w:t>
      </w:r>
    </w:p>
    <w:tbl>
      <w:tblPr>
        <w:tblStyle w:val="1"/>
        <w:tblW w:w="139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2"/>
        <w:gridCol w:w="5550"/>
        <w:gridCol w:w="4716"/>
      </w:tblGrid>
      <w:tr w:rsidR="00DC5192" w:rsidRPr="00154CB3" w14:paraId="417204BE" w14:textId="77777777"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4973179D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Treatment-related adverse events</w:t>
            </w:r>
          </w:p>
        </w:tc>
        <w:tc>
          <w:tcPr>
            <w:tcW w:w="5550" w:type="dxa"/>
            <w:tcBorders>
              <w:top w:val="single" w:sz="4" w:space="0" w:color="auto"/>
              <w:bottom w:val="single" w:sz="4" w:space="0" w:color="auto"/>
            </w:tcBorders>
          </w:tcPr>
          <w:p w14:paraId="5F5DAD7D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Administration time</w:t>
            </w:r>
          </w:p>
        </w:tc>
        <w:tc>
          <w:tcPr>
            <w:tcW w:w="4716" w:type="dxa"/>
            <w:tcBorders>
              <w:top w:val="single" w:sz="4" w:space="0" w:color="auto"/>
              <w:bottom w:val="single" w:sz="4" w:space="0" w:color="auto"/>
            </w:tcBorders>
          </w:tcPr>
          <w:p w14:paraId="27D56AE1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Dose titration</w:t>
            </w:r>
          </w:p>
        </w:tc>
      </w:tr>
      <w:tr w:rsidR="00DC5192" w:rsidRPr="00154CB3" w14:paraId="70704376" w14:textId="77777777">
        <w:tc>
          <w:tcPr>
            <w:tcW w:w="3692" w:type="dxa"/>
            <w:tcBorders>
              <w:top w:val="single" w:sz="4" w:space="0" w:color="auto"/>
              <w:bottom w:val="nil"/>
            </w:tcBorders>
          </w:tcPr>
          <w:p w14:paraId="4E2CC00B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Grade 0-2</w:t>
            </w:r>
          </w:p>
        </w:tc>
        <w:tc>
          <w:tcPr>
            <w:tcW w:w="5550" w:type="dxa"/>
            <w:tcBorders>
              <w:top w:val="single" w:sz="4" w:space="0" w:color="auto"/>
              <w:bottom w:val="nil"/>
            </w:tcBorders>
          </w:tcPr>
          <w:p w14:paraId="25D049BA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On-time delivery</w:t>
            </w:r>
          </w:p>
        </w:tc>
        <w:tc>
          <w:tcPr>
            <w:tcW w:w="4716" w:type="dxa"/>
            <w:tcBorders>
              <w:top w:val="single" w:sz="4" w:space="0" w:color="auto"/>
              <w:bottom w:val="nil"/>
            </w:tcBorders>
          </w:tcPr>
          <w:p w14:paraId="42A93558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Initial dose</w:t>
            </w:r>
          </w:p>
        </w:tc>
      </w:tr>
      <w:tr w:rsidR="00DC5192" w:rsidRPr="00154CB3" w14:paraId="39E83888" w14:textId="77777777">
        <w:tc>
          <w:tcPr>
            <w:tcW w:w="3692" w:type="dxa"/>
            <w:tcBorders>
              <w:top w:val="nil"/>
              <w:bottom w:val="nil"/>
            </w:tcBorders>
          </w:tcPr>
          <w:p w14:paraId="1DD9058C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Grade 3</w:t>
            </w:r>
          </w:p>
        </w:tc>
        <w:tc>
          <w:tcPr>
            <w:tcW w:w="5550" w:type="dxa"/>
            <w:tcBorders>
              <w:top w:val="nil"/>
              <w:bottom w:val="nil"/>
            </w:tcBorders>
          </w:tcPr>
          <w:p w14:paraId="29B6931E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Delay delivery till toxicity &lt;grade 2 </w:t>
            </w:r>
          </w:p>
        </w:tc>
        <w:tc>
          <w:tcPr>
            <w:tcW w:w="4716" w:type="dxa"/>
            <w:tcBorders>
              <w:top w:val="nil"/>
              <w:bottom w:val="nil"/>
            </w:tcBorders>
          </w:tcPr>
          <w:p w14:paraId="5C36B5C5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Reduce 1 level of dose</w:t>
            </w:r>
          </w:p>
        </w:tc>
      </w:tr>
      <w:tr w:rsidR="00DC5192" w:rsidRPr="00154CB3" w14:paraId="232F806C" w14:textId="77777777">
        <w:tc>
          <w:tcPr>
            <w:tcW w:w="3692" w:type="dxa"/>
            <w:tcBorders>
              <w:top w:val="nil"/>
              <w:bottom w:val="single" w:sz="4" w:space="0" w:color="auto"/>
            </w:tcBorders>
          </w:tcPr>
          <w:p w14:paraId="1CCD9DD0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Grade 4</w:t>
            </w:r>
          </w:p>
        </w:tc>
        <w:tc>
          <w:tcPr>
            <w:tcW w:w="5550" w:type="dxa"/>
            <w:tcBorders>
              <w:top w:val="nil"/>
              <w:bottom w:val="single" w:sz="4" w:space="0" w:color="auto"/>
            </w:tcBorders>
          </w:tcPr>
          <w:p w14:paraId="172BF754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Delay delivery till toxicity &lt;grade 2 </w:t>
            </w:r>
          </w:p>
        </w:tc>
        <w:tc>
          <w:tcPr>
            <w:tcW w:w="4716" w:type="dxa"/>
            <w:tcBorders>
              <w:top w:val="nil"/>
              <w:bottom w:val="single" w:sz="4" w:space="0" w:color="auto"/>
            </w:tcBorders>
          </w:tcPr>
          <w:p w14:paraId="0CBBFEED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Reduce 1 level of dose or permanent discontinuation determined by the investigators</w:t>
            </w:r>
          </w:p>
        </w:tc>
      </w:tr>
      <w:tr w:rsidR="00DC5192" w:rsidRPr="00154CB3" w14:paraId="3562D0AE" w14:textId="77777777"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705E7D28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Abnormal liver function (increased ALT, AST, or total bilirubin)</w:t>
            </w:r>
          </w:p>
        </w:tc>
        <w:tc>
          <w:tcPr>
            <w:tcW w:w="5550" w:type="dxa"/>
            <w:tcBorders>
              <w:top w:val="single" w:sz="4" w:space="0" w:color="auto"/>
              <w:bottom w:val="single" w:sz="4" w:space="0" w:color="auto"/>
            </w:tcBorders>
          </w:tcPr>
          <w:p w14:paraId="73F46422" w14:textId="77777777" w:rsidR="00DC5192" w:rsidRPr="00154CB3" w:rsidRDefault="00DC51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6" w:type="dxa"/>
            <w:tcBorders>
              <w:top w:val="single" w:sz="4" w:space="0" w:color="auto"/>
              <w:bottom w:val="single" w:sz="4" w:space="0" w:color="auto"/>
            </w:tcBorders>
          </w:tcPr>
          <w:p w14:paraId="01B26F41" w14:textId="77777777" w:rsidR="00DC5192" w:rsidRPr="00154CB3" w:rsidRDefault="00DC51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C5192" w:rsidRPr="00154CB3" w14:paraId="4139F8E6" w14:textId="77777777">
        <w:tc>
          <w:tcPr>
            <w:tcW w:w="3692" w:type="dxa"/>
            <w:tcBorders>
              <w:top w:val="single" w:sz="4" w:space="0" w:color="auto"/>
            </w:tcBorders>
          </w:tcPr>
          <w:p w14:paraId="2AEC624E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Grade 1  </w:t>
            </w:r>
          </w:p>
        </w:tc>
        <w:tc>
          <w:tcPr>
            <w:tcW w:w="5550" w:type="dxa"/>
            <w:tcBorders>
              <w:top w:val="single" w:sz="4" w:space="0" w:color="auto"/>
            </w:tcBorders>
          </w:tcPr>
          <w:p w14:paraId="49841291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On-time delivery</w:t>
            </w:r>
          </w:p>
        </w:tc>
        <w:tc>
          <w:tcPr>
            <w:tcW w:w="4716" w:type="dxa"/>
            <w:tcBorders>
              <w:top w:val="single" w:sz="4" w:space="0" w:color="auto"/>
            </w:tcBorders>
          </w:tcPr>
          <w:p w14:paraId="6AC92269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Initial dose</w:t>
            </w:r>
          </w:p>
        </w:tc>
      </w:tr>
      <w:tr w:rsidR="00DC5192" w:rsidRPr="00154CB3" w14:paraId="690C5CBF" w14:textId="77777777">
        <w:tc>
          <w:tcPr>
            <w:tcW w:w="3692" w:type="dxa"/>
            <w:tcBorders>
              <w:top w:val="nil"/>
            </w:tcBorders>
          </w:tcPr>
          <w:p w14:paraId="680E78FA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Grade 2 (normal baseline)</w:t>
            </w:r>
          </w:p>
        </w:tc>
        <w:tc>
          <w:tcPr>
            <w:tcW w:w="5550" w:type="dxa"/>
            <w:tcBorders>
              <w:top w:val="nil"/>
            </w:tcBorders>
          </w:tcPr>
          <w:p w14:paraId="0E43FE78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Delay delivery till toxicity &lt;grade 2</w:t>
            </w:r>
          </w:p>
        </w:tc>
        <w:tc>
          <w:tcPr>
            <w:tcW w:w="4716" w:type="dxa"/>
            <w:tcBorders>
              <w:top w:val="nil"/>
            </w:tcBorders>
          </w:tcPr>
          <w:p w14:paraId="6185E76E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Reduce 1 level of dose </w:t>
            </w:r>
          </w:p>
        </w:tc>
      </w:tr>
      <w:tr w:rsidR="00DC5192" w:rsidRPr="00154CB3" w14:paraId="31E17DB3" w14:textId="77777777">
        <w:tc>
          <w:tcPr>
            <w:tcW w:w="3692" w:type="dxa"/>
          </w:tcPr>
          <w:p w14:paraId="1A4EF9E9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Grade 2 (abnormal baseline)</w:t>
            </w:r>
          </w:p>
        </w:tc>
        <w:tc>
          <w:tcPr>
            <w:tcW w:w="5550" w:type="dxa"/>
          </w:tcPr>
          <w:p w14:paraId="62D6100C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On-time delivery</w:t>
            </w:r>
          </w:p>
        </w:tc>
        <w:tc>
          <w:tcPr>
            <w:tcW w:w="4716" w:type="dxa"/>
          </w:tcPr>
          <w:p w14:paraId="4932833C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Initial dose</w:t>
            </w:r>
          </w:p>
        </w:tc>
      </w:tr>
      <w:tr w:rsidR="00DC5192" w:rsidRPr="00154CB3" w14:paraId="2F0C4FF1" w14:textId="77777777">
        <w:tc>
          <w:tcPr>
            <w:tcW w:w="3692" w:type="dxa"/>
          </w:tcPr>
          <w:p w14:paraId="329FFAE5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Grade 3</w:t>
            </w:r>
          </w:p>
        </w:tc>
        <w:tc>
          <w:tcPr>
            <w:tcW w:w="5550" w:type="dxa"/>
          </w:tcPr>
          <w:p w14:paraId="3E68E5E1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Delay delivery till toxicity &lt;grade 2</w:t>
            </w:r>
          </w:p>
        </w:tc>
        <w:tc>
          <w:tcPr>
            <w:tcW w:w="4716" w:type="dxa"/>
          </w:tcPr>
          <w:p w14:paraId="5947B58A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Reduce 1 level of dose </w:t>
            </w:r>
          </w:p>
        </w:tc>
      </w:tr>
      <w:tr w:rsidR="00DC5192" w:rsidRPr="00154CB3" w14:paraId="56C64E4C" w14:textId="77777777">
        <w:tc>
          <w:tcPr>
            <w:tcW w:w="3692" w:type="dxa"/>
            <w:tcBorders>
              <w:bottom w:val="single" w:sz="4" w:space="0" w:color="auto"/>
            </w:tcBorders>
          </w:tcPr>
          <w:p w14:paraId="06639E1B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Grade 4</w:t>
            </w:r>
          </w:p>
        </w:tc>
        <w:tc>
          <w:tcPr>
            <w:tcW w:w="5550" w:type="dxa"/>
            <w:tcBorders>
              <w:bottom w:val="single" w:sz="4" w:space="0" w:color="auto"/>
            </w:tcBorders>
          </w:tcPr>
          <w:p w14:paraId="36B52536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Discontinuation </w:t>
            </w:r>
          </w:p>
        </w:tc>
        <w:tc>
          <w:tcPr>
            <w:tcW w:w="4716" w:type="dxa"/>
            <w:tcBorders>
              <w:bottom w:val="single" w:sz="4" w:space="0" w:color="auto"/>
            </w:tcBorders>
          </w:tcPr>
          <w:p w14:paraId="5E615352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Discontinuation</w:t>
            </w:r>
          </w:p>
        </w:tc>
      </w:tr>
      <w:tr w:rsidR="00DC5192" w:rsidRPr="00154CB3" w14:paraId="41A73C38" w14:textId="77777777"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10B6ADD4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Proteinuria</w:t>
            </w:r>
          </w:p>
        </w:tc>
        <w:tc>
          <w:tcPr>
            <w:tcW w:w="5550" w:type="dxa"/>
            <w:tcBorders>
              <w:top w:val="single" w:sz="4" w:space="0" w:color="auto"/>
              <w:bottom w:val="single" w:sz="4" w:space="0" w:color="auto"/>
            </w:tcBorders>
          </w:tcPr>
          <w:p w14:paraId="4B3746ED" w14:textId="77777777" w:rsidR="00DC5192" w:rsidRPr="00154CB3" w:rsidRDefault="00DC51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6" w:type="dxa"/>
            <w:tcBorders>
              <w:top w:val="single" w:sz="4" w:space="0" w:color="auto"/>
              <w:bottom w:val="single" w:sz="4" w:space="0" w:color="auto"/>
            </w:tcBorders>
          </w:tcPr>
          <w:p w14:paraId="22A8D2AF" w14:textId="77777777" w:rsidR="00DC5192" w:rsidRPr="00154CB3" w:rsidRDefault="00DC51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C5192" w:rsidRPr="00154CB3" w14:paraId="6A7887C5" w14:textId="77777777">
        <w:tc>
          <w:tcPr>
            <w:tcW w:w="3692" w:type="dxa"/>
            <w:tcBorders>
              <w:top w:val="single" w:sz="4" w:space="0" w:color="auto"/>
            </w:tcBorders>
          </w:tcPr>
          <w:p w14:paraId="47BE1679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Grade 1 (urine protein+ or &lt;1.0 g [24 h])</w:t>
            </w:r>
          </w:p>
        </w:tc>
        <w:tc>
          <w:tcPr>
            <w:tcW w:w="5550" w:type="dxa"/>
            <w:tcBorders>
              <w:top w:val="single" w:sz="4" w:space="0" w:color="auto"/>
            </w:tcBorders>
          </w:tcPr>
          <w:p w14:paraId="6270E989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On-time delivery</w:t>
            </w:r>
          </w:p>
        </w:tc>
        <w:tc>
          <w:tcPr>
            <w:tcW w:w="4716" w:type="dxa"/>
            <w:tcBorders>
              <w:top w:val="single" w:sz="4" w:space="0" w:color="auto"/>
            </w:tcBorders>
          </w:tcPr>
          <w:p w14:paraId="20BC14D9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Initial dose</w:t>
            </w:r>
          </w:p>
        </w:tc>
      </w:tr>
      <w:tr w:rsidR="00DC5192" w:rsidRPr="00154CB3" w14:paraId="16364BA7" w14:textId="77777777">
        <w:tc>
          <w:tcPr>
            <w:tcW w:w="3692" w:type="dxa"/>
          </w:tcPr>
          <w:p w14:paraId="2CFD8096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Grade 2 (urine protein++ or 1.0 g≤urine protein&lt;2.0 g [24 h])</w:t>
            </w:r>
          </w:p>
        </w:tc>
        <w:tc>
          <w:tcPr>
            <w:tcW w:w="5550" w:type="dxa"/>
          </w:tcPr>
          <w:p w14:paraId="143AC32D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On-time delivery</w:t>
            </w:r>
          </w:p>
        </w:tc>
        <w:tc>
          <w:tcPr>
            <w:tcW w:w="4716" w:type="dxa"/>
          </w:tcPr>
          <w:p w14:paraId="2D5E502B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Initial dose</w:t>
            </w:r>
          </w:p>
        </w:tc>
      </w:tr>
      <w:tr w:rsidR="00DC5192" w:rsidRPr="00154CB3" w14:paraId="64AFF12C" w14:textId="77777777">
        <w:tc>
          <w:tcPr>
            <w:tcW w:w="3692" w:type="dxa"/>
          </w:tcPr>
          <w:p w14:paraId="3C010AD4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Grade 2 (urine protein++ or more; 2.0 g≤urine protein&lt;3.5 g [24 h])</w:t>
            </w:r>
          </w:p>
        </w:tc>
        <w:tc>
          <w:tcPr>
            <w:tcW w:w="5550" w:type="dxa"/>
          </w:tcPr>
          <w:p w14:paraId="0F093398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Delay delivery </w:t>
            </w:r>
          </w:p>
        </w:tc>
        <w:tc>
          <w:tcPr>
            <w:tcW w:w="4716" w:type="dxa"/>
          </w:tcPr>
          <w:p w14:paraId="6F0D1A1E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Reduce 1 level of dose if toxicity &lt;grade 2 within 2 weeks</w:t>
            </w:r>
          </w:p>
        </w:tc>
      </w:tr>
      <w:tr w:rsidR="00DC5192" w:rsidRPr="00154CB3" w14:paraId="44DA724B" w14:textId="77777777">
        <w:tc>
          <w:tcPr>
            <w:tcW w:w="3692" w:type="dxa"/>
            <w:tcBorders>
              <w:bottom w:val="single" w:sz="4" w:space="0" w:color="auto"/>
            </w:tcBorders>
          </w:tcPr>
          <w:p w14:paraId="4CC423FD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Grade 3 (urine protein ≥3.5 g [24 h])</w:t>
            </w:r>
          </w:p>
        </w:tc>
        <w:tc>
          <w:tcPr>
            <w:tcW w:w="5550" w:type="dxa"/>
            <w:tcBorders>
              <w:bottom w:val="single" w:sz="4" w:space="0" w:color="auto"/>
            </w:tcBorders>
          </w:tcPr>
          <w:p w14:paraId="1BA5762E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Delay delivery </w:t>
            </w:r>
          </w:p>
        </w:tc>
        <w:tc>
          <w:tcPr>
            <w:tcW w:w="4716" w:type="dxa"/>
            <w:tcBorders>
              <w:bottom w:val="single" w:sz="4" w:space="0" w:color="auto"/>
            </w:tcBorders>
          </w:tcPr>
          <w:p w14:paraId="35B39150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Reduce 1 level of dose if toxicity &lt;grade 2 within 2 weeks</w:t>
            </w:r>
          </w:p>
        </w:tc>
      </w:tr>
      <w:tr w:rsidR="00DC5192" w:rsidRPr="00154CB3" w14:paraId="44863B93" w14:textId="77777777"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0B5F84FC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Decreased platelet count</w:t>
            </w:r>
          </w:p>
        </w:tc>
        <w:tc>
          <w:tcPr>
            <w:tcW w:w="5550" w:type="dxa"/>
            <w:tcBorders>
              <w:top w:val="single" w:sz="4" w:space="0" w:color="auto"/>
              <w:bottom w:val="single" w:sz="4" w:space="0" w:color="auto"/>
            </w:tcBorders>
          </w:tcPr>
          <w:p w14:paraId="6A7D73F0" w14:textId="77777777" w:rsidR="00DC5192" w:rsidRPr="00154CB3" w:rsidRDefault="00DC51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6" w:type="dxa"/>
            <w:tcBorders>
              <w:top w:val="single" w:sz="4" w:space="0" w:color="auto"/>
              <w:bottom w:val="single" w:sz="4" w:space="0" w:color="auto"/>
            </w:tcBorders>
          </w:tcPr>
          <w:p w14:paraId="69D5A776" w14:textId="77777777" w:rsidR="00DC5192" w:rsidRPr="00154CB3" w:rsidRDefault="00DC51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C5192" w:rsidRPr="00154CB3" w14:paraId="11D06DF5" w14:textId="77777777">
        <w:tc>
          <w:tcPr>
            <w:tcW w:w="3692" w:type="dxa"/>
            <w:tcBorders>
              <w:top w:val="single" w:sz="4" w:space="0" w:color="auto"/>
            </w:tcBorders>
          </w:tcPr>
          <w:p w14:paraId="6CA84AD8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Grade 1 (75×10</w:t>
            </w: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9</w:t>
            </w: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/L≤platelet count&lt;100×10</w:t>
            </w: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9</w:t>
            </w: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/L)</w:t>
            </w:r>
          </w:p>
        </w:tc>
        <w:tc>
          <w:tcPr>
            <w:tcW w:w="5550" w:type="dxa"/>
            <w:tcBorders>
              <w:top w:val="single" w:sz="4" w:space="0" w:color="auto"/>
            </w:tcBorders>
          </w:tcPr>
          <w:p w14:paraId="0F4C3583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Delay delivery</w:t>
            </w:r>
          </w:p>
        </w:tc>
        <w:tc>
          <w:tcPr>
            <w:tcW w:w="4716" w:type="dxa"/>
            <w:tcBorders>
              <w:top w:val="single" w:sz="4" w:space="0" w:color="auto"/>
            </w:tcBorders>
          </w:tcPr>
          <w:p w14:paraId="79AD8B93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Initial dose if the platelet count returned to baseline or normal values</w:t>
            </w:r>
          </w:p>
        </w:tc>
      </w:tr>
      <w:tr w:rsidR="00DC5192" w:rsidRPr="00154CB3" w14:paraId="3C7E6840" w14:textId="77777777">
        <w:tc>
          <w:tcPr>
            <w:tcW w:w="3692" w:type="dxa"/>
          </w:tcPr>
          <w:p w14:paraId="041704AF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Grade 2 (50×10</w:t>
            </w: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9</w:t>
            </w: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/L≤platelet count&lt;75×10</w:t>
            </w: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9</w:t>
            </w: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/L)</w:t>
            </w:r>
          </w:p>
        </w:tc>
        <w:tc>
          <w:tcPr>
            <w:tcW w:w="5550" w:type="dxa"/>
          </w:tcPr>
          <w:p w14:paraId="021B554A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Delay delivery</w:t>
            </w:r>
          </w:p>
        </w:tc>
        <w:tc>
          <w:tcPr>
            <w:tcW w:w="4716" w:type="dxa"/>
          </w:tcPr>
          <w:p w14:paraId="6DA3B5B2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Initial dose if the platelet count returned to baseline or normal values within 1 week; otherwise, reduce 1 level of dose</w:t>
            </w:r>
          </w:p>
        </w:tc>
      </w:tr>
      <w:tr w:rsidR="00DC5192" w:rsidRPr="00154CB3" w14:paraId="6331B8B7" w14:textId="77777777">
        <w:tc>
          <w:tcPr>
            <w:tcW w:w="3692" w:type="dxa"/>
          </w:tcPr>
          <w:p w14:paraId="58723019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Grade 3 (25×10</w:t>
            </w: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9</w:t>
            </w: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/L≤platelet count&lt;50×10</w:t>
            </w: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9</w:t>
            </w: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/L)</w:t>
            </w:r>
          </w:p>
        </w:tc>
        <w:tc>
          <w:tcPr>
            <w:tcW w:w="5550" w:type="dxa"/>
          </w:tcPr>
          <w:p w14:paraId="2FAC088C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Delay delivery</w:t>
            </w:r>
          </w:p>
        </w:tc>
        <w:tc>
          <w:tcPr>
            <w:tcW w:w="4716" w:type="dxa"/>
          </w:tcPr>
          <w:p w14:paraId="75D0B80D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Reduce 1 level of dose if the platelet count returned to baseline or normal values within 2 weeks</w:t>
            </w:r>
          </w:p>
        </w:tc>
      </w:tr>
      <w:tr w:rsidR="00DC5192" w:rsidRPr="00154CB3" w14:paraId="6613E685" w14:textId="77777777">
        <w:tc>
          <w:tcPr>
            <w:tcW w:w="3692" w:type="dxa"/>
            <w:tcBorders>
              <w:bottom w:val="single" w:sz="4" w:space="0" w:color="auto"/>
            </w:tcBorders>
          </w:tcPr>
          <w:p w14:paraId="05883733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Grade 4 (platelet count&lt;25×10</w:t>
            </w: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9</w:t>
            </w: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/L)</w:t>
            </w:r>
          </w:p>
        </w:tc>
        <w:tc>
          <w:tcPr>
            <w:tcW w:w="5550" w:type="dxa"/>
            <w:tcBorders>
              <w:bottom w:val="single" w:sz="4" w:space="0" w:color="auto"/>
            </w:tcBorders>
          </w:tcPr>
          <w:p w14:paraId="55BA5686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Discontinuation</w:t>
            </w:r>
          </w:p>
        </w:tc>
        <w:tc>
          <w:tcPr>
            <w:tcW w:w="4716" w:type="dxa"/>
            <w:tcBorders>
              <w:bottom w:val="single" w:sz="4" w:space="0" w:color="auto"/>
            </w:tcBorders>
          </w:tcPr>
          <w:p w14:paraId="689638F4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Discontinuation </w:t>
            </w:r>
          </w:p>
        </w:tc>
        <w:bookmarkStart w:id="0" w:name="_GoBack"/>
        <w:bookmarkEnd w:id="0"/>
      </w:tr>
      <w:tr w:rsidR="00DC5192" w:rsidRPr="00154CB3" w14:paraId="72CA3A9A" w14:textId="77777777"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247F5C27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Bleeding</w:t>
            </w:r>
          </w:p>
        </w:tc>
        <w:tc>
          <w:tcPr>
            <w:tcW w:w="5550" w:type="dxa"/>
            <w:tcBorders>
              <w:top w:val="single" w:sz="4" w:space="0" w:color="auto"/>
              <w:bottom w:val="single" w:sz="4" w:space="0" w:color="auto"/>
            </w:tcBorders>
          </w:tcPr>
          <w:p w14:paraId="44FF03DB" w14:textId="77777777" w:rsidR="00DC5192" w:rsidRPr="00154CB3" w:rsidRDefault="00DC51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6" w:type="dxa"/>
            <w:tcBorders>
              <w:top w:val="single" w:sz="4" w:space="0" w:color="auto"/>
              <w:bottom w:val="single" w:sz="4" w:space="0" w:color="auto"/>
            </w:tcBorders>
          </w:tcPr>
          <w:p w14:paraId="0643D189" w14:textId="77777777" w:rsidR="00DC5192" w:rsidRPr="00154CB3" w:rsidRDefault="00DC51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C5192" w:rsidRPr="00154CB3" w14:paraId="03250A6E" w14:textId="77777777">
        <w:tc>
          <w:tcPr>
            <w:tcW w:w="3692" w:type="dxa"/>
            <w:tcBorders>
              <w:top w:val="single" w:sz="4" w:space="0" w:color="auto"/>
            </w:tcBorders>
          </w:tcPr>
          <w:p w14:paraId="53370ADF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Grade 1</w:t>
            </w:r>
          </w:p>
        </w:tc>
        <w:tc>
          <w:tcPr>
            <w:tcW w:w="5550" w:type="dxa"/>
            <w:tcBorders>
              <w:top w:val="single" w:sz="4" w:space="0" w:color="auto"/>
            </w:tcBorders>
          </w:tcPr>
          <w:p w14:paraId="01A900A1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On-time delivery</w:t>
            </w:r>
          </w:p>
        </w:tc>
        <w:tc>
          <w:tcPr>
            <w:tcW w:w="4716" w:type="dxa"/>
            <w:tcBorders>
              <w:top w:val="single" w:sz="4" w:space="0" w:color="auto"/>
            </w:tcBorders>
          </w:tcPr>
          <w:p w14:paraId="4B89DE61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Initial dose</w:t>
            </w:r>
          </w:p>
        </w:tc>
      </w:tr>
      <w:tr w:rsidR="00DC5192" w:rsidRPr="00154CB3" w14:paraId="18154FFE" w14:textId="77777777">
        <w:tc>
          <w:tcPr>
            <w:tcW w:w="3692" w:type="dxa"/>
          </w:tcPr>
          <w:p w14:paraId="3F0DDF13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Grade 2</w:t>
            </w:r>
          </w:p>
        </w:tc>
        <w:tc>
          <w:tcPr>
            <w:tcW w:w="5550" w:type="dxa"/>
          </w:tcPr>
          <w:p w14:paraId="1233AFD4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Delay delivery </w:t>
            </w:r>
          </w:p>
        </w:tc>
        <w:tc>
          <w:tcPr>
            <w:tcW w:w="4716" w:type="dxa"/>
          </w:tcPr>
          <w:p w14:paraId="63ED0CEA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Reduce 1 level of dose if toxicity &lt;grade 2 within 2 weeks</w:t>
            </w:r>
          </w:p>
        </w:tc>
      </w:tr>
      <w:tr w:rsidR="00DC5192" w:rsidRPr="00154CB3" w14:paraId="217B17E1" w14:textId="77777777">
        <w:tc>
          <w:tcPr>
            <w:tcW w:w="3692" w:type="dxa"/>
          </w:tcPr>
          <w:p w14:paraId="04AA74BB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≥Grade 3</w:t>
            </w:r>
          </w:p>
        </w:tc>
        <w:tc>
          <w:tcPr>
            <w:tcW w:w="5550" w:type="dxa"/>
          </w:tcPr>
          <w:p w14:paraId="1A4CD8EB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Discontinuation</w:t>
            </w:r>
          </w:p>
        </w:tc>
        <w:tc>
          <w:tcPr>
            <w:tcW w:w="4716" w:type="dxa"/>
          </w:tcPr>
          <w:p w14:paraId="112A5E94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Discontinuation</w:t>
            </w:r>
          </w:p>
        </w:tc>
      </w:tr>
    </w:tbl>
    <w:p w14:paraId="0A4FCA7D" w14:textId="77777777" w:rsidR="00DC5192" w:rsidRPr="00154CB3" w:rsidRDefault="00D20492">
      <w:pPr>
        <w:widowControl/>
        <w:spacing w:line="360" w:lineRule="auto"/>
        <w:jc w:val="left"/>
        <w:rPr>
          <w:rFonts w:ascii="Times New Roman" w:eastAsia="DengXian" w:hAnsi="Times New Roman" w:cs="Times New Roman"/>
          <w:kern w:val="0"/>
          <w:sz w:val="20"/>
          <w:szCs w:val="20"/>
          <w:lang w:val="it-IT" w:eastAsia="en-US"/>
          <w14:ligatures w14:val="none"/>
        </w:rPr>
      </w:pPr>
      <w:r w:rsidRPr="00154CB3">
        <w:rPr>
          <w:rFonts w:ascii="Times New Roman" w:eastAsia="DengXian" w:hAnsi="Times New Roman" w:cs="Times New Roman"/>
          <w:kern w:val="0"/>
          <w:sz w:val="20"/>
          <w:szCs w:val="20"/>
          <w:lang w:val="it-IT" w:eastAsia="en-US"/>
          <w14:ligatures w14:val="none"/>
        </w:rPr>
        <w:t>Abbreviations: ALT=alanine aminotransferase, AST=aspartate transaminase</w:t>
      </w:r>
    </w:p>
    <w:p w14:paraId="3217D648" w14:textId="77777777" w:rsidR="00DC5192" w:rsidRPr="00154CB3" w:rsidRDefault="00D20492">
      <w:pPr>
        <w:widowControl/>
        <w:spacing w:line="360" w:lineRule="auto"/>
        <w:jc w:val="left"/>
        <w:rPr>
          <w:rFonts w:ascii="Times New Roman" w:eastAsia="DengXian" w:hAnsi="Times New Roman" w:cs="Times New Roman"/>
          <w:b/>
          <w:bCs/>
          <w:kern w:val="0"/>
          <w:sz w:val="20"/>
          <w:szCs w:val="20"/>
          <w:lang w:val="it-IT" w:eastAsia="en-US"/>
          <w14:ligatures w14:val="none"/>
        </w:rPr>
      </w:pPr>
      <w:r w:rsidRPr="00154CB3">
        <w:rPr>
          <w:rFonts w:ascii="Times New Roman" w:eastAsia="DengXian" w:hAnsi="Times New Roman" w:cs="Times New Roman"/>
          <w:b/>
          <w:bCs/>
          <w:kern w:val="0"/>
          <w:sz w:val="20"/>
          <w:szCs w:val="20"/>
          <w:lang w:val="it-IT" w:eastAsia="en-US"/>
          <w14:ligatures w14:val="none"/>
        </w:rPr>
        <w:br w:type="page"/>
      </w:r>
    </w:p>
    <w:p w14:paraId="57845CD3" w14:textId="77777777" w:rsidR="00DC5192" w:rsidRPr="00154CB3" w:rsidRDefault="00D20492">
      <w:pPr>
        <w:keepNext/>
        <w:keepLines/>
        <w:spacing w:line="360" w:lineRule="auto"/>
        <w:outlineLvl w:val="0"/>
        <w:rPr>
          <w:rFonts w:ascii="Times New Roman" w:eastAsia="DengXian" w:hAnsi="Times New Roman" w:cs="Times New Roman"/>
          <w:b/>
          <w:bCs/>
          <w:kern w:val="44"/>
          <w:sz w:val="20"/>
          <w:szCs w:val="20"/>
          <w14:ligatures w14:val="none"/>
        </w:rPr>
      </w:pPr>
      <w:r w:rsidRPr="00154CB3">
        <w:rPr>
          <w:rFonts w:ascii="Times New Roman" w:eastAsia="DengXian" w:hAnsi="Times New Roman" w:cs="Times New Roman"/>
          <w:b/>
          <w:bCs/>
          <w:kern w:val="44"/>
          <w:sz w:val="20"/>
          <w:szCs w:val="20"/>
          <w14:ligatures w14:val="none"/>
        </w:rPr>
        <w:t>Supplementary Table S3. Patients who achieved DFS of more than 36 months (n=4)</w:t>
      </w:r>
    </w:p>
    <w:tbl>
      <w:tblPr>
        <w:tblW w:w="12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843"/>
        <w:gridCol w:w="1842"/>
        <w:gridCol w:w="1782"/>
        <w:gridCol w:w="1620"/>
      </w:tblGrid>
      <w:tr w:rsidR="00DC5192" w:rsidRPr="00154CB3" w14:paraId="0C989DC0" w14:textId="77777777"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DBF97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Baseline characteristics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BDC6C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Case 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A3E988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 xml:space="preserve">Case </w:t>
            </w: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2FF7E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 xml:space="preserve">Case </w:t>
            </w: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504CA0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 xml:space="preserve">Case </w:t>
            </w: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DC5192" w:rsidRPr="00154CB3" w14:paraId="1454CB8E" w14:textId="77777777"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E87988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Age (years)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8B4BBE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E5A319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61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AEBF36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58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EA5F3F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4</w:t>
            </w: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DC5192" w:rsidRPr="00154CB3" w14:paraId="378A7AEE" w14:textId="77777777">
        <w:trPr>
          <w:trHeight w:val="3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411CDFF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Sex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A186716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Male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5377A5A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Male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1C5DB3DA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Male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1C96DEA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</w:t>
            </w: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ale</w:t>
            </w:r>
          </w:p>
        </w:tc>
      </w:tr>
      <w:tr w:rsidR="00DC5192" w:rsidRPr="00154CB3" w14:paraId="5891E60E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69ADCE5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ECOG PS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E190E44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2450EB5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5E5224F2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0604709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0</w:t>
            </w:r>
          </w:p>
        </w:tc>
      </w:tr>
      <w:tr w:rsidR="00DC5192" w:rsidRPr="00154CB3" w14:paraId="7012A766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033935B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Preoperative intrahepatic tumor size (cm)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5A8F5F6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2.5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DF0810F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4E93FA1C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DEEDFF6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DC5192" w:rsidRPr="00154CB3" w14:paraId="04508BF5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6ACD564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Preoperative intrahepatic tumor number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F830F01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1E3839C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703CE763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B85BA7F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DC5192" w:rsidRPr="00154CB3" w14:paraId="1121EFFF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115E62F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Microvascular invasion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2C6B0B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M1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3137A43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No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3D461A15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M2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56364E1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M1</w:t>
            </w:r>
          </w:p>
        </w:tc>
      </w:tr>
      <w:tr w:rsidR="00DC5192" w:rsidRPr="00154CB3" w14:paraId="6CD3092A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E00BE76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Portal vein tumor thrombus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9790E1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Absence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A9DE3AE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Absence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363438D1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Absence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C748305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Absence</w:t>
            </w:r>
          </w:p>
        </w:tc>
      </w:tr>
      <w:tr w:rsidR="00DC5192" w:rsidRPr="00154CB3" w14:paraId="3578DED3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71392DB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Child-Pugh score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F5CC7A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A5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4B233F9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A6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63808E27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A5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5DA5EEF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A5</w:t>
            </w:r>
          </w:p>
        </w:tc>
      </w:tr>
      <w:tr w:rsidR="00DC5192" w:rsidRPr="00154CB3" w14:paraId="41AC7056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90922FC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BCLC stage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E9011AF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8035565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A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22EFD00C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50D135B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B</w:t>
            </w:r>
          </w:p>
        </w:tc>
      </w:tr>
      <w:tr w:rsidR="00DC5192" w:rsidRPr="00154CB3" w14:paraId="24C64359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F5E6AC3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CNLC stage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327450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EA4E0C1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Ia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664F0EB9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IIa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1F4BB68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I</w:t>
            </w: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</w:t>
            </w: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a</w:t>
            </w:r>
          </w:p>
        </w:tc>
      </w:tr>
      <w:tr w:rsidR="00DC5192" w:rsidRPr="00154CB3" w14:paraId="3E0F83D5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5127A82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Alpha-fetoprotein (ng/mL)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0F2C185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1.59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BF6BB32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1.5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537849A0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4.38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8AD5E82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4.88</w:t>
            </w:r>
          </w:p>
        </w:tc>
      </w:tr>
      <w:tr w:rsidR="00DC5192" w:rsidRPr="00154CB3" w14:paraId="123D4F63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4415DB7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HBV infection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AB51F6F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Positive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18392CE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Positive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0FA3CC7E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Positive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9E8C795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it-IT" w:eastAsia="en-US"/>
                <w14:ligatures w14:val="none"/>
              </w:rPr>
              <w:t>Positive</w:t>
            </w:r>
          </w:p>
        </w:tc>
      </w:tr>
      <w:tr w:rsidR="00DC5192" w:rsidRPr="00154CB3" w14:paraId="08F8C2BF" w14:textId="77777777"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B3B8A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it-IT" w:eastAsia="en-US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it-IT" w:eastAsia="en-US"/>
                <w14:ligatures w14:val="none"/>
              </w:rPr>
              <w:t>DFS (months)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80E47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43.0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D877E8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42.6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CEF60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40.9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F80587" w14:textId="77777777" w:rsidR="00DC5192" w:rsidRPr="00154CB3" w:rsidRDefault="00D204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54CB3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37.3</w:t>
            </w:r>
          </w:p>
        </w:tc>
      </w:tr>
    </w:tbl>
    <w:p w14:paraId="4A53BD6D" w14:textId="77777777" w:rsidR="00DC5192" w:rsidRPr="00154CB3" w:rsidRDefault="00D20492">
      <w:pPr>
        <w:widowControl/>
        <w:spacing w:line="360" w:lineRule="auto"/>
        <w:jc w:val="left"/>
        <w:rPr>
          <w:rFonts w:ascii="Times New Roman" w:eastAsia="DengXian" w:hAnsi="Times New Roman" w:cs="Times New Roman"/>
          <w:b/>
          <w:bCs/>
          <w:kern w:val="0"/>
          <w:sz w:val="20"/>
          <w:szCs w:val="20"/>
          <w:lang w:eastAsia="en-US"/>
          <w14:ligatures w14:val="none"/>
        </w:rPr>
      </w:pPr>
      <w:r w:rsidRPr="00154CB3">
        <w:rPr>
          <w:rFonts w:ascii="Times New Roman" w:eastAsia="DengXian" w:hAnsi="Times New Roman" w:cs="Times New Roman"/>
          <w:kern w:val="0"/>
          <w:sz w:val="20"/>
          <w:szCs w:val="20"/>
          <w:lang w:val="it-IT" w:eastAsia="en-US"/>
          <w14:ligatures w14:val="none"/>
        </w:rPr>
        <w:t>Abbreviations: ECOG PS=Eastern Cooperative Oncology Group Performance Score; BCLC=Barcelona Clinic Liver Cancer; CNLC=China Liver Cancer stage, HBV=hepatitis B virus, DFS=disease-free survival.</w:t>
      </w:r>
    </w:p>
    <w:p w14:paraId="0996E69A" w14:textId="77777777" w:rsidR="00DC5192" w:rsidRPr="00154CB3" w:rsidRDefault="00DC5192">
      <w:pPr>
        <w:rPr>
          <w:rFonts w:ascii="Times New Roman" w:hAnsi="Times New Roman" w:cs="Times New Roman"/>
          <w:sz w:val="20"/>
          <w:szCs w:val="20"/>
        </w:rPr>
      </w:pPr>
    </w:p>
    <w:sectPr w:rsidR="00DC5192" w:rsidRPr="00154CB3" w:rsidSect="008D0E8D">
      <w:type w:val="continuous"/>
      <w:pgSz w:w="16838" w:h="11906" w:orient="landscape"/>
      <w:pgMar w:top="101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C5A6E7" w14:textId="77777777" w:rsidR="00EA14B9" w:rsidRDefault="00EA14B9" w:rsidP="0018509A">
      <w:r>
        <w:separator/>
      </w:r>
    </w:p>
  </w:endnote>
  <w:endnote w:type="continuationSeparator" w:id="0">
    <w:p w14:paraId="5E040C5E" w14:textId="77777777" w:rsidR="00EA14B9" w:rsidRDefault="00EA14B9" w:rsidP="0018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BBC494" w14:textId="77777777" w:rsidR="00EA14B9" w:rsidRDefault="00EA14B9" w:rsidP="0018509A">
      <w:r>
        <w:separator/>
      </w:r>
    </w:p>
  </w:footnote>
  <w:footnote w:type="continuationSeparator" w:id="0">
    <w:p w14:paraId="46E373AE" w14:textId="77777777" w:rsidR="00EA14B9" w:rsidRDefault="00EA14B9" w:rsidP="001850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U0NjC0MDI0NDUxMTJS0lEKTi0uzszPAykwrgUAq4wJWiwAAAA="/>
    <w:docVar w:name="commondata" w:val="eyJoZGlkIjoiZDI0M2U4MzQxZTNmNzUxMzMwODIzOGZjNTg1MzE0MmUifQ=="/>
  </w:docVars>
  <w:rsids>
    <w:rsidRoot w:val="00011783"/>
    <w:rsid w:val="00011783"/>
    <w:rsid w:val="0012140D"/>
    <w:rsid w:val="00154CB3"/>
    <w:rsid w:val="0018509A"/>
    <w:rsid w:val="001D2717"/>
    <w:rsid w:val="00235F1B"/>
    <w:rsid w:val="00291037"/>
    <w:rsid w:val="00592C3E"/>
    <w:rsid w:val="007D020A"/>
    <w:rsid w:val="008D0E8D"/>
    <w:rsid w:val="00A11B70"/>
    <w:rsid w:val="00AF6F4C"/>
    <w:rsid w:val="00B01EF7"/>
    <w:rsid w:val="00B10A60"/>
    <w:rsid w:val="00B605EC"/>
    <w:rsid w:val="00B939E1"/>
    <w:rsid w:val="00BA416E"/>
    <w:rsid w:val="00BB628F"/>
    <w:rsid w:val="00BC76FD"/>
    <w:rsid w:val="00CE5A83"/>
    <w:rsid w:val="00D20492"/>
    <w:rsid w:val="00DC5192"/>
    <w:rsid w:val="00EA14B9"/>
    <w:rsid w:val="00F03266"/>
    <w:rsid w:val="08DF02AB"/>
    <w:rsid w:val="7A7322BD"/>
    <w:rsid w:val="7E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B73752"/>
  <w15:docId w15:val="{AD3DCCE2-D048-4FEA-A127-B3422B6B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unhideWhenUsed/>
    <w:qFormat/>
    <w:pPr>
      <w:jc w:val="left"/>
    </w:pPr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autoRedefine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autoRedefine/>
    <w:uiPriority w:val="99"/>
    <w:semiHidden/>
    <w:unhideWhenUsed/>
    <w:qFormat/>
  </w:style>
  <w:style w:type="character" w:styleId="CommentReference">
    <w:name w:val="annotation reference"/>
    <w:basedOn w:val="DefaultParagraphFont"/>
    <w:autoRedefine/>
    <w:uiPriority w:val="99"/>
    <w:semiHidden/>
    <w:unhideWhenUsed/>
    <w:qFormat/>
    <w:rPr>
      <w:sz w:val="21"/>
      <w:szCs w:val="21"/>
    </w:rPr>
  </w:style>
  <w:style w:type="table" w:customStyle="1" w:styleId="1">
    <w:name w:val="网格型1"/>
    <w:basedOn w:val="TableNormal"/>
    <w:autoRedefine/>
    <w:uiPriority w:val="39"/>
    <w:qFormat/>
    <w:rPr>
      <w:sz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kern w:val="2"/>
      <w:sz w:val="18"/>
      <w:szCs w:val="18"/>
      <w14:ligatures w14:val="standardContextual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kern w:val="2"/>
      <w:sz w:val="18"/>
      <w:szCs w:val="18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autoRedefine/>
    <w:uiPriority w:val="99"/>
    <w:qFormat/>
    <w:rPr>
      <w:kern w:val="2"/>
      <w:sz w:val="21"/>
      <w:szCs w:val="2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autoRedefine/>
    <w:uiPriority w:val="99"/>
    <w:semiHidden/>
    <w:qFormat/>
    <w:rPr>
      <w:b/>
      <w:bCs/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1478</Words>
  <Characters>8430</Characters>
  <Application>Microsoft Office Word</Application>
  <DocSecurity>0</DocSecurity>
  <Lines>70</Lines>
  <Paragraphs>19</Paragraphs>
  <ScaleCrop>false</ScaleCrop>
  <Company/>
  <LinksUpToDate>false</LinksUpToDate>
  <CharactersWithSpaces>9889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Priyanka  Ravichandran</cp:lastModifiedBy>
  <cp:revision>10</cp:revision>
  <dcterms:created xsi:type="dcterms:W3CDTF">2024-02-02T02:09:00Z</dcterms:created>
  <dcterms:modified xsi:type="dcterms:W3CDTF">2025-12-16T07:01:00Z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B2C07D93BE96456F889EEE221BE447B2_12</vt:lpwstr>
  </property>
</Properties>
</file>