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kinsoku/>
        <w:wordWrap/>
        <w:overflowPunct/>
        <w:topLinePunct w:val="0"/>
        <w:autoSpaceDE/>
        <w:autoSpaceDN/>
        <w:bidi w:val="0"/>
        <w:adjustRightInd/>
        <w:snapToGrid/>
        <w:spacing w:after="313" w:afterLines="100" w:afterAutospacing="0" w:line="480" w:lineRule="auto"/>
        <w:jc w:val="left"/>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Supplementary Tables</w:t>
      </w:r>
    </w:p>
    <w:p>
      <w:pPr>
        <w:pStyle w:val="2"/>
        <w:keepNext w:val="0"/>
        <w:keepLines w:val="0"/>
        <w:pageBreakBefore w:val="0"/>
        <w:widowControl/>
        <w:suppressLineNumbers w:val="0"/>
        <w:shd w:val="clear" w:color="auto" w:fill="FFFFFF"/>
        <w:kinsoku/>
        <w:wordWrap/>
        <w:overflowPunct/>
        <w:topLinePunct w:val="0"/>
        <w:autoSpaceDE/>
        <w:autoSpaceDN/>
        <w:bidi w:val="0"/>
        <w:adjustRightInd/>
        <w:snapToGrid/>
        <w:spacing w:before="192" w:beforeAutospacing="0" w:after="0" w:afterAutospacing="0" w:line="300" w:lineRule="exact"/>
        <w:ind w:left="0" w:right="0" w:firstLine="0" w:firstLineChars="0"/>
        <w:jc w:val="left"/>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Table S1. PRISMA 2020 Checklist.</w:t>
      </w:r>
    </w:p>
    <w:tbl>
      <w:tblPr>
        <w:tblStyle w:val="3"/>
        <w:tblW w:w="484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25"/>
        <w:gridCol w:w="566"/>
        <w:gridCol w:w="9237"/>
        <w:gridCol w:w="20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700" w:type="pct"/>
            <w:tcBorders>
              <w:top w:val="double" w:color="000000" w:sz="4" w:space="0"/>
              <w:left w:val="single" w:color="000000" w:sz="4" w:space="0"/>
              <w:bottom w:val="double" w:color="FFFFCC" w:sz="2" w:space="0"/>
              <w:right w:val="single" w:color="000000" w:sz="4" w:space="0"/>
            </w:tcBorders>
            <w:shd w:val="clear" w:color="auto" w:fill="63639A"/>
            <w:noWrap w:val="0"/>
            <w:vAlign w:val="center"/>
          </w:tcPr>
          <w:p>
            <w:pPr>
              <w:widowControl w:val="0"/>
              <w:autoSpaceDE w:val="0"/>
              <w:autoSpaceDN w:val="0"/>
              <w:adjustRightInd w:val="0"/>
              <w:rPr>
                <w:rFonts w:hint="default" w:ascii="Times New Roman" w:hAnsi="Times New Roman" w:cs="Times New Roman"/>
                <w:color w:val="FFFFFF"/>
                <w:sz w:val="22"/>
                <w:szCs w:val="22"/>
              </w:rPr>
            </w:pPr>
            <w:r>
              <w:rPr>
                <w:rFonts w:hint="default" w:ascii="Times New Roman" w:hAnsi="Times New Roman" w:cs="Times New Roman"/>
                <w:b/>
                <w:bCs/>
                <w:color w:val="FFFFFF"/>
                <w:sz w:val="22"/>
                <w:szCs w:val="22"/>
              </w:rPr>
              <w:t xml:space="preserve">Section/topic </w:t>
            </w:r>
          </w:p>
        </w:tc>
        <w:tc>
          <w:tcPr>
            <w:tcW w:w="206" w:type="pct"/>
            <w:tcBorders>
              <w:top w:val="double" w:color="000000" w:sz="4" w:space="0"/>
              <w:left w:val="single" w:color="000000" w:sz="4" w:space="0"/>
              <w:bottom w:val="double" w:color="FFFFCC" w:sz="2" w:space="0"/>
              <w:right w:val="single" w:color="000000" w:sz="4" w:space="0"/>
            </w:tcBorders>
            <w:shd w:val="clear" w:color="auto" w:fill="63639A"/>
            <w:noWrap w:val="0"/>
            <w:vAlign w:val="center"/>
          </w:tcPr>
          <w:p>
            <w:pPr>
              <w:widowControl w:val="0"/>
              <w:autoSpaceDE w:val="0"/>
              <w:autoSpaceDN w:val="0"/>
              <w:adjustRightInd w:val="0"/>
              <w:jc w:val="right"/>
              <w:rPr>
                <w:rFonts w:hint="default" w:ascii="Times New Roman" w:hAnsi="Times New Roman" w:cs="Times New Roman"/>
                <w:b/>
                <w:bCs/>
                <w:color w:val="FFFFFF"/>
                <w:sz w:val="22"/>
                <w:szCs w:val="22"/>
              </w:rPr>
            </w:pPr>
            <w:r>
              <w:rPr>
                <w:rFonts w:hint="default" w:ascii="Times New Roman" w:hAnsi="Times New Roman" w:cs="Times New Roman"/>
                <w:b/>
                <w:bCs/>
                <w:color w:val="FFFFFF"/>
                <w:sz w:val="22"/>
                <w:szCs w:val="22"/>
              </w:rPr>
              <w:t>#</w:t>
            </w:r>
          </w:p>
        </w:tc>
        <w:tc>
          <w:tcPr>
            <w:tcW w:w="3363" w:type="pct"/>
            <w:tcBorders>
              <w:top w:val="double" w:color="000000" w:sz="4" w:space="0"/>
              <w:left w:val="single" w:color="000000" w:sz="4" w:space="0"/>
              <w:bottom w:val="double" w:color="000000" w:sz="4" w:space="0"/>
              <w:right w:val="single" w:color="000000" w:sz="4" w:space="0"/>
            </w:tcBorders>
            <w:shd w:val="clear" w:color="auto" w:fill="63639A"/>
            <w:noWrap w:val="0"/>
            <w:vAlign w:val="center"/>
          </w:tcPr>
          <w:p>
            <w:pPr>
              <w:widowControl w:val="0"/>
              <w:autoSpaceDE w:val="0"/>
              <w:autoSpaceDN w:val="0"/>
              <w:adjustRightInd w:val="0"/>
              <w:rPr>
                <w:rFonts w:hint="default" w:ascii="Times New Roman" w:hAnsi="Times New Roman" w:cs="Times New Roman"/>
                <w:color w:val="FFFFFF"/>
                <w:sz w:val="22"/>
                <w:szCs w:val="22"/>
              </w:rPr>
            </w:pPr>
            <w:r>
              <w:rPr>
                <w:rFonts w:hint="default" w:ascii="Times New Roman" w:hAnsi="Times New Roman" w:cs="Times New Roman"/>
                <w:b/>
                <w:bCs/>
                <w:color w:val="FFFFFF"/>
                <w:sz w:val="22"/>
                <w:szCs w:val="22"/>
              </w:rPr>
              <w:t xml:space="preserve">Checklist item </w:t>
            </w:r>
          </w:p>
        </w:tc>
        <w:tc>
          <w:tcPr>
            <w:tcW w:w="728" w:type="pct"/>
            <w:tcBorders>
              <w:top w:val="double" w:color="000000" w:sz="4" w:space="0"/>
              <w:left w:val="single" w:color="000000" w:sz="4" w:space="0"/>
              <w:bottom w:val="double" w:color="000000" w:sz="4" w:space="0"/>
              <w:right w:val="single" w:color="000000" w:sz="4" w:space="0"/>
            </w:tcBorders>
            <w:shd w:val="clear" w:color="auto" w:fill="63639A"/>
            <w:noWrap w:val="0"/>
            <w:vAlign w:val="center"/>
          </w:tcPr>
          <w:p>
            <w:pPr>
              <w:widowControl w:val="0"/>
              <w:autoSpaceDE w:val="0"/>
              <w:autoSpaceDN w:val="0"/>
              <w:adjustRightInd w:val="0"/>
              <w:rPr>
                <w:rFonts w:hint="default" w:ascii="Times New Roman" w:hAnsi="Times New Roman" w:cs="Times New Roman"/>
                <w:color w:val="FFFFFF"/>
                <w:sz w:val="22"/>
                <w:szCs w:val="22"/>
              </w:rPr>
            </w:pPr>
            <w:r>
              <w:rPr>
                <w:rFonts w:hint="default" w:ascii="Times New Roman" w:hAnsi="Times New Roman" w:cs="Times New Roman"/>
                <w:b/>
                <w:bCs/>
                <w:color w:val="FFFFFF"/>
                <w:sz w:val="22"/>
                <w:szCs w:val="22"/>
              </w:rPr>
              <w:t>Reported on page</w:t>
            </w:r>
            <w:r>
              <w:rPr>
                <w:rFonts w:hint="default" w:ascii="Times New Roman" w:hAnsi="Times New Roman" w:cs="Times New Roman"/>
                <w:b/>
                <w:bCs/>
                <w:color w:val="FFFFFF"/>
                <w:sz w:val="22"/>
                <w:szCs w:val="22"/>
                <w:lang w:val="en-US" w:eastAsia="zh-CN"/>
              </w:rPr>
              <w:t xml:space="preserve"> </w:t>
            </w:r>
            <w:r>
              <w:rPr>
                <w:rFonts w:hint="default" w:ascii="Times New Roman" w:hAnsi="Times New Roman" w:cs="Times New Roman"/>
                <w:b/>
                <w:bCs/>
                <w:color w:val="FFFFFF"/>
                <w:sz w:val="22"/>
                <w:szCs w:val="22"/>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4271" w:type="pct"/>
            <w:gridSpan w:val="3"/>
            <w:tcBorders>
              <w:top w:val="double" w:color="000000" w:sz="4" w:space="0"/>
              <w:left w:val="single" w:color="000000" w:sz="4" w:space="0"/>
              <w:bottom w:val="single" w:color="000000" w:sz="4" w:space="0"/>
              <w:right w:val="single" w:color="000000" w:sz="4" w:space="0"/>
            </w:tcBorders>
            <w:shd w:val="clear" w:color="auto" w:fill="FFFFCC"/>
            <w:noWrap w:val="0"/>
            <w:vAlign w:val="center"/>
          </w:tcPr>
          <w:p>
            <w:pPr>
              <w:widowControl w:val="0"/>
              <w:autoSpaceDE w:val="0"/>
              <w:autoSpaceDN w:val="0"/>
              <w:adjustRightInd w:val="0"/>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TITLE </w:t>
            </w:r>
          </w:p>
        </w:tc>
        <w:tc>
          <w:tcPr>
            <w:tcW w:w="728" w:type="pct"/>
            <w:tcBorders>
              <w:top w:val="double" w:color="000000" w:sz="4" w:space="0"/>
              <w:left w:val="single" w:color="000000" w:sz="4" w:space="0"/>
              <w:bottom w:val="single" w:color="000000" w:sz="4" w:space="0"/>
              <w:right w:val="single" w:color="000000" w:sz="4" w:space="0"/>
            </w:tcBorders>
            <w:shd w:val="clear" w:color="auto" w:fill="FFFFCC"/>
            <w:noWrap w:val="0"/>
            <w:vAlign w:val="top"/>
          </w:tcPr>
          <w:p>
            <w:pPr>
              <w:widowControl w:val="0"/>
              <w:autoSpaceDE w:val="0"/>
              <w:autoSpaceDN w:val="0"/>
              <w:adjustRightInd w:val="0"/>
              <w:jc w:val="right"/>
              <w:rPr>
                <w:rFonts w:hint="default" w:ascii="Times New Roman" w:hAnsi="Times New Roman"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700" w:type="pct"/>
            <w:tcBorders>
              <w:top w:val="single" w:color="000000" w:sz="4" w:space="0"/>
              <w:left w:val="single" w:color="000000" w:sz="4" w:space="0"/>
              <w:bottom w:val="double" w:color="FFFFCC" w:sz="2"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Title </w:t>
            </w:r>
          </w:p>
        </w:tc>
        <w:tc>
          <w:tcPr>
            <w:tcW w:w="206" w:type="pct"/>
            <w:tcBorders>
              <w:top w:val="single" w:color="000000" w:sz="4" w:space="0"/>
              <w:left w:val="single" w:color="000000" w:sz="4" w:space="0"/>
              <w:bottom w:val="double" w:color="FFFFCC" w:sz="2" w:space="0"/>
              <w:right w:val="single" w:color="000000" w:sz="4" w:space="0"/>
            </w:tcBorders>
            <w:noWrap w:val="0"/>
            <w:vAlign w:val="top"/>
          </w:tcPr>
          <w:p>
            <w:pPr>
              <w:widowControl w:val="0"/>
              <w:autoSpaceDE w:val="0"/>
              <w:autoSpaceDN w:val="0"/>
              <w:adjustRightInd w:val="0"/>
              <w:spacing w:before="40" w:after="40"/>
              <w:jc w:val="righ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w:t>
            </w:r>
          </w:p>
        </w:tc>
        <w:tc>
          <w:tcPr>
            <w:tcW w:w="3363" w:type="pct"/>
            <w:tcBorders>
              <w:top w:val="single" w:color="000000" w:sz="4" w:space="0"/>
              <w:left w:val="single" w:color="000000" w:sz="4" w:space="0"/>
              <w:bottom w:val="doub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Identify the report as a systematic review, meta-analysis, or both. </w:t>
            </w:r>
          </w:p>
        </w:tc>
        <w:tc>
          <w:tcPr>
            <w:tcW w:w="2145" w:type="dxa"/>
            <w:tcBorders>
              <w:top w:val="single" w:color="000000" w:sz="4" w:space="0"/>
              <w:left w:val="single" w:color="000000" w:sz="4" w:space="0"/>
              <w:bottom w:val="double" w:color="000000" w:sz="4" w:space="0"/>
              <w:right w:val="single" w:color="000000" w:sz="4" w:space="0"/>
            </w:tcBorders>
            <w:noWrap w:val="0"/>
            <w:vAlign w:val="top"/>
          </w:tcPr>
          <w:p>
            <w:pPr>
              <w:widowControl w:val="0"/>
              <w:autoSpaceDE w:val="0"/>
              <w:autoSpaceDN w:val="0"/>
              <w:adjustRightInd w:val="0"/>
              <w:spacing w:before="40" w:after="40"/>
              <w:jc w:val="left"/>
              <w:rPr>
                <w:rFonts w:hint="default" w:ascii="Times New Roman" w:hAnsi="Times New Roman" w:eastAsia="宋体" w:cs="Times New Roman"/>
                <w:b/>
                <w:bCs/>
                <w:color w:val="auto"/>
                <w:sz w:val="20"/>
                <w:szCs w:val="20"/>
                <w:highlight w:val="none"/>
                <w:lang w:val="en-US" w:eastAsia="zh-CN" w:bidi="ar-SA"/>
              </w:rPr>
            </w:pPr>
            <w:r>
              <w:rPr>
                <w:rFonts w:hint="eastAsia" w:cs="Times New Roman"/>
                <w:b/>
                <w:bCs/>
                <w:color w:val="auto"/>
                <w:sz w:val="20"/>
                <w:szCs w:val="20"/>
                <w:highlight w:val="none"/>
                <w:lang w:val="en-US" w:eastAsia="zh-CN" w:bidi="ar-SA"/>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4271" w:type="pct"/>
            <w:gridSpan w:val="3"/>
            <w:tcBorders>
              <w:top w:val="double" w:color="000000" w:sz="4" w:space="0"/>
              <w:left w:val="single" w:color="000000" w:sz="4" w:space="0"/>
              <w:bottom w:val="single" w:color="000000" w:sz="4" w:space="0"/>
              <w:right w:val="single" w:color="000000" w:sz="4" w:space="0"/>
            </w:tcBorders>
            <w:shd w:val="clear" w:color="auto" w:fill="FFFFCC"/>
            <w:noWrap w:val="0"/>
            <w:vAlign w:val="center"/>
          </w:tcPr>
          <w:p>
            <w:pPr>
              <w:widowControl w:val="0"/>
              <w:autoSpaceDE w:val="0"/>
              <w:autoSpaceDN w:val="0"/>
              <w:adjustRightInd w:val="0"/>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ABSTRACT </w:t>
            </w:r>
          </w:p>
        </w:tc>
        <w:tc>
          <w:tcPr>
            <w:tcW w:w="2145" w:type="dxa"/>
            <w:tcBorders>
              <w:top w:val="double" w:color="000000" w:sz="4" w:space="0"/>
              <w:left w:val="single" w:color="000000" w:sz="4" w:space="0"/>
              <w:bottom w:val="single" w:color="000000" w:sz="4" w:space="0"/>
              <w:right w:val="single" w:color="000000" w:sz="4" w:space="0"/>
            </w:tcBorders>
            <w:shd w:val="clear" w:color="auto" w:fill="FFFFCC"/>
            <w:noWrap w:val="0"/>
            <w:vAlign w:val="top"/>
          </w:tcPr>
          <w:p>
            <w:pPr>
              <w:widowControl w:val="0"/>
              <w:autoSpaceDE w:val="0"/>
              <w:autoSpaceDN w:val="0"/>
              <w:adjustRightInd w:val="0"/>
              <w:jc w:val="left"/>
              <w:rPr>
                <w:rFonts w:hint="default" w:ascii="Times New Roman" w:hAnsi="Times New Roman" w:cs="Times New Roman"/>
                <w:b/>
                <w:bCs/>
                <w:color w:val="auto"/>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00" w:type="pct"/>
            <w:tcBorders>
              <w:top w:val="single" w:color="000000" w:sz="4" w:space="0"/>
              <w:left w:val="single" w:color="000000" w:sz="4" w:space="0"/>
              <w:bottom w:val="double" w:color="FFFFCC" w:sz="2"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Structured summary </w:t>
            </w:r>
          </w:p>
        </w:tc>
        <w:tc>
          <w:tcPr>
            <w:tcW w:w="206" w:type="pct"/>
            <w:tcBorders>
              <w:top w:val="single" w:color="000000" w:sz="4" w:space="0"/>
              <w:left w:val="single" w:color="000000" w:sz="4" w:space="0"/>
              <w:bottom w:val="double" w:color="FFFFCC" w:sz="2" w:space="0"/>
              <w:right w:val="single" w:color="000000" w:sz="4" w:space="0"/>
            </w:tcBorders>
            <w:noWrap w:val="0"/>
            <w:vAlign w:val="top"/>
          </w:tcPr>
          <w:p>
            <w:pPr>
              <w:widowControl w:val="0"/>
              <w:autoSpaceDE w:val="0"/>
              <w:autoSpaceDN w:val="0"/>
              <w:adjustRightInd w:val="0"/>
              <w:spacing w:before="40" w:after="40"/>
              <w:jc w:val="righ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w:t>
            </w:r>
          </w:p>
        </w:tc>
        <w:tc>
          <w:tcPr>
            <w:tcW w:w="3363" w:type="pct"/>
            <w:tcBorders>
              <w:top w:val="single" w:color="000000" w:sz="4" w:space="0"/>
              <w:left w:val="single" w:color="000000" w:sz="4" w:space="0"/>
              <w:bottom w:val="doub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2145" w:type="dxa"/>
            <w:tcBorders>
              <w:top w:val="single" w:color="000000" w:sz="4" w:space="0"/>
              <w:left w:val="single" w:color="000000" w:sz="4" w:space="0"/>
              <w:bottom w:val="double" w:color="000000" w:sz="4" w:space="0"/>
              <w:right w:val="single" w:color="000000" w:sz="4" w:space="0"/>
            </w:tcBorders>
            <w:noWrap w:val="0"/>
            <w:vAlign w:val="top"/>
          </w:tcPr>
          <w:p>
            <w:pPr>
              <w:widowControl w:val="0"/>
              <w:autoSpaceDE w:val="0"/>
              <w:autoSpaceDN w:val="0"/>
              <w:adjustRightInd w:val="0"/>
              <w:spacing w:before="40" w:after="40"/>
              <w:jc w:val="left"/>
              <w:rPr>
                <w:rFonts w:hint="default" w:ascii="Times New Roman" w:hAnsi="Times New Roman" w:eastAsia="宋体" w:cs="Times New Roman"/>
                <w:b/>
                <w:bCs/>
                <w:color w:val="auto"/>
                <w:sz w:val="20"/>
                <w:szCs w:val="20"/>
                <w:highlight w:val="none"/>
                <w:lang w:val="en-US" w:eastAsia="zh-CN" w:bidi="ar-SA"/>
              </w:rPr>
            </w:pPr>
            <w:r>
              <w:rPr>
                <w:rFonts w:hint="eastAsia" w:cs="Times New Roman"/>
                <w:b/>
                <w:bCs/>
                <w:color w:val="auto"/>
                <w:sz w:val="20"/>
                <w:szCs w:val="20"/>
                <w:highlight w:val="none"/>
                <w:lang w:val="en-US" w:eastAsia="zh-CN" w:bidi="ar-SA"/>
              </w:rPr>
              <w:t>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4271" w:type="pct"/>
            <w:gridSpan w:val="3"/>
            <w:tcBorders>
              <w:top w:val="double" w:color="000000" w:sz="4" w:space="0"/>
              <w:left w:val="single" w:color="000000" w:sz="4" w:space="0"/>
              <w:bottom w:val="single" w:color="000000" w:sz="4" w:space="0"/>
              <w:right w:val="single" w:color="000000" w:sz="4" w:space="0"/>
            </w:tcBorders>
            <w:shd w:val="clear" w:color="auto" w:fill="FFFFCC"/>
            <w:noWrap w:val="0"/>
            <w:vAlign w:val="center"/>
          </w:tcPr>
          <w:p>
            <w:pPr>
              <w:widowControl w:val="0"/>
              <w:autoSpaceDE w:val="0"/>
              <w:autoSpaceDN w:val="0"/>
              <w:adjustRightInd w:val="0"/>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INTRODUCTION </w:t>
            </w:r>
          </w:p>
        </w:tc>
        <w:tc>
          <w:tcPr>
            <w:tcW w:w="2145" w:type="dxa"/>
            <w:tcBorders>
              <w:top w:val="double" w:color="000000" w:sz="4" w:space="0"/>
              <w:left w:val="single" w:color="000000" w:sz="4" w:space="0"/>
              <w:bottom w:val="single" w:color="000000" w:sz="4" w:space="0"/>
              <w:right w:val="single" w:color="000000" w:sz="4" w:space="0"/>
            </w:tcBorders>
            <w:shd w:val="clear" w:color="auto" w:fill="FFFFCC"/>
            <w:noWrap w:val="0"/>
            <w:vAlign w:val="top"/>
          </w:tcPr>
          <w:p>
            <w:pPr>
              <w:widowControl w:val="0"/>
              <w:autoSpaceDE w:val="0"/>
              <w:autoSpaceDN w:val="0"/>
              <w:adjustRightInd w:val="0"/>
              <w:jc w:val="left"/>
              <w:rPr>
                <w:rFonts w:hint="default" w:ascii="Times New Roman" w:hAnsi="Times New Roman" w:cs="Times New Roman"/>
                <w:b/>
                <w:bCs/>
                <w:color w:val="auto"/>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trPr>
        <w:tc>
          <w:tcPr>
            <w:tcW w:w="700"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Rationale </w:t>
            </w:r>
          </w:p>
        </w:tc>
        <w:tc>
          <w:tcPr>
            <w:tcW w:w="206"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righ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3</w:t>
            </w:r>
          </w:p>
        </w:tc>
        <w:tc>
          <w:tcPr>
            <w:tcW w:w="3363"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Describe the rationale for the review in the context of what is already known. </w:t>
            </w:r>
          </w:p>
        </w:tc>
        <w:tc>
          <w:tcPr>
            <w:tcW w:w="2145" w:type="dxa"/>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left"/>
              <w:rPr>
                <w:rFonts w:hint="default" w:ascii="Times New Roman" w:hAnsi="Times New Roman" w:eastAsia="宋体" w:cs="Times New Roman"/>
                <w:b/>
                <w:bCs/>
                <w:color w:val="auto"/>
                <w:sz w:val="20"/>
                <w:szCs w:val="20"/>
                <w:highlight w:val="none"/>
                <w:lang w:val="en-US" w:eastAsia="zh-CN" w:bidi="ar-SA"/>
              </w:rPr>
            </w:pPr>
            <w:r>
              <w:rPr>
                <w:rFonts w:hint="eastAsia" w:cs="Times New Roman"/>
                <w:b/>
                <w:bCs/>
                <w:color w:val="auto"/>
                <w:sz w:val="20"/>
                <w:szCs w:val="20"/>
                <w:highlight w:val="none"/>
                <w:lang w:val="en-US" w:eastAsia="zh-CN" w:bidi="ar-SA"/>
              </w:rPr>
              <w:t>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700" w:type="pct"/>
            <w:tcBorders>
              <w:top w:val="single" w:color="000000" w:sz="4" w:space="0"/>
              <w:left w:val="single" w:color="000000" w:sz="4" w:space="0"/>
              <w:bottom w:val="double" w:color="FFFFCC" w:sz="2"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Objectives </w:t>
            </w:r>
          </w:p>
        </w:tc>
        <w:tc>
          <w:tcPr>
            <w:tcW w:w="206" w:type="pct"/>
            <w:tcBorders>
              <w:top w:val="single" w:color="000000" w:sz="4" w:space="0"/>
              <w:left w:val="single" w:color="000000" w:sz="4" w:space="0"/>
              <w:bottom w:val="double" w:color="FFFFCC" w:sz="2" w:space="0"/>
              <w:right w:val="single" w:color="000000" w:sz="4" w:space="0"/>
            </w:tcBorders>
            <w:noWrap w:val="0"/>
            <w:vAlign w:val="top"/>
          </w:tcPr>
          <w:p>
            <w:pPr>
              <w:widowControl w:val="0"/>
              <w:autoSpaceDE w:val="0"/>
              <w:autoSpaceDN w:val="0"/>
              <w:adjustRightInd w:val="0"/>
              <w:spacing w:before="40" w:after="40"/>
              <w:jc w:val="righ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w:t>
            </w:r>
          </w:p>
        </w:tc>
        <w:tc>
          <w:tcPr>
            <w:tcW w:w="3363" w:type="pct"/>
            <w:tcBorders>
              <w:top w:val="single" w:color="000000" w:sz="4" w:space="0"/>
              <w:left w:val="single" w:color="000000" w:sz="4" w:space="0"/>
              <w:bottom w:val="doub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Provide an explicit statement of questions being addressed with reference to participants, interventions, comparisons, outcomes, and study design (PICOS). </w:t>
            </w:r>
          </w:p>
        </w:tc>
        <w:tc>
          <w:tcPr>
            <w:tcW w:w="2145" w:type="dxa"/>
            <w:tcBorders>
              <w:top w:val="single" w:color="000000" w:sz="4" w:space="0"/>
              <w:left w:val="single" w:color="000000" w:sz="4" w:space="0"/>
              <w:bottom w:val="double" w:color="000000" w:sz="4" w:space="0"/>
              <w:right w:val="single" w:color="000000" w:sz="4" w:space="0"/>
            </w:tcBorders>
            <w:noWrap w:val="0"/>
            <w:vAlign w:val="top"/>
          </w:tcPr>
          <w:p>
            <w:pPr>
              <w:widowControl w:val="0"/>
              <w:autoSpaceDE w:val="0"/>
              <w:autoSpaceDN w:val="0"/>
              <w:adjustRightInd w:val="0"/>
              <w:spacing w:before="40" w:after="40"/>
              <w:jc w:val="left"/>
              <w:rPr>
                <w:rFonts w:hint="default" w:ascii="Times New Roman" w:hAnsi="Times New Roman" w:eastAsia="宋体" w:cs="Times New Roman"/>
                <w:b/>
                <w:bCs/>
                <w:color w:val="auto"/>
                <w:sz w:val="20"/>
                <w:szCs w:val="20"/>
                <w:highlight w:val="none"/>
                <w:lang w:val="en-US" w:eastAsia="zh-CN" w:bidi="ar-SA"/>
              </w:rPr>
            </w:pPr>
            <w:r>
              <w:rPr>
                <w:rFonts w:hint="eastAsia" w:cs="Times New Roman"/>
                <w:b/>
                <w:bCs/>
                <w:color w:val="auto"/>
                <w:sz w:val="20"/>
                <w:szCs w:val="20"/>
                <w:highlight w:val="none"/>
                <w:lang w:val="en-US" w:eastAsia="zh-CN" w:bidi="ar-SA"/>
              </w:rPr>
              <w:t>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4271" w:type="pct"/>
            <w:gridSpan w:val="3"/>
            <w:tcBorders>
              <w:top w:val="double" w:color="000000" w:sz="4" w:space="0"/>
              <w:left w:val="single" w:color="000000" w:sz="4" w:space="0"/>
              <w:bottom w:val="single" w:color="000000" w:sz="4" w:space="0"/>
              <w:right w:val="single" w:color="000000" w:sz="4" w:space="0"/>
            </w:tcBorders>
            <w:shd w:val="clear" w:color="auto" w:fill="FFFFCC"/>
            <w:noWrap w:val="0"/>
            <w:vAlign w:val="center"/>
          </w:tcPr>
          <w:p>
            <w:pPr>
              <w:widowControl w:val="0"/>
              <w:autoSpaceDE w:val="0"/>
              <w:autoSpaceDN w:val="0"/>
              <w:adjustRightInd w:val="0"/>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METHODS </w:t>
            </w:r>
          </w:p>
        </w:tc>
        <w:tc>
          <w:tcPr>
            <w:tcW w:w="2145" w:type="dxa"/>
            <w:tcBorders>
              <w:top w:val="double" w:color="000000" w:sz="4" w:space="0"/>
              <w:left w:val="single" w:color="000000" w:sz="4" w:space="0"/>
              <w:bottom w:val="single" w:color="000000" w:sz="4" w:space="0"/>
              <w:right w:val="single" w:color="000000" w:sz="4" w:space="0"/>
            </w:tcBorders>
            <w:shd w:val="clear" w:color="auto" w:fill="FFFFCC"/>
            <w:noWrap w:val="0"/>
            <w:vAlign w:val="top"/>
          </w:tcPr>
          <w:p>
            <w:pPr>
              <w:widowControl w:val="0"/>
              <w:autoSpaceDE w:val="0"/>
              <w:autoSpaceDN w:val="0"/>
              <w:adjustRightInd w:val="0"/>
              <w:jc w:val="left"/>
              <w:rPr>
                <w:rFonts w:hint="default" w:ascii="Times New Roman" w:hAnsi="Times New Roman" w:cs="Times New Roman"/>
                <w:b/>
                <w:bCs/>
                <w:color w:val="auto"/>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700"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Protocol and registration </w:t>
            </w:r>
          </w:p>
        </w:tc>
        <w:tc>
          <w:tcPr>
            <w:tcW w:w="206"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righ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5</w:t>
            </w:r>
          </w:p>
        </w:tc>
        <w:tc>
          <w:tcPr>
            <w:tcW w:w="3363"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Indicate if a review protocol exists, if and where it can be accessed (e.g., Web address), and, if available, provide registration information including registration number. </w:t>
            </w:r>
          </w:p>
        </w:tc>
        <w:tc>
          <w:tcPr>
            <w:tcW w:w="2145" w:type="dxa"/>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left"/>
              <w:rPr>
                <w:rFonts w:hint="default" w:ascii="Times New Roman" w:hAnsi="Times New Roman" w:eastAsia="宋体" w:cs="Times New Roman"/>
                <w:b/>
                <w:bCs/>
                <w:color w:val="auto"/>
                <w:sz w:val="20"/>
                <w:szCs w:val="20"/>
                <w:highlight w:val="none"/>
                <w:lang w:val="en-US" w:eastAsia="zh-CN" w:bidi="ar-SA"/>
              </w:rPr>
            </w:pPr>
            <w:r>
              <w:rPr>
                <w:rFonts w:hint="eastAsia" w:cs="Times New Roman"/>
                <w:b/>
                <w:bCs/>
                <w:color w:val="auto"/>
                <w:sz w:val="20"/>
                <w:szCs w:val="20"/>
                <w:highlight w:val="none"/>
                <w:lang w:val="en-US" w:eastAsia="zh-CN" w:bidi="ar-SA"/>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700"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Eligibility criteria </w:t>
            </w:r>
          </w:p>
        </w:tc>
        <w:tc>
          <w:tcPr>
            <w:tcW w:w="206"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righ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6</w:t>
            </w:r>
          </w:p>
        </w:tc>
        <w:tc>
          <w:tcPr>
            <w:tcW w:w="3363"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Specify study characteristics (e.g., PICOS, length of follow-up) and report characteristics (e.g., years considered, language, publication status) used as criteria for eligibility, giving rationale. </w:t>
            </w:r>
          </w:p>
        </w:tc>
        <w:tc>
          <w:tcPr>
            <w:tcW w:w="2145" w:type="dxa"/>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left"/>
              <w:rPr>
                <w:rFonts w:hint="default" w:ascii="Times New Roman" w:hAnsi="Times New Roman" w:eastAsia="宋体" w:cs="Times New Roman"/>
                <w:b/>
                <w:bCs/>
                <w:color w:val="auto"/>
                <w:sz w:val="20"/>
                <w:szCs w:val="20"/>
                <w:highlight w:val="none"/>
                <w:lang w:val="en-US" w:eastAsia="zh-CN" w:bidi="ar-SA"/>
              </w:rPr>
            </w:pPr>
            <w:r>
              <w:rPr>
                <w:rFonts w:hint="eastAsia" w:cs="Times New Roman"/>
                <w:b/>
                <w:bCs/>
                <w:color w:val="auto"/>
                <w:sz w:val="20"/>
                <w:szCs w:val="20"/>
                <w:highlight w:val="none"/>
                <w:lang w:val="en-US" w:eastAsia="zh-CN" w:bidi="ar-SA"/>
              </w:rPr>
              <w:t>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700"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Information sources </w:t>
            </w:r>
          </w:p>
        </w:tc>
        <w:tc>
          <w:tcPr>
            <w:tcW w:w="206"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righ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7</w:t>
            </w:r>
          </w:p>
        </w:tc>
        <w:tc>
          <w:tcPr>
            <w:tcW w:w="3363"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Describe all information sources (e.g., databases with dates of coverage, contact with study authors to identify additional studies) in the search and date last searched. </w:t>
            </w:r>
          </w:p>
        </w:tc>
        <w:tc>
          <w:tcPr>
            <w:tcW w:w="2145" w:type="dxa"/>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left"/>
              <w:rPr>
                <w:rFonts w:hint="default" w:ascii="Times New Roman" w:hAnsi="Times New Roman" w:eastAsia="宋体" w:cs="Times New Roman"/>
                <w:b/>
                <w:bCs/>
                <w:color w:val="auto"/>
                <w:sz w:val="20"/>
                <w:szCs w:val="20"/>
                <w:highlight w:val="none"/>
                <w:lang w:val="en-US" w:eastAsia="zh-CN" w:bidi="ar-SA"/>
              </w:rPr>
            </w:pPr>
            <w:r>
              <w:rPr>
                <w:rFonts w:hint="eastAsia" w:cs="Times New Roman"/>
                <w:b/>
                <w:bCs/>
                <w:color w:val="auto"/>
                <w:sz w:val="20"/>
                <w:szCs w:val="20"/>
                <w:highlight w:val="none"/>
                <w:lang w:val="en-US" w:eastAsia="zh-CN" w:bidi="ar-SA"/>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700"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Search </w:t>
            </w:r>
          </w:p>
        </w:tc>
        <w:tc>
          <w:tcPr>
            <w:tcW w:w="206"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righ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8</w:t>
            </w:r>
          </w:p>
        </w:tc>
        <w:tc>
          <w:tcPr>
            <w:tcW w:w="3363"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Present full electronic search strategy for at least one database, including any limits used, such that it could be repeated. </w:t>
            </w:r>
          </w:p>
        </w:tc>
        <w:tc>
          <w:tcPr>
            <w:tcW w:w="2145" w:type="dxa"/>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left"/>
              <w:rPr>
                <w:rFonts w:hint="default" w:ascii="Times New Roman" w:hAnsi="Times New Roman" w:eastAsia="宋体" w:cs="Times New Roman"/>
                <w:b/>
                <w:bCs/>
                <w:color w:val="auto"/>
                <w:sz w:val="20"/>
                <w:szCs w:val="20"/>
                <w:highlight w:val="none"/>
                <w:lang w:val="en-US" w:eastAsia="zh-CN" w:bidi="ar-SA"/>
              </w:rPr>
            </w:pPr>
            <w:r>
              <w:rPr>
                <w:rFonts w:hint="eastAsia" w:eastAsia="宋体" w:cs="Times New Roman"/>
                <w:color w:val="auto"/>
                <w:sz w:val="24"/>
                <w:szCs w:val="24"/>
                <w:highlight w:val="none"/>
                <w:shd w:val="clear" w:color="auto" w:fill="FFFFFF"/>
                <w:lang w:val="en-US" w:eastAsia="zh-CN"/>
              </w:rPr>
              <w:t>Table S</w:t>
            </w:r>
            <w:r>
              <w:rPr>
                <w:rFonts w:eastAsia="Segoe UI" w:cs="Times New Roman"/>
                <w:color w:val="auto"/>
                <w:sz w:val="24"/>
                <w:szCs w:val="24"/>
                <w:highlight w:val="none"/>
                <w:shd w:val="clear" w:color="auto" w:fill="FFFFFF"/>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700"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Study selection </w:t>
            </w:r>
          </w:p>
        </w:tc>
        <w:tc>
          <w:tcPr>
            <w:tcW w:w="206"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righ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9</w:t>
            </w:r>
          </w:p>
        </w:tc>
        <w:tc>
          <w:tcPr>
            <w:tcW w:w="3363"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State the process for selecting studies (i.e., screening, eligibility, included in systematic review, and, if applicable, included in the meta-analysis). </w:t>
            </w:r>
          </w:p>
        </w:tc>
        <w:tc>
          <w:tcPr>
            <w:tcW w:w="2145" w:type="dxa"/>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left"/>
              <w:rPr>
                <w:rFonts w:hint="default" w:ascii="Times New Roman" w:hAnsi="Times New Roman" w:eastAsia="宋体" w:cs="Times New Roman"/>
                <w:b/>
                <w:bCs/>
                <w:color w:val="auto"/>
                <w:sz w:val="20"/>
                <w:szCs w:val="20"/>
                <w:highlight w:val="none"/>
                <w:lang w:val="en-US" w:eastAsia="zh-CN" w:bidi="ar-SA"/>
              </w:rPr>
            </w:pPr>
            <w:r>
              <w:rPr>
                <w:rFonts w:hint="eastAsia" w:cs="Times New Roman"/>
                <w:b/>
                <w:bCs/>
                <w:color w:val="auto"/>
                <w:sz w:val="20"/>
                <w:szCs w:val="20"/>
                <w:highlight w:val="none"/>
                <w:lang w:val="en-US" w:eastAsia="zh-CN" w:bidi="ar-SA"/>
              </w:rPr>
              <w:t>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700"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Data collection process </w:t>
            </w:r>
          </w:p>
        </w:tc>
        <w:tc>
          <w:tcPr>
            <w:tcW w:w="206"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righ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10</w:t>
            </w:r>
          </w:p>
        </w:tc>
        <w:tc>
          <w:tcPr>
            <w:tcW w:w="3363"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Describe method of data extraction from reports (e.g., piloted forms, independently, in duplicate) and any processes for obtaining and confirming data from investigators. </w:t>
            </w:r>
          </w:p>
        </w:tc>
        <w:tc>
          <w:tcPr>
            <w:tcW w:w="2145" w:type="dxa"/>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left"/>
              <w:rPr>
                <w:rFonts w:hint="default" w:ascii="Times New Roman" w:hAnsi="Times New Roman" w:eastAsia="宋体" w:cs="Times New Roman"/>
                <w:b/>
                <w:bCs/>
                <w:color w:val="auto"/>
                <w:sz w:val="20"/>
                <w:szCs w:val="20"/>
                <w:highlight w:val="none"/>
                <w:lang w:val="en-US" w:eastAsia="zh-CN" w:bidi="ar-SA"/>
              </w:rPr>
            </w:pPr>
            <w:r>
              <w:rPr>
                <w:rFonts w:hint="eastAsia" w:cs="Times New Roman"/>
                <w:b/>
                <w:bCs/>
                <w:color w:val="auto"/>
                <w:sz w:val="20"/>
                <w:szCs w:val="20"/>
                <w:highlight w:val="none"/>
                <w:lang w:val="en-US" w:eastAsia="zh-CN" w:bidi="ar-SA"/>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00"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Data items </w:t>
            </w:r>
          </w:p>
        </w:tc>
        <w:tc>
          <w:tcPr>
            <w:tcW w:w="206"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righ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11</w:t>
            </w:r>
          </w:p>
        </w:tc>
        <w:tc>
          <w:tcPr>
            <w:tcW w:w="3363"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lang w:eastAsia="zh-CN"/>
              </w:rPr>
            </w:pPr>
            <w:r>
              <w:rPr>
                <w:rFonts w:hint="default" w:ascii="Times New Roman" w:hAnsi="Times New Roman" w:cs="Times New Roman"/>
                <w:color w:val="000000"/>
                <w:sz w:val="20"/>
                <w:szCs w:val="20"/>
                <w:lang w:eastAsia="zh-CN"/>
              </w:rPr>
              <w:t>4</w:t>
            </w:r>
          </w:p>
        </w:tc>
        <w:tc>
          <w:tcPr>
            <w:tcW w:w="2145" w:type="dxa"/>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left"/>
              <w:rPr>
                <w:rFonts w:hint="default" w:ascii="Times New Roman" w:hAnsi="Times New Roman" w:eastAsia="宋体" w:cs="Times New Roman"/>
                <w:b/>
                <w:bCs/>
                <w:color w:val="auto"/>
                <w:sz w:val="20"/>
                <w:szCs w:val="20"/>
                <w:highlight w:val="none"/>
                <w:lang w:val="en-US" w:eastAsia="zh-CN" w:bidi="ar-SA"/>
              </w:rPr>
            </w:pPr>
            <w:r>
              <w:rPr>
                <w:rFonts w:hint="eastAsia" w:cs="Times New Roman"/>
                <w:b/>
                <w:bCs/>
                <w:color w:val="auto"/>
                <w:sz w:val="20"/>
                <w:szCs w:val="20"/>
                <w:highlight w:val="none"/>
                <w:lang w:val="en-US" w:eastAsia="zh-CN" w:bidi="ar-SA"/>
              </w:rPr>
              <w:t>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700"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Risk of bias in individual studies </w:t>
            </w:r>
          </w:p>
        </w:tc>
        <w:tc>
          <w:tcPr>
            <w:tcW w:w="206"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righ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12</w:t>
            </w:r>
          </w:p>
        </w:tc>
        <w:tc>
          <w:tcPr>
            <w:tcW w:w="3363"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2145" w:type="dxa"/>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left"/>
              <w:rPr>
                <w:rFonts w:hint="default" w:ascii="Times New Roman" w:hAnsi="Times New Roman" w:eastAsia="宋体" w:cs="Times New Roman"/>
                <w:b/>
                <w:bCs/>
                <w:color w:val="auto"/>
                <w:sz w:val="20"/>
                <w:szCs w:val="20"/>
                <w:highlight w:val="none"/>
                <w:lang w:val="en-US" w:eastAsia="zh-CN" w:bidi="ar-SA"/>
              </w:rPr>
            </w:pPr>
            <w:r>
              <w:rPr>
                <w:rFonts w:hint="eastAsia" w:cs="Times New Roman"/>
                <w:b/>
                <w:bCs/>
                <w:color w:val="auto"/>
                <w:sz w:val="20"/>
                <w:szCs w:val="20"/>
                <w:highlight w:val="none"/>
                <w:lang w:val="en-US" w:eastAsia="zh-CN" w:bidi="ar-SA"/>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trPr>
        <w:tc>
          <w:tcPr>
            <w:tcW w:w="700"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Summary measures </w:t>
            </w:r>
          </w:p>
        </w:tc>
        <w:tc>
          <w:tcPr>
            <w:tcW w:w="206"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righ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13</w:t>
            </w:r>
          </w:p>
        </w:tc>
        <w:tc>
          <w:tcPr>
            <w:tcW w:w="3363"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State the principal summary measures (e.g., risk ratio, difference in means). </w:t>
            </w:r>
          </w:p>
        </w:tc>
        <w:tc>
          <w:tcPr>
            <w:tcW w:w="2145" w:type="dxa"/>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left"/>
              <w:rPr>
                <w:rFonts w:hint="default" w:ascii="Times New Roman" w:hAnsi="Times New Roman" w:eastAsia="宋体" w:cs="Times New Roman"/>
                <w:b/>
                <w:bCs/>
                <w:color w:val="auto"/>
                <w:sz w:val="20"/>
                <w:szCs w:val="20"/>
                <w:highlight w:val="none"/>
                <w:lang w:val="en-US" w:eastAsia="zh-CN" w:bidi="ar-SA"/>
              </w:rPr>
            </w:pPr>
            <w:r>
              <w:rPr>
                <w:rFonts w:hint="eastAsia" w:cs="Times New Roman"/>
                <w:b/>
                <w:bCs/>
                <w:color w:val="auto"/>
                <w:sz w:val="20"/>
                <w:szCs w:val="20"/>
                <w:highlight w:val="none"/>
                <w:lang w:val="en-US" w:eastAsia="zh-CN" w:bidi="ar-SA"/>
              </w:rPr>
              <w:t>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700"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Synthesis of results </w:t>
            </w:r>
          </w:p>
        </w:tc>
        <w:tc>
          <w:tcPr>
            <w:tcW w:w="206"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righ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14</w:t>
            </w:r>
          </w:p>
        </w:tc>
        <w:tc>
          <w:tcPr>
            <w:tcW w:w="3363"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Describe the methods of handling data and combining results of studies, if done, including measures of consistency (e.g., </w:t>
            </w:r>
            <w:r>
              <w:rPr>
                <w:rFonts w:hint="default" w:ascii="Times New Roman" w:hAnsi="Times New Roman" w:cs="Times New Roman"/>
                <w:i/>
                <w:iCs/>
                <w:color w:val="000000"/>
                <w:sz w:val="20"/>
                <w:szCs w:val="20"/>
              </w:rPr>
              <w:t>I</w:t>
            </w:r>
            <w:r>
              <w:rPr>
                <w:rFonts w:hint="default" w:ascii="Times New Roman" w:hAnsi="Times New Roman" w:cs="Times New Roman"/>
                <w:color w:val="000000"/>
                <w:sz w:val="20"/>
                <w:szCs w:val="20"/>
                <w:vertAlign w:val="superscript"/>
              </w:rPr>
              <w:t>2</w:t>
            </w:r>
            <w:r>
              <w:rPr>
                <w:rFonts w:hint="default" w:ascii="Times New Roman" w:hAnsi="Times New Roman" w:cs="Times New Roman"/>
                <w:color w:val="000000"/>
                <w:sz w:val="13"/>
                <w:szCs w:val="13"/>
              </w:rPr>
              <w:t xml:space="preserve">) </w:t>
            </w:r>
            <w:r>
              <w:rPr>
                <w:rFonts w:hint="default" w:ascii="Times New Roman" w:hAnsi="Times New Roman" w:cs="Times New Roman"/>
                <w:color w:val="000000"/>
                <w:sz w:val="20"/>
                <w:szCs w:val="20"/>
              </w:rPr>
              <w:t xml:space="preserve">for each meta-analysis. </w:t>
            </w:r>
          </w:p>
        </w:tc>
        <w:tc>
          <w:tcPr>
            <w:tcW w:w="2145" w:type="dxa"/>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left"/>
              <w:rPr>
                <w:rFonts w:hint="default" w:ascii="Times New Roman" w:hAnsi="Times New Roman" w:eastAsia="宋体" w:cs="Times New Roman"/>
                <w:b/>
                <w:bCs/>
                <w:color w:val="auto"/>
                <w:sz w:val="20"/>
                <w:szCs w:val="20"/>
                <w:highlight w:val="none"/>
                <w:lang w:val="en-US" w:eastAsia="zh-CN" w:bidi="ar-SA"/>
              </w:rPr>
            </w:pPr>
            <w:r>
              <w:rPr>
                <w:rFonts w:hint="eastAsia" w:cs="Times New Roman"/>
                <w:b/>
                <w:bCs/>
                <w:color w:val="auto"/>
                <w:sz w:val="20"/>
                <w:szCs w:val="20"/>
                <w:highlight w:val="none"/>
                <w:lang w:val="en-US" w:eastAsia="zh-CN" w:bidi="ar-SA"/>
              </w:rPr>
              <w:t>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3" w:hRule="atLeast"/>
        </w:trPr>
        <w:tc>
          <w:tcPr>
            <w:tcW w:w="700" w:type="pct"/>
            <w:tcBorders>
              <w:top w:val="double" w:color="000000" w:sz="4" w:space="0"/>
              <w:left w:val="single" w:color="000000" w:sz="4" w:space="0"/>
              <w:bottom w:val="double" w:color="000000" w:sz="4" w:space="0"/>
              <w:right w:val="single" w:color="000000" w:sz="4" w:space="0"/>
            </w:tcBorders>
            <w:shd w:val="clear" w:color="auto" w:fill="63639A"/>
            <w:noWrap w:val="0"/>
            <w:vAlign w:val="center"/>
          </w:tcPr>
          <w:p>
            <w:pPr>
              <w:widowControl w:val="0"/>
              <w:autoSpaceDE w:val="0"/>
              <w:autoSpaceDN w:val="0"/>
              <w:adjustRightInd w:val="0"/>
              <w:rPr>
                <w:rFonts w:hint="default" w:ascii="Times New Roman" w:hAnsi="Times New Roman" w:cs="Times New Roman"/>
                <w:color w:val="FFFFFF"/>
                <w:sz w:val="22"/>
                <w:szCs w:val="22"/>
              </w:rPr>
            </w:pPr>
            <w:r>
              <w:rPr>
                <w:rFonts w:hint="default" w:ascii="Times New Roman" w:hAnsi="Times New Roman" w:cs="Times New Roman"/>
                <w:b/>
                <w:bCs/>
                <w:color w:val="FFFFFF"/>
                <w:sz w:val="22"/>
                <w:szCs w:val="22"/>
              </w:rPr>
              <w:t xml:space="preserve">Section/topic </w:t>
            </w:r>
          </w:p>
        </w:tc>
        <w:tc>
          <w:tcPr>
            <w:tcW w:w="206" w:type="pct"/>
            <w:tcBorders>
              <w:top w:val="double" w:color="000000" w:sz="4" w:space="0"/>
              <w:left w:val="single" w:color="000000" w:sz="4" w:space="0"/>
              <w:bottom w:val="double" w:color="000000" w:sz="4" w:space="0"/>
              <w:right w:val="single" w:color="000000" w:sz="4" w:space="0"/>
            </w:tcBorders>
            <w:shd w:val="clear" w:color="auto" w:fill="63639A"/>
            <w:noWrap w:val="0"/>
            <w:vAlign w:val="center"/>
          </w:tcPr>
          <w:p>
            <w:pPr>
              <w:widowControl w:val="0"/>
              <w:autoSpaceDE w:val="0"/>
              <w:autoSpaceDN w:val="0"/>
              <w:adjustRightInd w:val="0"/>
              <w:jc w:val="right"/>
              <w:rPr>
                <w:rFonts w:hint="default" w:ascii="Times New Roman" w:hAnsi="Times New Roman" w:cs="Times New Roman"/>
                <w:color w:val="000000"/>
                <w:sz w:val="22"/>
                <w:szCs w:val="22"/>
              </w:rPr>
            </w:pPr>
            <w:r>
              <w:rPr>
                <w:rFonts w:hint="default" w:ascii="Times New Roman" w:hAnsi="Times New Roman" w:cs="Times New Roman"/>
                <w:b/>
                <w:bCs/>
                <w:color w:val="FFFFFF"/>
                <w:sz w:val="22"/>
                <w:szCs w:val="22"/>
              </w:rPr>
              <w:t>#</w:t>
            </w:r>
          </w:p>
        </w:tc>
        <w:tc>
          <w:tcPr>
            <w:tcW w:w="3363" w:type="pct"/>
            <w:tcBorders>
              <w:top w:val="double" w:color="000000" w:sz="4" w:space="0"/>
              <w:left w:val="single" w:color="000000" w:sz="4" w:space="0"/>
              <w:bottom w:val="double" w:color="000000" w:sz="4" w:space="0"/>
              <w:right w:val="single" w:color="000000" w:sz="4" w:space="0"/>
            </w:tcBorders>
            <w:shd w:val="clear" w:color="auto" w:fill="63639A"/>
            <w:noWrap w:val="0"/>
            <w:vAlign w:val="center"/>
          </w:tcPr>
          <w:p>
            <w:pPr>
              <w:widowControl w:val="0"/>
              <w:autoSpaceDE w:val="0"/>
              <w:autoSpaceDN w:val="0"/>
              <w:adjustRightInd w:val="0"/>
              <w:rPr>
                <w:rFonts w:hint="default" w:ascii="Times New Roman" w:hAnsi="Times New Roman" w:cs="Times New Roman"/>
                <w:color w:val="FFFFFF"/>
                <w:sz w:val="22"/>
                <w:szCs w:val="22"/>
              </w:rPr>
            </w:pPr>
            <w:r>
              <w:rPr>
                <w:rFonts w:hint="default" w:ascii="Times New Roman" w:hAnsi="Times New Roman" w:cs="Times New Roman"/>
                <w:b/>
                <w:bCs/>
                <w:color w:val="FFFFFF"/>
                <w:sz w:val="22"/>
                <w:szCs w:val="22"/>
              </w:rPr>
              <w:t xml:space="preserve">Checklist item </w:t>
            </w:r>
          </w:p>
        </w:tc>
        <w:tc>
          <w:tcPr>
            <w:tcW w:w="728" w:type="pct"/>
            <w:tcBorders>
              <w:top w:val="double" w:color="000000" w:sz="4" w:space="0"/>
              <w:left w:val="single" w:color="000000" w:sz="4" w:space="0"/>
              <w:bottom w:val="double" w:color="000000" w:sz="4" w:space="0"/>
              <w:right w:val="single" w:color="000000" w:sz="4" w:space="0"/>
            </w:tcBorders>
            <w:shd w:val="clear" w:color="auto" w:fill="63639A"/>
            <w:noWrap w:val="0"/>
            <w:vAlign w:val="center"/>
          </w:tcPr>
          <w:p>
            <w:pPr>
              <w:widowControl w:val="0"/>
              <w:autoSpaceDE w:val="0"/>
              <w:autoSpaceDN w:val="0"/>
              <w:adjustRightInd w:val="0"/>
              <w:jc w:val="left"/>
              <w:rPr>
                <w:rFonts w:hint="default" w:ascii="Times New Roman" w:hAnsi="Times New Roman" w:cs="Times New Roman"/>
                <w:color w:val="auto"/>
                <w:sz w:val="22"/>
                <w:szCs w:val="22"/>
              </w:rPr>
            </w:pPr>
            <w:r>
              <w:rPr>
                <w:rFonts w:hint="default" w:ascii="Times New Roman" w:hAnsi="Times New Roman" w:cs="Times New Roman"/>
                <w:b/>
                <w:bCs/>
                <w:color w:val="auto"/>
                <w:sz w:val="22"/>
                <w:szCs w:val="22"/>
              </w:rPr>
              <w:t xml:space="preserve">Reported on page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700" w:type="pct"/>
            <w:tcBorders>
              <w:top w:val="doub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Risk of bias across studies </w:t>
            </w:r>
          </w:p>
        </w:tc>
        <w:tc>
          <w:tcPr>
            <w:tcW w:w="206" w:type="pct"/>
            <w:tcBorders>
              <w:top w:val="doub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righ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15</w:t>
            </w:r>
          </w:p>
        </w:tc>
        <w:tc>
          <w:tcPr>
            <w:tcW w:w="3363" w:type="pct"/>
            <w:tcBorders>
              <w:top w:val="doub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Specify any assessment of risk of bias that may affect the cumulative evidence (e.g., publication bias, selective reporting within studies). </w:t>
            </w:r>
          </w:p>
        </w:tc>
        <w:tc>
          <w:tcPr>
            <w:tcW w:w="2145" w:type="dxa"/>
            <w:tcBorders>
              <w:top w:val="doub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left"/>
              <w:rPr>
                <w:rFonts w:hint="default" w:ascii="Times New Roman" w:hAnsi="Times New Roman" w:eastAsia="宋体" w:cs="Times New Roman"/>
                <w:b/>
                <w:bCs/>
                <w:color w:val="auto"/>
                <w:sz w:val="20"/>
                <w:szCs w:val="20"/>
                <w:highlight w:val="none"/>
                <w:lang w:val="en-US" w:eastAsia="zh-CN" w:bidi="ar-SA"/>
              </w:rPr>
            </w:pPr>
            <w:r>
              <w:rPr>
                <w:rFonts w:hint="eastAsia" w:cs="Times New Roman"/>
                <w:b/>
                <w:bCs/>
                <w:color w:val="auto"/>
                <w:sz w:val="20"/>
                <w:szCs w:val="20"/>
                <w:highlight w:val="none"/>
                <w:lang w:val="en-US" w:eastAsia="zh-CN" w:bidi="ar-SA"/>
              </w:rPr>
              <w:t>9-10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700" w:type="pct"/>
            <w:tcBorders>
              <w:top w:val="single" w:color="000000" w:sz="4" w:space="0"/>
              <w:left w:val="single" w:color="000000" w:sz="4" w:space="0"/>
              <w:bottom w:val="double" w:color="FFFFCC" w:sz="2"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Additional analyses </w:t>
            </w:r>
          </w:p>
        </w:tc>
        <w:tc>
          <w:tcPr>
            <w:tcW w:w="206" w:type="pct"/>
            <w:tcBorders>
              <w:top w:val="single" w:color="000000" w:sz="4" w:space="0"/>
              <w:left w:val="single" w:color="000000" w:sz="4" w:space="0"/>
              <w:bottom w:val="double" w:color="FFFFCC" w:sz="2" w:space="0"/>
              <w:right w:val="single" w:color="000000" w:sz="4" w:space="0"/>
            </w:tcBorders>
            <w:noWrap w:val="0"/>
            <w:vAlign w:val="top"/>
          </w:tcPr>
          <w:p>
            <w:pPr>
              <w:widowControl w:val="0"/>
              <w:autoSpaceDE w:val="0"/>
              <w:autoSpaceDN w:val="0"/>
              <w:adjustRightInd w:val="0"/>
              <w:spacing w:before="40" w:after="40"/>
              <w:jc w:val="righ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16</w:t>
            </w:r>
          </w:p>
        </w:tc>
        <w:tc>
          <w:tcPr>
            <w:tcW w:w="3363" w:type="pct"/>
            <w:tcBorders>
              <w:top w:val="single" w:color="000000" w:sz="4" w:space="0"/>
              <w:left w:val="single" w:color="000000" w:sz="4" w:space="0"/>
              <w:bottom w:val="doub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Describe methods of additional analyses (e.g., sensitivity or subgroup analyses, meta-regression), if done, indicating which were pre-specified. </w:t>
            </w:r>
          </w:p>
        </w:tc>
        <w:tc>
          <w:tcPr>
            <w:tcW w:w="2145" w:type="dxa"/>
            <w:tcBorders>
              <w:top w:val="single" w:color="000000" w:sz="4" w:space="0"/>
              <w:left w:val="single" w:color="000000" w:sz="4" w:space="0"/>
              <w:bottom w:val="double" w:color="000000" w:sz="4" w:space="0"/>
              <w:right w:val="single" w:color="000000" w:sz="4" w:space="0"/>
            </w:tcBorders>
            <w:noWrap w:val="0"/>
            <w:vAlign w:val="top"/>
          </w:tcPr>
          <w:p>
            <w:pPr>
              <w:widowControl w:val="0"/>
              <w:autoSpaceDE w:val="0"/>
              <w:autoSpaceDN w:val="0"/>
              <w:adjustRightInd w:val="0"/>
              <w:spacing w:before="40" w:after="40"/>
              <w:jc w:val="left"/>
              <w:rPr>
                <w:rFonts w:hint="default" w:ascii="Times New Roman" w:hAnsi="Times New Roman" w:eastAsia="宋体" w:cs="Times New Roman"/>
                <w:b/>
                <w:bCs/>
                <w:color w:val="auto"/>
                <w:sz w:val="20"/>
                <w:szCs w:val="20"/>
                <w:highlight w:val="none"/>
                <w:lang w:val="en-US" w:eastAsia="zh-CN" w:bidi="ar-SA"/>
              </w:rPr>
            </w:pPr>
            <w:r>
              <w:rPr>
                <w:rFonts w:hint="eastAsia" w:cs="Times New Roman"/>
                <w:b/>
                <w:bCs/>
                <w:color w:val="auto"/>
                <w:sz w:val="20"/>
                <w:szCs w:val="20"/>
                <w:highlight w:val="none"/>
                <w:lang w:val="en-US" w:eastAsia="zh-CN" w:bidi="ar-SA"/>
              </w:rPr>
              <w:t>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4271" w:type="pct"/>
            <w:gridSpan w:val="3"/>
            <w:tcBorders>
              <w:top w:val="double" w:color="000000" w:sz="4" w:space="0"/>
              <w:left w:val="single" w:color="000000" w:sz="4" w:space="0"/>
              <w:bottom w:val="single" w:color="000000" w:sz="4" w:space="0"/>
              <w:right w:val="single" w:color="000000" w:sz="4" w:space="0"/>
            </w:tcBorders>
            <w:shd w:val="clear" w:color="auto" w:fill="FFFFCC"/>
            <w:noWrap w:val="0"/>
            <w:vAlign w:val="center"/>
          </w:tcPr>
          <w:p>
            <w:pPr>
              <w:widowControl w:val="0"/>
              <w:autoSpaceDE w:val="0"/>
              <w:autoSpaceDN w:val="0"/>
              <w:adjustRightInd w:val="0"/>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RESULTS </w:t>
            </w:r>
          </w:p>
        </w:tc>
        <w:tc>
          <w:tcPr>
            <w:tcW w:w="2145" w:type="dxa"/>
            <w:tcBorders>
              <w:top w:val="double" w:color="000000" w:sz="4" w:space="0"/>
              <w:left w:val="single" w:color="000000" w:sz="4" w:space="0"/>
              <w:bottom w:val="single" w:color="000000" w:sz="4" w:space="0"/>
              <w:right w:val="single" w:color="000000" w:sz="4" w:space="0"/>
            </w:tcBorders>
            <w:shd w:val="clear" w:color="auto" w:fill="FFFFCC"/>
            <w:noWrap w:val="0"/>
            <w:vAlign w:val="top"/>
          </w:tcPr>
          <w:p>
            <w:pPr>
              <w:widowControl w:val="0"/>
              <w:autoSpaceDE w:val="0"/>
              <w:autoSpaceDN w:val="0"/>
              <w:adjustRightInd w:val="0"/>
              <w:jc w:val="left"/>
              <w:rPr>
                <w:rFonts w:hint="default" w:ascii="Times New Roman" w:hAnsi="Times New Roman" w:cs="Times New Roman"/>
                <w:b/>
                <w:bCs/>
                <w:color w:val="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700"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Study selection </w:t>
            </w:r>
          </w:p>
        </w:tc>
        <w:tc>
          <w:tcPr>
            <w:tcW w:w="206"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righ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17</w:t>
            </w:r>
          </w:p>
        </w:tc>
        <w:tc>
          <w:tcPr>
            <w:tcW w:w="3363"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Give numbers of studies screened, assessed for eligibility, and included in the review, with reasons for exclusions at each stage, ideally with a flow diagram. </w:t>
            </w:r>
          </w:p>
        </w:tc>
        <w:tc>
          <w:tcPr>
            <w:tcW w:w="2145" w:type="dxa"/>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left"/>
              <w:rPr>
                <w:rFonts w:hint="default" w:ascii="Times New Roman" w:hAnsi="Times New Roman" w:eastAsia="宋体" w:cs="Times New Roman"/>
                <w:b/>
                <w:bCs/>
                <w:color w:val="auto"/>
                <w:sz w:val="20"/>
                <w:szCs w:val="20"/>
                <w:highlight w:val="none"/>
                <w:lang w:val="en-US" w:eastAsia="zh-CN" w:bidi="ar-SA"/>
              </w:rPr>
            </w:pPr>
            <w:r>
              <w:rPr>
                <w:rFonts w:hint="eastAsia" w:cs="Times New Roman"/>
                <w:b/>
                <w:bCs/>
                <w:color w:val="auto"/>
                <w:sz w:val="20"/>
                <w:szCs w:val="20"/>
                <w:highlight w:val="none"/>
                <w:lang w:val="en-US" w:eastAsia="zh-CN" w:bidi="ar-SA"/>
              </w:rPr>
              <w:t>10-11, Figure 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700"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Study characteristics </w:t>
            </w:r>
          </w:p>
        </w:tc>
        <w:tc>
          <w:tcPr>
            <w:tcW w:w="206"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righ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18</w:t>
            </w:r>
          </w:p>
        </w:tc>
        <w:tc>
          <w:tcPr>
            <w:tcW w:w="3363"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For each study, present characteristics for which data were extracted (e.g., study size, PICOS, follow-up period) and provide the citations. </w:t>
            </w:r>
          </w:p>
        </w:tc>
        <w:tc>
          <w:tcPr>
            <w:tcW w:w="2145" w:type="dxa"/>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left"/>
              <w:rPr>
                <w:rFonts w:hint="default" w:ascii="Times New Roman" w:hAnsi="Times New Roman" w:eastAsia="宋体" w:cs="Times New Roman"/>
                <w:b/>
                <w:bCs/>
                <w:color w:val="auto"/>
                <w:sz w:val="20"/>
                <w:szCs w:val="20"/>
                <w:highlight w:val="none"/>
                <w:lang w:val="en-US" w:eastAsia="zh-CN" w:bidi="ar-SA"/>
              </w:rPr>
            </w:pPr>
            <w:r>
              <w:rPr>
                <w:rFonts w:hint="eastAsia" w:cs="Times New Roman"/>
                <w:b/>
                <w:bCs/>
                <w:color w:val="auto"/>
                <w:sz w:val="20"/>
                <w:szCs w:val="20"/>
                <w:highlight w:val="none"/>
                <w:lang w:val="en-US" w:eastAsia="zh-CN" w:bidi="ar-SA"/>
              </w:rPr>
              <w:t>10-11, Table 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trPr>
        <w:tc>
          <w:tcPr>
            <w:tcW w:w="700"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Risk of bias within studies </w:t>
            </w:r>
          </w:p>
        </w:tc>
        <w:tc>
          <w:tcPr>
            <w:tcW w:w="206"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righ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19</w:t>
            </w:r>
          </w:p>
        </w:tc>
        <w:tc>
          <w:tcPr>
            <w:tcW w:w="3363"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Present data on risk of bias of each study and, if available, any outcome level assessment (see item 12). </w:t>
            </w:r>
          </w:p>
        </w:tc>
        <w:tc>
          <w:tcPr>
            <w:tcW w:w="2145" w:type="dxa"/>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left"/>
              <w:rPr>
                <w:rFonts w:hint="default" w:ascii="Times New Roman" w:hAnsi="Times New Roman" w:eastAsia="宋体" w:cs="Times New Roman"/>
                <w:b/>
                <w:bCs/>
                <w:color w:val="auto"/>
                <w:sz w:val="20"/>
                <w:szCs w:val="20"/>
                <w:highlight w:val="none"/>
                <w:lang w:val="en-US" w:eastAsia="zh-CN" w:bidi="ar-SA"/>
              </w:rPr>
            </w:pPr>
            <w:r>
              <w:rPr>
                <w:rFonts w:hint="eastAsia" w:cs="Times New Roman"/>
                <w:b/>
                <w:bCs/>
                <w:color w:val="auto"/>
                <w:sz w:val="20"/>
                <w:szCs w:val="20"/>
                <w:highlight w:val="none"/>
                <w:lang w:val="en-US" w:eastAsia="zh-CN" w:bidi="ar-SA"/>
              </w:rPr>
              <w:t>Figure S1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700"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Results of individual studies </w:t>
            </w:r>
          </w:p>
        </w:tc>
        <w:tc>
          <w:tcPr>
            <w:tcW w:w="206"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righ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20</w:t>
            </w:r>
          </w:p>
        </w:tc>
        <w:tc>
          <w:tcPr>
            <w:tcW w:w="3363"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For all outcomes considered (benefits or harms), present, for each study: (a) simple summary data for each intervention group (b) effect estimates and confidence intervals, ideally with a forest plot. </w:t>
            </w:r>
          </w:p>
        </w:tc>
        <w:tc>
          <w:tcPr>
            <w:tcW w:w="2145" w:type="dxa"/>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left"/>
              <w:rPr>
                <w:rFonts w:hint="default" w:ascii="Times New Roman" w:hAnsi="Times New Roman" w:eastAsia="宋体" w:cs="Times New Roman"/>
                <w:b/>
                <w:bCs/>
                <w:color w:val="auto"/>
                <w:sz w:val="20"/>
                <w:szCs w:val="20"/>
                <w:highlight w:val="none"/>
                <w:lang w:val="en-US" w:eastAsia="zh-CN" w:bidi="ar-SA"/>
              </w:rPr>
            </w:pPr>
            <w:r>
              <w:rPr>
                <w:rFonts w:hint="eastAsia" w:cs="Times New Roman"/>
                <w:b/>
                <w:bCs/>
                <w:color w:val="auto"/>
                <w:sz w:val="20"/>
                <w:szCs w:val="20"/>
                <w:highlight w:val="none"/>
                <w:lang w:val="en-US" w:eastAsia="zh-CN" w:bidi="ar-SA"/>
              </w:rPr>
              <w:t>11-12, Figure 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700"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Synthesis of results </w:t>
            </w:r>
          </w:p>
        </w:tc>
        <w:tc>
          <w:tcPr>
            <w:tcW w:w="206"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righ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21</w:t>
            </w:r>
          </w:p>
        </w:tc>
        <w:tc>
          <w:tcPr>
            <w:tcW w:w="3363"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Present results of each meta-analysis done, including confidence intervals and measures of consistency. </w:t>
            </w:r>
          </w:p>
        </w:tc>
        <w:tc>
          <w:tcPr>
            <w:tcW w:w="2145" w:type="dxa"/>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left"/>
              <w:rPr>
                <w:rFonts w:hint="default" w:ascii="Times New Roman" w:hAnsi="Times New Roman" w:eastAsia="宋体" w:cs="Times New Roman"/>
                <w:b/>
                <w:bCs/>
                <w:color w:val="auto"/>
                <w:sz w:val="20"/>
                <w:szCs w:val="20"/>
                <w:highlight w:val="none"/>
                <w:lang w:val="en-US" w:eastAsia="zh-CN" w:bidi="ar-SA"/>
              </w:rPr>
            </w:pPr>
            <w:r>
              <w:rPr>
                <w:rFonts w:hint="eastAsia" w:cs="Times New Roman"/>
                <w:b/>
                <w:bCs/>
                <w:color w:val="auto"/>
                <w:sz w:val="20"/>
                <w:szCs w:val="20"/>
                <w:highlight w:val="none"/>
                <w:lang w:val="en-US" w:eastAsia="zh-CN" w:bidi="ar-SA"/>
              </w:rPr>
              <w:t>11-12, Figure 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trPr>
        <w:tc>
          <w:tcPr>
            <w:tcW w:w="700"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Risk of bias across studies </w:t>
            </w:r>
          </w:p>
        </w:tc>
        <w:tc>
          <w:tcPr>
            <w:tcW w:w="206"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righ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22</w:t>
            </w:r>
          </w:p>
        </w:tc>
        <w:tc>
          <w:tcPr>
            <w:tcW w:w="3363"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Present results of any assessment of risk of bias across studies (see Item 15). </w:t>
            </w:r>
          </w:p>
        </w:tc>
        <w:tc>
          <w:tcPr>
            <w:tcW w:w="2145" w:type="dxa"/>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left"/>
              <w:rPr>
                <w:rFonts w:hint="default" w:ascii="Times New Roman" w:hAnsi="Times New Roman" w:eastAsia="宋体" w:cs="Times New Roman"/>
                <w:b/>
                <w:bCs/>
                <w:color w:val="auto"/>
                <w:sz w:val="20"/>
                <w:szCs w:val="20"/>
                <w:highlight w:val="none"/>
                <w:lang w:val="en-US" w:eastAsia="zh-CN" w:bidi="ar-SA"/>
              </w:rPr>
            </w:pPr>
            <w:r>
              <w:rPr>
                <w:rFonts w:hint="eastAsia" w:cs="Times New Roman"/>
                <w:b/>
                <w:bCs/>
                <w:color w:val="auto"/>
                <w:sz w:val="20"/>
                <w:szCs w:val="20"/>
                <w:highlight w:val="none"/>
                <w:lang w:val="en-US" w:eastAsia="zh-CN" w:bidi="ar-SA"/>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3" w:hRule="atLeast"/>
        </w:trPr>
        <w:tc>
          <w:tcPr>
            <w:tcW w:w="700" w:type="pct"/>
            <w:tcBorders>
              <w:top w:val="single" w:color="000000" w:sz="4" w:space="0"/>
              <w:left w:val="single" w:color="000000" w:sz="4" w:space="0"/>
              <w:bottom w:val="double" w:color="FFFFCC" w:sz="2"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Additional analysis </w:t>
            </w:r>
          </w:p>
        </w:tc>
        <w:tc>
          <w:tcPr>
            <w:tcW w:w="206" w:type="pct"/>
            <w:tcBorders>
              <w:top w:val="single" w:color="000000" w:sz="4" w:space="0"/>
              <w:left w:val="single" w:color="000000" w:sz="4" w:space="0"/>
              <w:bottom w:val="double" w:color="FFFFCC" w:sz="2" w:space="0"/>
              <w:right w:val="single" w:color="000000" w:sz="4" w:space="0"/>
            </w:tcBorders>
            <w:noWrap w:val="0"/>
            <w:vAlign w:val="top"/>
          </w:tcPr>
          <w:p>
            <w:pPr>
              <w:widowControl w:val="0"/>
              <w:autoSpaceDE w:val="0"/>
              <w:autoSpaceDN w:val="0"/>
              <w:adjustRightInd w:val="0"/>
              <w:spacing w:before="40" w:after="40"/>
              <w:jc w:val="righ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23</w:t>
            </w:r>
          </w:p>
        </w:tc>
        <w:tc>
          <w:tcPr>
            <w:tcW w:w="3363" w:type="pct"/>
            <w:tcBorders>
              <w:top w:val="single" w:color="000000" w:sz="4" w:space="0"/>
              <w:left w:val="single" w:color="000000" w:sz="4" w:space="0"/>
              <w:bottom w:val="doub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Give results of additional analyses, if done (e.g., sensitivity or subgroup analyses, meta-regression [see Item 16]). </w:t>
            </w:r>
          </w:p>
        </w:tc>
        <w:tc>
          <w:tcPr>
            <w:tcW w:w="2145" w:type="dxa"/>
            <w:tcBorders>
              <w:top w:val="single" w:color="000000" w:sz="4" w:space="0"/>
              <w:left w:val="single" w:color="000000" w:sz="4" w:space="0"/>
              <w:bottom w:val="double" w:color="000000" w:sz="4" w:space="0"/>
              <w:right w:val="single" w:color="000000" w:sz="4" w:space="0"/>
            </w:tcBorders>
            <w:noWrap w:val="0"/>
            <w:vAlign w:val="top"/>
          </w:tcPr>
          <w:p>
            <w:pPr>
              <w:widowControl w:val="0"/>
              <w:autoSpaceDE w:val="0"/>
              <w:autoSpaceDN w:val="0"/>
              <w:adjustRightInd w:val="0"/>
              <w:spacing w:before="40" w:after="40"/>
              <w:jc w:val="left"/>
              <w:rPr>
                <w:rFonts w:hint="default" w:ascii="Times New Roman" w:hAnsi="Times New Roman" w:eastAsia="宋体" w:cs="Times New Roman"/>
                <w:b/>
                <w:bCs/>
                <w:color w:val="auto"/>
                <w:sz w:val="20"/>
                <w:szCs w:val="20"/>
                <w:highlight w:val="none"/>
                <w:lang w:val="en-US" w:eastAsia="zh-CN" w:bidi="ar-SA"/>
              </w:rPr>
            </w:pPr>
            <w:r>
              <w:rPr>
                <w:rFonts w:hint="eastAsia" w:cs="Times New Roman"/>
                <w:b/>
                <w:bCs/>
                <w:color w:val="auto"/>
                <w:sz w:val="20"/>
                <w:szCs w:val="20"/>
                <w:highlight w:val="none"/>
                <w:lang w:val="en-US" w:eastAsia="zh-CN" w:bidi="ar-SA"/>
              </w:rPr>
              <w:t>12-13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4271" w:type="pct"/>
            <w:gridSpan w:val="3"/>
            <w:tcBorders>
              <w:top w:val="double" w:color="000000" w:sz="4" w:space="0"/>
              <w:left w:val="single" w:color="000000" w:sz="4" w:space="0"/>
              <w:bottom w:val="single" w:color="000000" w:sz="4" w:space="0"/>
              <w:right w:val="single" w:color="000000" w:sz="4" w:space="0"/>
            </w:tcBorders>
            <w:shd w:val="clear" w:color="auto" w:fill="FFFFCC"/>
            <w:noWrap w:val="0"/>
            <w:vAlign w:val="center"/>
          </w:tcPr>
          <w:p>
            <w:pPr>
              <w:widowControl w:val="0"/>
              <w:autoSpaceDE w:val="0"/>
              <w:autoSpaceDN w:val="0"/>
              <w:adjustRightInd w:val="0"/>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DISCUSSION </w:t>
            </w:r>
          </w:p>
        </w:tc>
        <w:tc>
          <w:tcPr>
            <w:tcW w:w="2145" w:type="dxa"/>
            <w:tcBorders>
              <w:top w:val="double" w:color="000000" w:sz="4" w:space="0"/>
              <w:left w:val="single" w:color="000000" w:sz="4" w:space="0"/>
              <w:bottom w:val="single" w:color="000000" w:sz="4" w:space="0"/>
              <w:right w:val="single" w:color="000000" w:sz="4" w:space="0"/>
            </w:tcBorders>
            <w:shd w:val="clear" w:color="auto" w:fill="FFFFCC"/>
            <w:noWrap w:val="0"/>
            <w:vAlign w:val="top"/>
          </w:tcPr>
          <w:p>
            <w:pPr>
              <w:widowControl w:val="0"/>
              <w:autoSpaceDE w:val="0"/>
              <w:autoSpaceDN w:val="0"/>
              <w:adjustRightInd w:val="0"/>
              <w:jc w:val="left"/>
              <w:rPr>
                <w:rFonts w:hint="default" w:ascii="Times New Roman" w:hAnsi="Times New Roman" w:cs="Times New Roman"/>
                <w:b/>
                <w:bCs/>
                <w:color w:val="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700"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Summary of evidence </w:t>
            </w:r>
          </w:p>
        </w:tc>
        <w:tc>
          <w:tcPr>
            <w:tcW w:w="206"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righ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24</w:t>
            </w:r>
          </w:p>
        </w:tc>
        <w:tc>
          <w:tcPr>
            <w:tcW w:w="3363"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Summarize the main findings including the strength of evidence for each main outcome; consider their relevance to key groups (e.g., healthcare providers, users, and policy makers). </w:t>
            </w:r>
          </w:p>
        </w:tc>
        <w:tc>
          <w:tcPr>
            <w:tcW w:w="2145" w:type="dxa"/>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left"/>
              <w:rPr>
                <w:rFonts w:hint="default" w:ascii="Times New Roman" w:hAnsi="Times New Roman" w:eastAsia="宋体" w:cs="Times New Roman"/>
                <w:b/>
                <w:bCs/>
                <w:color w:val="auto"/>
                <w:sz w:val="20"/>
                <w:szCs w:val="20"/>
                <w:highlight w:val="none"/>
                <w:lang w:val="en-US" w:eastAsia="zh-CN" w:bidi="ar-SA"/>
              </w:rPr>
            </w:pPr>
            <w:r>
              <w:rPr>
                <w:rFonts w:hint="eastAsia" w:cs="Times New Roman"/>
                <w:b/>
                <w:bCs/>
                <w:color w:val="auto"/>
                <w:sz w:val="20"/>
                <w:szCs w:val="20"/>
                <w:highlight w:val="none"/>
                <w:lang w:val="en-US" w:eastAsia="zh-CN" w:bidi="ar-SA"/>
              </w:rPr>
              <w:t>14-16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700"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Limitations </w:t>
            </w:r>
          </w:p>
        </w:tc>
        <w:tc>
          <w:tcPr>
            <w:tcW w:w="206"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righ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25</w:t>
            </w:r>
          </w:p>
        </w:tc>
        <w:tc>
          <w:tcPr>
            <w:tcW w:w="3363" w:type="pct"/>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Discuss limitations at study and outcome level (e.g., risk of bias), and at review-level (e.g., incomplete retrieval of identified research, reporting bias). </w:t>
            </w:r>
          </w:p>
        </w:tc>
        <w:tc>
          <w:tcPr>
            <w:tcW w:w="2145" w:type="dxa"/>
            <w:tcBorders>
              <w:top w:val="single" w:color="000000" w:sz="4" w:space="0"/>
              <w:left w:val="single" w:color="000000" w:sz="4" w:space="0"/>
              <w:bottom w:val="single" w:color="000000" w:sz="4" w:space="0"/>
              <w:right w:val="single" w:color="000000" w:sz="4" w:space="0"/>
            </w:tcBorders>
            <w:noWrap w:val="0"/>
            <w:vAlign w:val="top"/>
          </w:tcPr>
          <w:p>
            <w:pPr>
              <w:widowControl w:val="0"/>
              <w:autoSpaceDE w:val="0"/>
              <w:autoSpaceDN w:val="0"/>
              <w:adjustRightInd w:val="0"/>
              <w:spacing w:before="40" w:after="40"/>
              <w:jc w:val="left"/>
              <w:rPr>
                <w:rFonts w:hint="default" w:ascii="Times New Roman" w:hAnsi="Times New Roman" w:eastAsia="宋体" w:cs="Times New Roman"/>
                <w:b/>
                <w:bCs/>
                <w:color w:val="auto"/>
                <w:sz w:val="20"/>
                <w:szCs w:val="20"/>
                <w:highlight w:val="none"/>
                <w:lang w:val="en-US" w:eastAsia="zh-CN" w:bidi="ar-SA"/>
              </w:rPr>
            </w:pPr>
            <w:r>
              <w:rPr>
                <w:rFonts w:hint="eastAsia" w:cs="Times New Roman"/>
                <w:b/>
                <w:bCs/>
                <w:color w:val="auto"/>
                <w:sz w:val="20"/>
                <w:szCs w:val="20"/>
                <w:highlight w:val="none"/>
                <w:lang w:val="en-US" w:eastAsia="zh-CN" w:bidi="ar-SA"/>
              </w:rPr>
              <w:t>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00" w:type="pct"/>
            <w:tcBorders>
              <w:top w:val="single" w:color="000000" w:sz="4" w:space="0"/>
              <w:left w:val="single" w:color="000000" w:sz="4" w:space="0"/>
              <w:bottom w:val="double" w:color="FFFFCC" w:sz="2"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Conclusions </w:t>
            </w:r>
          </w:p>
        </w:tc>
        <w:tc>
          <w:tcPr>
            <w:tcW w:w="206" w:type="pct"/>
            <w:tcBorders>
              <w:top w:val="single" w:color="000000" w:sz="4" w:space="0"/>
              <w:left w:val="single" w:color="000000" w:sz="4" w:space="0"/>
              <w:bottom w:val="double" w:color="FFFFCC" w:sz="2" w:space="0"/>
              <w:right w:val="single" w:color="000000" w:sz="4" w:space="0"/>
            </w:tcBorders>
            <w:noWrap w:val="0"/>
            <w:vAlign w:val="top"/>
          </w:tcPr>
          <w:p>
            <w:pPr>
              <w:widowControl w:val="0"/>
              <w:autoSpaceDE w:val="0"/>
              <w:autoSpaceDN w:val="0"/>
              <w:adjustRightInd w:val="0"/>
              <w:spacing w:before="40" w:after="40"/>
              <w:jc w:val="righ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26</w:t>
            </w:r>
          </w:p>
        </w:tc>
        <w:tc>
          <w:tcPr>
            <w:tcW w:w="3363" w:type="pct"/>
            <w:tcBorders>
              <w:top w:val="single" w:color="000000" w:sz="4" w:space="0"/>
              <w:left w:val="single" w:color="000000" w:sz="4" w:space="0"/>
              <w:bottom w:val="doub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Provide a general interpretation of the results in the context of other evidence, and implications for future research. </w:t>
            </w:r>
          </w:p>
        </w:tc>
        <w:tc>
          <w:tcPr>
            <w:tcW w:w="2145" w:type="dxa"/>
            <w:tcBorders>
              <w:top w:val="single" w:color="000000" w:sz="4" w:space="0"/>
              <w:left w:val="single" w:color="000000" w:sz="4" w:space="0"/>
              <w:bottom w:val="double" w:color="000000" w:sz="4" w:space="0"/>
              <w:right w:val="single" w:color="000000" w:sz="4" w:space="0"/>
            </w:tcBorders>
            <w:noWrap w:val="0"/>
            <w:vAlign w:val="top"/>
          </w:tcPr>
          <w:p>
            <w:pPr>
              <w:widowControl w:val="0"/>
              <w:autoSpaceDE w:val="0"/>
              <w:autoSpaceDN w:val="0"/>
              <w:adjustRightInd w:val="0"/>
              <w:spacing w:before="40" w:after="40"/>
              <w:jc w:val="left"/>
              <w:rPr>
                <w:rFonts w:hint="default" w:ascii="Times New Roman" w:hAnsi="Times New Roman" w:eastAsia="宋体" w:cs="Times New Roman"/>
                <w:b/>
                <w:bCs/>
                <w:color w:val="auto"/>
                <w:sz w:val="20"/>
                <w:szCs w:val="20"/>
                <w:highlight w:val="none"/>
                <w:lang w:val="en-US" w:eastAsia="zh-CN" w:bidi="ar-SA"/>
              </w:rPr>
            </w:pPr>
            <w:r>
              <w:rPr>
                <w:rFonts w:hint="eastAsia" w:cs="Times New Roman"/>
                <w:b/>
                <w:bCs/>
                <w:color w:val="auto"/>
                <w:sz w:val="20"/>
                <w:szCs w:val="20"/>
                <w:highlight w:val="none"/>
                <w:lang w:val="en-US" w:eastAsia="zh-CN" w:bidi="ar-SA"/>
              </w:rPr>
              <w:t>18-19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trPr>
        <w:tc>
          <w:tcPr>
            <w:tcW w:w="4271" w:type="pct"/>
            <w:gridSpan w:val="3"/>
            <w:tcBorders>
              <w:top w:val="double" w:color="000000" w:sz="4" w:space="0"/>
              <w:left w:val="single" w:color="000000" w:sz="4" w:space="0"/>
              <w:bottom w:val="single" w:color="000000" w:sz="4" w:space="0"/>
              <w:right w:val="single" w:color="000000" w:sz="4" w:space="0"/>
            </w:tcBorders>
            <w:shd w:val="clear" w:color="auto" w:fill="FFFFCC"/>
            <w:noWrap w:val="0"/>
            <w:vAlign w:val="center"/>
          </w:tcPr>
          <w:p>
            <w:pPr>
              <w:widowControl w:val="0"/>
              <w:autoSpaceDE w:val="0"/>
              <w:autoSpaceDN w:val="0"/>
              <w:adjustRightInd w:val="0"/>
              <w:rPr>
                <w:rFonts w:hint="default" w:ascii="Times New Roman" w:hAnsi="Times New Roman" w:cs="Times New Roman"/>
                <w:color w:val="000000"/>
                <w:sz w:val="22"/>
                <w:szCs w:val="22"/>
              </w:rPr>
            </w:pPr>
            <w:r>
              <w:rPr>
                <w:rFonts w:hint="default" w:ascii="Times New Roman" w:hAnsi="Times New Roman" w:cs="Times New Roman"/>
                <w:b/>
                <w:bCs/>
                <w:color w:val="000000"/>
                <w:sz w:val="22"/>
                <w:szCs w:val="22"/>
              </w:rPr>
              <w:t xml:space="preserve">FUNDING </w:t>
            </w:r>
          </w:p>
        </w:tc>
        <w:tc>
          <w:tcPr>
            <w:tcW w:w="2145" w:type="dxa"/>
            <w:tcBorders>
              <w:top w:val="double" w:color="000000" w:sz="4" w:space="0"/>
              <w:left w:val="single" w:color="000000" w:sz="4" w:space="0"/>
              <w:bottom w:val="single" w:color="000000" w:sz="4" w:space="0"/>
              <w:right w:val="single" w:color="000000" w:sz="4" w:space="0"/>
            </w:tcBorders>
            <w:shd w:val="clear" w:color="auto" w:fill="FFFFCC"/>
            <w:noWrap w:val="0"/>
            <w:vAlign w:val="top"/>
          </w:tcPr>
          <w:p>
            <w:pPr>
              <w:widowControl w:val="0"/>
              <w:autoSpaceDE w:val="0"/>
              <w:autoSpaceDN w:val="0"/>
              <w:adjustRightInd w:val="0"/>
              <w:jc w:val="left"/>
              <w:rPr>
                <w:rFonts w:hint="default" w:ascii="Times New Roman" w:hAnsi="Times New Roman" w:cs="Times New Roman"/>
                <w:b/>
                <w:bCs/>
                <w:color w:val="auto"/>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0" w:type="pct"/>
            <w:tcBorders>
              <w:top w:val="single" w:color="000000" w:sz="4" w:space="0"/>
              <w:left w:val="single" w:color="000000" w:sz="4" w:space="0"/>
              <w:bottom w:val="doub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Funding </w:t>
            </w:r>
          </w:p>
        </w:tc>
        <w:tc>
          <w:tcPr>
            <w:tcW w:w="206" w:type="pct"/>
            <w:tcBorders>
              <w:top w:val="single" w:color="000000" w:sz="4" w:space="0"/>
              <w:left w:val="single" w:color="000000" w:sz="4" w:space="0"/>
              <w:bottom w:val="double" w:color="000000" w:sz="4" w:space="0"/>
              <w:right w:val="single" w:color="000000" w:sz="4" w:space="0"/>
            </w:tcBorders>
            <w:noWrap w:val="0"/>
            <w:vAlign w:val="top"/>
          </w:tcPr>
          <w:p>
            <w:pPr>
              <w:widowControl w:val="0"/>
              <w:autoSpaceDE w:val="0"/>
              <w:autoSpaceDN w:val="0"/>
              <w:adjustRightInd w:val="0"/>
              <w:spacing w:before="40" w:after="40"/>
              <w:jc w:val="righ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27</w:t>
            </w:r>
          </w:p>
        </w:tc>
        <w:tc>
          <w:tcPr>
            <w:tcW w:w="3363" w:type="pct"/>
            <w:tcBorders>
              <w:top w:val="single" w:color="000000" w:sz="4" w:space="0"/>
              <w:left w:val="single" w:color="000000" w:sz="4" w:space="0"/>
              <w:bottom w:val="double" w:color="000000" w:sz="4" w:space="0"/>
              <w:right w:val="single" w:color="000000" w:sz="4" w:space="0"/>
            </w:tcBorders>
            <w:noWrap w:val="0"/>
            <w:vAlign w:val="top"/>
          </w:tcPr>
          <w:p>
            <w:pPr>
              <w:widowControl w:val="0"/>
              <w:autoSpaceDE w:val="0"/>
              <w:autoSpaceDN w:val="0"/>
              <w:adjustRightInd w:val="0"/>
              <w:spacing w:before="40" w:after="4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Describe sources of funding for the systematic review and other support (e.g., supply of data); role of funders for the systematic review. </w:t>
            </w:r>
          </w:p>
        </w:tc>
        <w:tc>
          <w:tcPr>
            <w:tcW w:w="2145" w:type="dxa"/>
            <w:tcBorders>
              <w:top w:val="single" w:color="000000" w:sz="4" w:space="0"/>
              <w:left w:val="single" w:color="000000" w:sz="4" w:space="0"/>
              <w:bottom w:val="double" w:color="000000" w:sz="4" w:space="0"/>
              <w:right w:val="single" w:color="000000" w:sz="4" w:space="0"/>
            </w:tcBorders>
            <w:noWrap w:val="0"/>
            <w:vAlign w:val="top"/>
          </w:tcPr>
          <w:p>
            <w:pPr>
              <w:widowControl w:val="0"/>
              <w:autoSpaceDE w:val="0"/>
              <w:autoSpaceDN w:val="0"/>
              <w:adjustRightInd w:val="0"/>
              <w:spacing w:before="40" w:after="40"/>
              <w:jc w:val="left"/>
              <w:rPr>
                <w:rFonts w:hint="default" w:ascii="Times New Roman" w:hAnsi="Times New Roman" w:eastAsia="宋体" w:cs="Times New Roman"/>
                <w:b/>
                <w:bCs/>
                <w:color w:val="auto"/>
                <w:sz w:val="20"/>
                <w:szCs w:val="20"/>
                <w:highlight w:val="none"/>
                <w:lang w:val="en-US" w:eastAsia="zh-CN" w:bidi="ar-SA"/>
              </w:rPr>
            </w:pPr>
            <w:r>
              <w:rPr>
                <w:rFonts w:hint="eastAsia" w:cs="Times New Roman"/>
                <w:b/>
                <w:bCs/>
                <w:color w:val="auto"/>
                <w:sz w:val="20"/>
                <w:szCs w:val="20"/>
                <w:highlight w:val="none"/>
                <w:lang w:val="en-US" w:eastAsia="zh-CN" w:bidi="ar-SA"/>
              </w:rPr>
              <w:t>20</w:t>
            </w:r>
          </w:p>
        </w:tc>
      </w:tr>
    </w:tbl>
    <w:p>
      <w:pPr>
        <w:pStyle w:val="7"/>
        <w:keepNext w:val="0"/>
        <w:keepLines w:val="0"/>
        <w:pageBreakBefore w:val="0"/>
        <w:kinsoku/>
        <w:wordWrap/>
        <w:overflowPunct/>
        <w:topLinePunct w:val="0"/>
        <w:autoSpaceDE/>
        <w:autoSpaceDN/>
        <w:bidi w:val="0"/>
        <w:adjustRightInd/>
        <w:snapToGrid/>
        <w:spacing w:after="313" w:afterLines="100" w:afterAutospacing="0" w:line="300" w:lineRule="exact"/>
        <w:jc w:val="left"/>
        <w:rPr>
          <w:rFonts w:hint="default" w:ascii="Times New Roman" w:hAnsi="Times New Roman" w:eastAsia="宋体" w:cs="Times New Roman"/>
          <w:b w:val="0"/>
          <w:bCs w:val="0"/>
          <w:color w:val="auto"/>
          <w:sz w:val="24"/>
          <w:szCs w:val="24"/>
          <w:highlight w:val="magenta"/>
          <w:lang w:val="en-US" w:eastAsia="zh-CN"/>
        </w:rPr>
        <w:sectPr>
          <w:pgSz w:w="16838" w:h="11906" w:orient="landscape"/>
          <w:pgMar w:top="1800" w:right="1440" w:bottom="1800" w:left="1440" w:header="851" w:footer="992" w:gutter="0"/>
          <w:lnNumType w:countBy="1" w:restart="continuous"/>
          <w:cols w:space="720" w:num="1"/>
          <w:docGrid w:type="lines" w:linePitch="312" w:charSpace="0"/>
        </w:sectPr>
      </w:pPr>
    </w:p>
    <w:p>
      <w:pPr>
        <w:pStyle w:val="2"/>
        <w:keepNext w:val="0"/>
        <w:keepLines w:val="0"/>
        <w:pageBreakBefore w:val="0"/>
        <w:widowControl/>
        <w:suppressLineNumbers w:val="0"/>
        <w:shd w:val="clear" w:color="auto" w:fill="FFFFFF"/>
        <w:kinsoku/>
        <w:wordWrap/>
        <w:overflowPunct/>
        <w:topLinePunct w:val="0"/>
        <w:autoSpaceDE/>
        <w:autoSpaceDN/>
        <w:bidi w:val="0"/>
        <w:adjustRightInd/>
        <w:snapToGrid/>
        <w:spacing w:before="192" w:beforeAutospacing="0" w:after="0" w:afterAutospacing="0" w:line="300" w:lineRule="exact"/>
        <w:ind w:left="0" w:right="0" w:firstLine="0" w:firstLineChars="0"/>
        <w:jc w:val="left"/>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Table S</w:t>
      </w:r>
      <w:r>
        <w:rPr>
          <w:rFonts w:hint="eastAsia" w:ascii="Times New Roman" w:hAnsi="Times New Roman" w:eastAsia="宋体" w:cs="Times New Roman"/>
          <w:b w:val="0"/>
          <w:bCs w:val="0"/>
          <w:color w:val="auto"/>
          <w:sz w:val="24"/>
          <w:szCs w:val="24"/>
          <w:highlight w:val="none"/>
          <w:lang w:val="en-US" w:eastAsia="zh-CN"/>
        </w:rPr>
        <w:t>2</w:t>
      </w:r>
      <w:r>
        <w:rPr>
          <w:rFonts w:hint="default" w:ascii="Times New Roman" w:hAnsi="Times New Roman" w:eastAsia="宋体" w:cs="Times New Roman"/>
          <w:b w:val="0"/>
          <w:bCs w:val="0"/>
          <w:color w:val="auto"/>
          <w:sz w:val="24"/>
          <w:szCs w:val="24"/>
          <w:highlight w:val="none"/>
          <w:lang w:val="en-US" w:eastAsia="zh-CN"/>
        </w:rPr>
        <w:t>.</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Detailed search strategy for all databases</w:t>
      </w:r>
    </w:p>
    <w:p>
      <w:pPr>
        <w:pStyle w:val="2"/>
        <w:keepNext w:val="0"/>
        <w:keepLines w:val="0"/>
        <w:pageBreakBefore w:val="0"/>
        <w:widowControl/>
        <w:suppressLineNumbers w:val="0"/>
        <w:shd w:val="clear" w:color="auto" w:fill="FFFFFF"/>
        <w:kinsoku/>
        <w:wordWrap/>
        <w:overflowPunct/>
        <w:topLinePunct w:val="0"/>
        <w:autoSpaceDE/>
        <w:autoSpaceDN/>
        <w:bidi w:val="0"/>
        <w:adjustRightInd/>
        <w:snapToGrid/>
        <w:spacing w:before="192" w:beforeAutospacing="0" w:after="0" w:afterAutospacing="0" w:line="480" w:lineRule="auto"/>
        <w:ind w:left="0" w:right="0" w:firstLine="0" w:firstLineChars="0"/>
        <w:jc w:val="left"/>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 xml:space="preserve">Objective: </w:t>
      </w:r>
      <w:r>
        <w:rPr>
          <w:rFonts w:hint="default" w:ascii="Times New Roman" w:hAnsi="Times New Roman" w:eastAsia="宋体" w:cs="Times New Roman"/>
          <w:b w:val="0"/>
          <w:bCs w:val="0"/>
          <w:color w:val="auto"/>
          <w:sz w:val="24"/>
          <w:szCs w:val="24"/>
          <w:highlight w:val="none"/>
          <w:lang w:val="en-US" w:eastAsia="zh-CN"/>
        </w:rPr>
        <w:t>To identify all relevant studies evaluating the association between Tumor Burden Score (TBS) and prognosis in patients with Colorectal Liver Metastases (CRLM).</w:t>
      </w:r>
    </w:p>
    <w:p>
      <w:pPr>
        <w:pStyle w:val="2"/>
        <w:keepNext w:val="0"/>
        <w:keepLines w:val="0"/>
        <w:pageBreakBefore w:val="0"/>
        <w:widowControl/>
        <w:suppressLineNumbers w:val="0"/>
        <w:shd w:val="clear" w:color="auto" w:fill="FFFFFF"/>
        <w:kinsoku/>
        <w:wordWrap/>
        <w:overflowPunct/>
        <w:topLinePunct w:val="0"/>
        <w:autoSpaceDE/>
        <w:autoSpaceDN/>
        <w:bidi w:val="0"/>
        <w:adjustRightInd/>
        <w:snapToGrid/>
        <w:spacing w:before="192" w:beforeAutospacing="0" w:after="0" w:afterAutospacing="0" w:line="480" w:lineRule="auto"/>
        <w:ind w:left="0" w:right="0" w:firstLine="0" w:firstLineChars="0"/>
        <w:jc w:val="left"/>
        <w:textAlignment w:val="auto"/>
        <w:rPr>
          <w:rFonts w:hint="eastAsia"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Time frame:</w:t>
      </w:r>
      <w:r>
        <w:rPr>
          <w:rFonts w:hint="default" w:ascii="Times New Roman" w:hAnsi="Times New Roman" w:eastAsia="宋体" w:cs="Times New Roman"/>
          <w:b w:val="0"/>
          <w:bCs w:val="0"/>
          <w:color w:val="auto"/>
          <w:sz w:val="24"/>
          <w:szCs w:val="24"/>
          <w:highlight w:val="none"/>
          <w:lang w:val="en-US" w:eastAsia="zh-CN"/>
        </w:rPr>
        <w:t xml:space="preserve"> Database inception to September 30, 2025.</w:t>
      </w:r>
      <w:r>
        <w:rPr>
          <w:rFonts w:hint="eastAsia" w:ascii="Times New Roman" w:hAnsi="Times New Roman" w:eastAsia="宋体" w:cs="Times New Roman"/>
          <w:b w:val="0"/>
          <w:bCs w:val="0"/>
          <w:color w:val="auto"/>
          <w:sz w:val="24"/>
          <w:szCs w:val="24"/>
          <w:highlight w:val="none"/>
          <w:lang w:val="en-US" w:eastAsia="zh-CN"/>
        </w:rPr>
        <w:t xml:space="preserve"> </w:t>
      </w:r>
    </w:p>
    <w:p>
      <w:pPr>
        <w:pStyle w:val="2"/>
        <w:keepNext w:val="0"/>
        <w:keepLines w:val="0"/>
        <w:pageBreakBefore w:val="0"/>
        <w:widowControl/>
        <w:suppressLineNumbers w:val="0"/>
        <w:shd w:val="clear" w:color="auto" w:fill="FFFFFF"/>
        <w:kinsoku/>
        <w:wordWrap/>
        <w:overflowPunct/>
        <w:topLinePunct w:val="0"/>
        <w:autoSpaceDE/>
        <w:autoSpaceDN/>
        <w:bidi w:val="0"/>
        <w:adjustRightInd/>
        <w:snapToGrid/>
        <w:spacing w:before="192" w:beforeAutospacing="0" w:after="0" w:afterAutospacing="0" w:line="480" w:lineRule="auto"/>
        <w:ind w:left="0" w:right="0" w:firstLine="0" w:firstLineChars="0"/>
        <w:jc w:val="left"/>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Inclusion</w:t>
      </w:r>
      <w:r>
        <w:rPr>
          <w:rFonts w:hint="default" w:ascii="Times New Roman" w:hAnsi="Times New Roman" w:eastAsia="宋体" w:cs="Times New Roman"/>
          <w:b w:val="0"/>
          <w:bCs w:val="0"/>
          <w:color w:val="auto"/>
          <w:sz w:val="24"/>
          <w:szCs w:val="24"/>
          <w:highlight w:val="none"/>
          <w:lang w:val="en-US" w:eastAsia="zh-CN"/>
        </w:rPr>
        <w:t>: Combination of Subject Headings (MeSH/Emtree) and Free Text (Title/Abstract) terms.</w:t>
      </w:r>
    </w:p>
    <w:tbl>
      <w:tblPr>
        <w:tblStyle w:val="3"/>
        <w:tblW w:w="4994" w:type="pct"/>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54"/>
        <w:gridCol w:w="1429"/>
        <w:gridCol w:w="4746"/>
        <w:gridCol w:w="983"/>
      </w:tblGrid>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95" w:type="pct"/>
            <w:tcBorders>
              <w:top w:val="single" w:color="000000" w:sz="8" w:space="0"/>
              <w:left w:val="nil"/>
              <w:bottom w:val="single" w:color="000000" w:sz="8" w:space="0"/>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Database / Step</w:t>
            </w:r>
          </w:p>
        </w:tc>
        <w:tc>
          <w:tcPr>
            <w:tcW w:w="839" w:type="pct"/>
            <w:tcBorders>
              <w:top w:val="single" w:color="000000" w:sz="8" w:space="0"/>
              <w:left w:val="nil"/>
              <w:bottom w:val="single" w:color="000000" w:sz="8" w:space="0"/>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Concept</w:t>
            </w:r>
          </w:p>
        </w:tc>
        <w:tc>
          <w:tcPr>
            <w:tcW w:w="2787" w:type="pct"/>
            <w:tcBorders>
              <w:top w:val="single" w:color="000000" w:sz="8" w:space="0"/>
              <w:left w:val="nil"/>
              <w:bottom w:val="single" w:color="000000" w:sz="8" w:space="0"/>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Search Term / Command</w:t>
            </w:r>
          </w:p>
        </w:tc>
        <w:tc>
          <w:tcPr>
            <w:tcW w:w="577" w:type="pct"/>
            <w:tcBorders>
              <w:top w:val="single" w:color="000000" w:sz="8" w:space="0"/>
              <w:left w:val="nil"/>
              <w:bottom w:val="single" w:color="000000" w:sz="8" w:space="0"/>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Results</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95" w:type="pct"/>
            <w:tcBorders>
              <w:top w:val="single" w:color="000000" w:sz="8" w:space="0"/>
              <w:left w:val="nil"/>
              <w:bottom w:val="nil"/>
              <w:right w:val="nil"/>
              <w:tl2br w:val="nil"/>
              <w:tr2bl w:val="nil"/>
            </w:tcBorders>
            <w:shd w:val="clear" w:color="auto" w:fill="CCCCCC"/>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A. PubMed</w:t>
            </w:r>
          </w:p>
        </w:tc>
        <w:tc>
          <w:tcPr>
            <w:tcW w:w="839" w:type="pct"/>
            <w:tcBorders>
              <w:top w:val="single" w:color="000000" w:sz="8" w:space="0"/>
              <w:left w:val="nil"/>
              <w:bottom w:val="nil"/>
              <w:right w:val="nil"/>
              <w:tl2br w:val="nil"/>
              <w:tr2bl w:val="nil"/>
            </w:tcBorders>
            <w:shd w:val="clear" w:color="auto" w:fill="CCCCCC"/>
            <w:vAlign w:val="center"/>
          </w:tcPr>
          <w:p>
            <w:pPr>
              <w:jc w:val="both"/>
              <w:rPr>
                <w:rFonts w:hint="default" w:ascii="Times New Roman" w:hAnsi="Times New Roman" w:eastAsia="宋体" w:cs="Times New Roman"/>
                <w:i w:val="0"/>
                <w:iCs w:val="0"/>
                <w:color w:val="000000"/>
                <w:sz w:val="20"/>
                <w:szCs w:val="20"/>
                <w:u w:val="none"/>
              </w:rPr>
            </w:pPr>
          </w:p>
        </w:tc>
        <w:tc>
          <w:tcPr>
            <w:tcW w:w="2787" w:type="pct"/>
            <w:tcBorders>
              <w:top w:val="single" w:color="000000" w:sz="8" w:space="0"/>
              <w:left w:val="nil"/>
              <w:bottom w:val="nil"/>
              <w:right w:val="nil"/>
              <w:tl2br w:val="nil"/>
              <w:tr2bl w:val="nil"/>
            </w:tcBorders>
            <w:shd w:val="clear" w:color="auto" w:fill="CCCCCC"/>
            <w:vAlign w:val="center"/>
          </w:tcPr>
          <w:p>
            <w:pPr>
              <w:jc w:val="both"/>
              <w:rPr>
                <w:rFonts w:hint="default" w:ascii="Times New Roman" w:hAnsi="Times New Roman" w:eastAsia="宋体" w:cs="Times New Roman"/>
                <w:i w:val="0"/>
                <w:iCs w:val="0"/>
                <w:color w:val="000000"/>
                <w:sz w:val="20"/>
                <w:szCs w:val="20"/>
                <w:u w:val="none"/>
              </w:rPr>
            </w:pPr>
          </w:p>
        </w:tc>
        <w:tc>
          <w:tcPr>
            <w:tcW w:w="577" w:type="pct"/>
            <w:tcBorders>
              <w:top w:val="single" w:color="000000" w:sz="8" w:space="0"/>
              <w:left w:val="nil"/>
              <w:bottom w:val="nil"/>
              <w:right w:val="nil"/>
              <w:tl2br w:val="nil"/>
              <w:tr2bl w:val="nil"/>
            </w:tcBorders>
            <w:shd w:val="clear" w:color="auto" w:fill="CCCCCC"/>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176</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95"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S1</w:t>
            </w:r>
          </w:p>
        </w:tc>
        <w:tc>
          <w:tcPr>
            <w:tcW w:w="839"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P/I (MeSH)</w:t>
            </w:r>
          </w:p>
        </w:tc>
        <w:tc>
          <w:tcPr>
            <w:tcW w:w="2787"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"Colorectal Neoplasms"[MeSH] AND "Liver Neoplasms"[MeSH]</w:t>
            </w:r>
          </w:p>
        </w:tc>
        <w:tc>
          <w:tcPr>
            <w:tcW w:w="577"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795"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S2</w:t>
            </w:r>
          </w:p>
        </w:tc>
        <w:tc>
          <w:tcPr>
            <w:tcW w:w="839"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P/I (Free Text)</w:t>
            </w:r>
          </w:p>
        </w:tc>
        <w:tc>
          <w:tcPr>
            <w:tcW w:w="2787"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("colorectal liver metastasis" OR "colorectal liver metastases" OR CRLM OR "hepatic metastasis" OR "hepatic metastases") [Title/Abstract]</w:t>
            </w:r>
          </w:p>
        </w:tc>
        <w:tc>
          <w:tcPr>
            <w:tcW w:w="577"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95"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S3</w:t>
            </w:r>
          </w:p>
        </w:tc>
        <w:tc>
          <w:tcPr>
            <w:tcW w:w="839"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CRLM Concept</w:t>
            </w:r>
          </w:p>
        </w:tc>
        <w:tc>
          <w:tcPr>
            <w:tcW w:w="2787"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 OR #2</w:t>
            </w:r>
          </w:p>
        </w:tc>
        <w:tc>
          <w:tcPr>
            <w:tcW w:w="577"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95"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S4</w:t>
            </w:r>
          </w:p>
        </w:tc>
        <w:tc>
          <w:tcPr>
            <w:tcW w:w="839"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Exposure (MeSH)</w:t>
            </w:r>
          </w:p>
        </w:tc>
        <w:tc>
          <w:tcPr>
            <w:tcW w:w="2787"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"Tumor Burden"[MeSH] OR "Neoplasm Staging"[MeSH]</w:t>
            </w:r>
          </w:p>
        </w:tc>
        <w:tc>
          <w:tcPr>
            <w:tcW w:w="577"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PrEx>
        <w:trPr>
          <w:trHeight w:val="23" w:hRule="atLeast"/>
        </w:trPr>
        <w:tc>
          <w:tcPr>
            <w:tcW w:w="795"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S5</w:t>
            </w:r>
          </w:p>
        </w:tc>
        <w:tc>
          <w:tcPr>
            <w:tcW w:w="839"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Exposure (Free Text)</w:t>
            </w:r>
          </w:p>
        </w:tc>
        <w:tc>
          <w:tcPr>
            <w:tcW w:w="2787"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("tumor burden score" OR "tumor burden scores" OR TBS OR "tumor load score")[Title/Abstract]</w:t>
            </w:r>
          </w:p>
        </w:tc>
        <w:tc>
          <w:tcPr>
            <w:tcW w:w="577"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PrEx>
        <w:trPr>
          <w:trHeight w:val="90" w:hRule="atLeast"/>
        </w:trPr>
        <w:tc>
          <w:tcPr>
            <w:tcW w:w="795"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S6</w:t>
            </w:r>
          </w:p>
        </w:tc>
        <w:tc>
          <w:tcPr>
            <w:tcW w:w="839"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TBS Concept</w:t>
            </w:r>
          </w:p>
        </w:tc>
        <w:tc>
          <w:tcPr>
            <w:tcW w:w="2787"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 OR #5</w:t>
            </w:r>
          </w:p>
        </w:tc>
        <w:tc>
          <w:tcPr>
            <w:tcW w:w="577"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95"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S7</w:t>
            </w:r>
          </w:p>
        </w:tc>
        <w:tc>
          <w:tcPr>
            <w:tcW w:w="839"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Final Combination</w:t>
            </w:r>
          </w:p>
        </w:tc>
        <w:tc>
          <w:tcPr>
            <w:tcW w:w="2787"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 AND #6</w:t>
            </w:r>
          </w:p>
        </w:tc>
        <w:tc>
          <w:tcPr>
            <w:tcW w:w="577"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95" w:type="pct"/>
            <w:tcBorders>
              <w:top w:val="nil"/>
              <w:left w:val="nil"/>
              <w:bottom w:val="nil"/>
              <w:right w:val="nil"/>
              <w:tl2br w:val="nil"/>
              <w:tr2bl w:val="nil"/>
            </w:tcBorders>
            <w:shd w:val="clear" w:color="auto" w:fill="CCCCCC"/>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B. Embase (via Ovid)</w:t>
            </w:r>
          </w:p>
        </w:tc>
        <w:tc>
          <w:tcPr>
            <w:tcW w:w="839" w:type="pct"/>
            <w:tcBorders>
              <w:top w:val="nil"/>
              <w:left w:val="nil"/>
              <w:bottom w:val="nil"/>
              <w:right w:val="nil"/>
              <w:tl2br w:val="nil"/>
              <w:tr2bl w:val="nil"/>
            </w:tcBorders>
            <w:shd w:val="clear" w:color="auto" w:fill="CCCCCC"/>
            <w:vAlign w:val="center"/>
          </w:tcPr>
          <w:p>
            <w:pPr>
              <w:jc w:val="both"/>
              <w:rPr>
                <w:rFonts w:hint="default" w:ascii="Times New Roman" w:hAnsi="Times New Roman" w:eastAsia="宋体" w:cs="Times New Roman"/>
                <w:i w:val="0"/>
                <w:iCs w:val="0"/>
                <w:color w:val="000000"/>
                <w:sz w:val="20"/>
                <w:szCs w:val="20"/>
                <w:u w:val="none"/>
              </w:rPr>
            </w:pPr>
          </w:p>
        </w:tc>
        <w:tc>
          <w:tcPr>
            <w:tcW w:w="2787" w:type="pct"/>
            <w:tcBorders>
              <w:top w:val="nil"/>
              <w:left w:val="nil"/>
              <w:bottom w:val="nil"/>
              <w:right w:val="nil"/>
              <w:tl2br w:val="nil"/>
              <w:tr2bl w:val="nil"/>
            </w:tcBorders>
            <w:shd w:val="clear" w:color="auto" w:fill="CCCCCC"/>
            <w:vAlign w:val="center"/>
          </w:tcPr>
          <w:p>
            <w:pPr>
              <w:jc w:val="both"/>
              <w:rPr>
                <w:rFonts w:hint="default" w:ascii="Times New Roman" w:hAnsi="Times New Roman" w:eastAsia="宋体" w:cs="Times New Roman"/>
                <w:i w:val="0"/>
                <w:iCs w:val="0"/>
                <w:color w:val="000000"/>
                <w:sz w:val="20"/>
                <w:szCs w:val="20"/>
                <w:u w:val="none"/>
              </w:rPr>
            </w:pPr>
          </w:p>
        </w:tc>
        <w:tc>
          <w:tcPr>
            <w:tcW w:w="577" w:type="pct"/>
            <w:tcBorders>
              <w:top w:val="nil"/>
              <w:left w:val="nil"/>
              <w:bottom w:val="nil"/>
              <w:right w:val="nil"/>
              <w:tl2br w:val="nil"/>
              <w:tr2bl w:val="nil"/>
            </w:tcBorders>
            <w:shd w:val="clear" w:color="auto" w:fill="CCCCCC"/>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82</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95"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S1</w:t>
            </w:r>
          </w:p>
        </w:tc>
        <w:tc>
          <w:tcPr>
            <w:tcW w:w="839"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P/I (Emtree)</w:t>
            </w:r>
          </w:p>
        </w:tc>
        <w:tc>
          <w:tcPr>
            <w:tcW w:w="2787"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'colorectal cancer'/exp AND 'liver metastasis'/exp</w:t>
            </w:r>
          </w:p>
        </w:tc>
        <w:tc>
          <w:tcPr>
            <w:tcW w:w="577" w:type="pct"/>
            <w:tcBorders>
              <w:top w:val="nil"/>
              <w:left w:val="nil"/>
              <w:bottom w:val="nil"/>
              <w:right w:val="nil"/>
              <w:tl2br w:val="nil"/>
              <w:tr2bl w:val="nil"/>
            </w:tcBorders>
            <w:shd w:val="clear" w:color="auto" w:fill="FFFFFF"/>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95"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S2</w:t>
            </w:r>
          </w:p>
        </w:tc>
        <w:tc>
          <w:tcPr>
            <w:tcW w:w="839"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P/I (Free Text)</w:t>
            </w:r>
          </w:p>
        </w:tc>
        <w:tc>
          <w:tcPr>
            <w:tcW w:w="2787"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('colorectal liver metastasis' OR CRLM OR 'hepatic metastasis' OR 'liver metastasis of colorectal cancer'):ti,ab</w:t>
            </w:r>
          </w:p>
        </w:tc>
        <w:tc>
          <w:tcPr>
            <w:tcW w:w="577" w:type="pct"/>
            <w:tcBorders>
              <w:top w:val="nil"/>
              <w:left w:val="nil"/>
              <w:bottom w:val="nil"/>
              <w:right w:val="nil"/>
              <w:tl2br w:val="nil"/>
              <w:tr2bl w:val="nil"/>
            </w:tcBorders>
            <w:shd w:val="clear" w:color="auto" w:fill="FFFFFF"/>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95"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S3</w:t>
            </w:r>
          </w:p>
        </w:tc>
        <w:tc>
          <w:tcPr>
            <w:tcW w:w="839"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CRLM Concept</w:t>
            </w:r>
          </w:p>
        </w:tc>
        <w:tc>
          <w:tcPr>
            <w:tcW w:w="2787"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 OR #2</w:t>
            </w:r>
          </w:p>
        </w:tc>
        <w:tc>
          <w:tcPr>
            <w:tcW w:w="577" w:type="pct"/>
            <w:tcBorders>
              <w:top w:val="nil"/>
              <w:left w:val="nil"/>
              <w:bottom w:val="nil"/>
              <w:right w:val="nil"/>
              <w:tl2br w:val="nil"/>
              <w:tr2bl w:val="nil"/>
            </w:tcBorders>
            <w:shd w:val="clear" w:color="auto" w:fill="FFFFFF"/>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95"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S4</w:t>
            </w:r>
          </w:p>
        </w:tc>
        <w:tc>
          <w:tcPr>
            <w:tcW w:w="839"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Exposure (Free Text)</w:t>
            </w:r>
          </w:p>
        </w:tc>
        <w:tc>
          <w:tcPr>
            <w:tcW w:w="2787"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('tumor burden score' OR TBS OR 'tumor load score'):ti,ab</w:t>
            </w:r>
          </w:p>
        </w:tc>
        <w:tc>
          <w:tcPr>
            <w:tcW w:w="577" w:type="pct"/>
            <w:tcBorders>
              <w:top w:val="nil"/>
              <w:left w:val="nil"/>
              <w:bottom w:val="nil"/>
              <w:right w:val="nil"/>
              <w:tl2br w:val="nil"/>
              <w:tr2bl w:val="nil"/>
            </w:tcBorders>
            <w:shd w:val="clear" w:color="auto" w:fill="FFFFFF"/>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95" w:type="pct"/>
            <w:tcBorders>
              <w:top w:val="nil"/>
              <w:left w:val="nil"/>
              <w:bottom w:val="single" w:color="000000" w:sz="8" w:space="0"/>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S5</w:t>
            </w:r>
          </w:p>
        </w:tc>
        <w:tc>
          <w:tcPr>
            <w:tcW w:w="839" w:type="pct"/>
            <w:tcBorders>
              <w:top w:val="nil"/>
              <w:left w:val="nil"/>
              <w:bottom w:val="single" w:color="000000" w:sz="8" w:space="0"/>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Final Combination</w:t>
            </w:r>
          </w:p>
        </w:tc>
        <w:tc>
          <w:tcPr>
            <w:tcW w:w="2787" w:type="pct"/>
            <w:tcBorders>
              <w:top w:val="nil"/>
              <w:left w:val="nil"/>
              <w:bottom w:val="single" w:color="000000" w:sz="8" w:space="0"/>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 AND #4</w:t>
            </w:r>
          </w:p>
        </w:tc>
        <w:tc>
          <w:tcPr>
            <w:tcW w:w="577" w:type="pct"/>
            <w:tcBorders>
              <w:top w:val="nil"/>
              <w:left w:val="nil"/>
              <w:bottom w:val="single" w:color="000000" w:sz="8" w:space="0"/>
              <w:right w:val="nil"/>
              <w:tl2br w:val="nil"/>
              <w:tr2bl w:val="nil"/>
            </w:tcBorders>
            <w:shd w:val="clear" w:color="auto" w:fill="FFFFFF"/>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PrEx>
        <w:trPr>
          <w:trHeight w:val="23" w:hRule="atLeast"/>
        </w:trPr>
        <w:tc>
          <w:tcPr>
            <w:tcW w:w="795" w:type="pct"/>
            <w:tcBorders>
              <w:top w:val="single" w:color="000000" w:sz="8" w:space="0"/>
              <w:left w:val="nil"/>
              <w:bottom w:val="nil"/>
              <w:right w:val="nil"/>
              <w:tl2br w:val="nil"/>
              <w:tr2bl w:val="nil"/>
            </w:tcBorders>
            <w:shd w:val="clear" w:color="auto" w:fill="CCCCCC"/>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C. Web of Science</w:t>
            </w:r>
          </w:p>
        </w:tc>
        <w:tc>
          <w:tcPr>
            <w:tcW w:w="839" w:type="pct"/>
            <w:tcBorders>
              <w:top w:val="single" w:color="000000" w:sz="8" w:space="0"/>
              <w:left w:val="nil"/>
              <w:bottom w:val="nil"/>
              <w:right w:val="nil"/>
              <w:tl2br w:val="nil"/>
              <w:tr2bl w:val="nil"/>
            </w:tcBorders>
            <w:shd w:val="clear" w:color="auto" w:fill="CCCCCC"/>
            <w:vAlign w:val="center"/>
          </w:tcPr>
          <w:p>
            <w:pPr>
              <w:jc w:val="both"/>
              <w:rPr>
                <w:rFonts w:hint="default" w:ascii="Times New Roman" w:hAnsi="Times New Roman" w:eastAsia="宋体" w:cs="Times New Roman"/>
                <w:i w:val="0"/>
                <w:iCs w:val="0"/>
                <w:color w:val="000000"/>
                <w:sz w:val="20"/>
                <w:szCs w:val="20"/>
                <w:u w:val="none"/>
              </w:rPr>
            </w:pPr>
          </w:p>
        </w:tc>
        <w:tc>
          <w:tcPr>
            <w:tcW w:w="2787" w:type="pct"/>
            <w:tcBorders>
              <w:top w:val="single" w:color="000000" w:sz="8" w:space="0"/>
              <w:left w:val="nil"/>
              <w:bottom w:val="nil"/>
              <w:right w:val="nil"/>
              <w:tl2br w:val="nil"/>
              <w:tr2bl w:val="nil"/>
            </w:tcBorders>
            <w:shd w:val="clear" w:color="auto" w:fill="CCCCCC"/>
            <w:vAlign w:val="center"/>
          </w:tcPr>
          <w:p>
            <w:pPr>
              <w:jc w:val="both"/>
              <w:rPr>
                <w:rFonts w:hint="default" w:ascii="Times New Roman" w:hAnsi="Times New Roman" w:eastAsia="宋体" w:cs="Times New Roman"/>
                <w:i w:val="0"/>
                <w:iCs w:val="0"/>
                <w:color w:val="000000"/>
                <w:sz w:val="20"/>
                <w:szCs w:val="20"/>
                <w:u w:val="none"/>
              </w:rPr>
            </w:pPr>
          </w:p>
        </w:tc>
        <w:tc>
          <w:tcPr>
            <w:tcW w:w="577" w:type="pct"/>
            <w:tcBorders>
              <w:top w:val="single" w:color="000000" w:sz="8" w:space="0"/>
              <w:left w:val="nil"/>
              <w:bottom w:val="nil"/>
              <w:right w:val="nil"/>
              <w:tl2br w:val="nil"/>
              <w:tr2bl w:val="nil"/>
            </w:tcBorders>
            <w:shd w:val="clear" w:color="auto" w:fill="CCCCCC"/>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48</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95"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S1</w:t>
            </w:r>
          </w:p>
        </w:tc>
        <w:tc>
          <w:tcPr>
            <w:tcW w:w="839"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CRLM Concept</w:t>
            </w:r>
          </w:p>
        </w:tc>
        <w:tc>
          <w:tcPr>
            <w:tcW w:w="2787"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TS=("colorectal liver metastasis*" OR CRLM OR "hepatic metastasis*" OR "liver metastasis* of colorectal cancer")</w:t>
            </w:r>
          </w:p>
        </w:tc>
        <w:tc>
          <w:tcPr>
            <w:tcW w:w="577" w:type="pct"/>
            <w:tcBorders>
              <w:top w:val="nil"/>
              <w:left w:val="nil"/>
              <w:bottom w:val="nil"/>
              <w:right w:val="nil"/>
              <w:tl2br w:val="nil"/>
              <w:tr2bl w:val="nil"/>
            </w:tcBorders>
            <w:shd w:val="clear" w:color="auto" w:fill="FFFFFF"/>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95"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S2</w:t>
            </w:r>
          </w:p>
        </w:tc>
        <w:tc>
          <w:tcPr>
            <w:tcW w:w="839"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TBS Concept</w:t>
            </w:r>
          </w:p>
        </w:tc>
        <w:tc>
          <w:tcPr>
            <w:tcW w:w="2787"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TS=("tumor burden score" OR TBS OR "tumor load score" OR "tumor volume score")</w:t>
            </w:r>
          </w:p>
        </w:tc>
        <w:tc>
          <w:tcPr>
            <w:tcW w:w="577" w:type="pct"/>
            <w:tcBorders>
              <w:top w:val="nil"/>
              <w:left w:val="nil"/>
              <w:bottom w:val="nil"/>
              <w:right w:val="nil"/>
              <w:tl2br w:val="nil"/>
              <w:tr2bl w:val="nil"/>
            </w:tcBorders>
            <w:shd w:val="clear" w:color="auto" w:fill="FFFFFF"/>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PrEx>
        <w:trPr>
          <w:trHeight w:val="23" w:hRule="atLeast"/>
        </w:trPr>
        <w:tc>
          <w:tcPr>
            <w:tcW w:w="795" w:type="pct"/>
            <w:tcBorders>
              <w:top w:val="nil"/>
              <w:left w:val="nil"/>
              <w:bottom w:val="single" w:color="000000" w:sz="8" w:space="0"/>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S3</w:t>
            </w:r>
          </w:p>
        </w:tc>
        <w:tc>
          <w:tcPr>
            <w:tcW w:w="839" w:type="pct"/>
            <w:tcBorders>
              <w:top w:val="nil"/>
              <w:left w:val="nil"/>
              <w:bottom w:val="single" w:color="000000" w:sz="8" w:space="0"/>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Final Combination</w:t>
            </w:r>
          </w:p>
        </w:tc>
        <w:tc>
          <w:tcPr>
            <w:tcW w:w="2787" w:type="pct"/>
            <w:tcBorders>
              <w:top w:val="nil"/>
              <w:left w:val="nil"/>
              <w:bottom w:val="single" w:color="000000" w:sz="8" w:space="0"/>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 AND #2</w:t>
            </w:r>
          </w:p>
        </w:tc>
        <w:tc>
          <w:tcPr>
            <w:tcW w:w="577" w:type="pct"/>
            <w:tcBorders>
              <w:top w:val="nil"/>
              <w:left w:val="nil"/>
              <w:bottom w:val="single" w:color="000000" w:sz="8" w:space="0"/>
              <w:right w:val="nil"/>
              <w:tl2br w:val="nil"/>
              <w:tr2bl w:val="nil"/>
            </w:tcBorders>
            <w:shd w:val="clear" w:color="auto" w:fill="FFFFFF"/>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95" w:type="pct"/>
            <w:tcBorders>
              <w:top w:val="single" w:color="000000" w:sz="8" w:space="0"/>
              <w:left w:val="nil"/>
              <w:bottom w:val="single" w:color="000000" w:sz="8" w:space="0"/>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2"/>
                <w:sz w:val="20"/>
                <w:szCs w:val="20"/>
                <w:u w:val="none"/>
                <w:lang w:val="en-US" w:eastAsia="zh-CN" w:bidi="ar-SA"/>
              </w:rPr>
            </w:pPr>
            <w:r>
              <w:rPr>
                <w:rFonts w:hint="default" w:ascii="Times New Roman" w:hAnsi="Times New Roman" w:eastAsia="宋体" w:cs="Times New Roman"/>
                <w:b/>
                <w:bCs/>
                <w:i w:val="0"/>
                <w:iCs w:val="0"/>
                <w:color w:val="000000"/>
                <w:kern w:val="0"/>
                <w:sz w:val="20"/>
                <w:szCs w:val="20"/>
                <w:u w:val="none"/>
                <w:lang w:val="en-US" w:eastAsia="zh-CN" w:bidi="ar"/>
              </w:rPr>
              <w:t>Database / Step</w:t>
            </w:r>
          </w:p>
        </w:tc>
        <w:tc>
          <w:tcPr>
            <w:tcW w:w="839" w:type="pct"/>
            <w:tcBorders>
              <w:top w:val="single" w:color="000000" w:sz="8" w:space="0"/>
              <w:left w:val="nil"/>
              <w:bottom w:val="single" w:color="000000" w:sz="8" w:space="0"/>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2"/>
                <w:sz w:val="20"/>
                <w:szCs w:val="20"/>
                <w:u w:val="none"/>
                <w:lang w:val="en-US" w:eastAsia="zh-CN" w:bidi="ar-SA"/>
              </w:rPr>
            </w:pPr>
            <w:r>
              <w:rPr>
                <w:rFonts w:hint="default" w:ascii="Times New Roman" w:hAnsi="Times New Roman" w:eastAsia="宋体" w:cs="Times New Roman"/>
                <w:b/>
                <w:bCs/>
                <w:i w:val="0"/>
                <w:iCs w:val="0"/>
                <w:color w:val="000000"/>
                <w:kern w:val="0"/>
                <w:sz w:val="20"/>
                <w:szCs w:val="20"/>
                <w:u w:val="none"/>
                <w:lang w:val="en-US" w:eastAsia="zh-CN" w:bidi="ar"/>
              </w:rPr>
              <w:t>Concept</w:t>
            </w:r>
          </w:p>
        </w:tc>
        <w:tc>
          <w:tcPr>
            <w:tcW w:w="2787" w:type="pct"/>
            <w:tcBorders>
              <w:top w:val="single" w:color="000000" w:sz="8" w:space="0"/>
              <w:left w:val="nil"/>
              <w:bottom w:val="single" w:color="000000" w:sz="8" w:space="0"/>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2"/>
                <w:sz w:val="20"/>
                <w:szCs w:val="20"/>
                <w:u w:val="none"/>
                <w:lang w:val="en-US" w:eastAsia="zh-CN" w:bidi="ar-SA"/>
              </w:rPr>
            </w:pPr>
            <w:r>
              <w:rPr>
                <w:rFonts w:hint="default" w:ascii="Times New Roman" w:hAnsi="Times New Roman" w:eastAsia="宋体" w:cs="Times New Roman"/>
                <w:b/>
                <w:bCs/>
                <w:i w:val="0"/>
                <w:iCs w:val="0"/>
                <w:color w:val="000000"/>
                <w:kern w:val="0"/>
                <w:sz w:val="20"/>
                <w:szCs w:val="20"/>
                <w:u w:val="none"/>
                <w:lang w:val="en-US" w:eastAsia="zh-CN" w:bidi="ar"/>
              </w:rPr>
              <w:t>Search Term / Command</w:t>
            </w:r>
          </w:p>
        </w:tc>
        <w:tc>
          <w:tcPr>
            <w:tcW w:w="577" w:type="pct"/>
            <w:tcBorders>
              <w:top w:val="single" w:color="000000" w:sz="8" w:space="0"/>
              <w:left w:val="nil"/>
              <w:bottom w:val="single" w:color="000000" w:sz="8" w:space="0"/>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2"/>
                <w:sz w:val="20"/>
                <w:szCs w:val="20"/>
                <w:u w:val="none"/>
                <w:lang w:val="en-US" w:eastAsia="zh-CN" w:bidi="ar-SA"/>
              </w:rPr>
            </w:pPr>
            <w:r>
              <w:rPr>
                <w:rFonts w:hint="default" w:ascii="Times New Roman" w:hAnsi="Times New Roman" w:eastAsia="宋体" w:cs="Times New Roman"/>
                <w:b/>
                <w:bCs/>
                <w:i w:val="0"/>
                <w:iCs w:val="0"/>
                <w:color w:val="000000"/>
                <w:kern w:val="0"/>
                <w:sz w:val="20"/>
                <w:szCs w:val="20"/>
                <w:u w:val="none"/>
                <w:lang w:val="en-US" w:eastAsia="zh-CN" w:bidi="ar"/>
              </w:rPr>
              <w:t>Results</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95" w:type="pct"/>
            <w:tcBorders>
              <w:top w:val="single" w:color="000000" w:sz="8" w:space="0"/>
              <w:left w:val="nil"/>
              <w:bottom w:val="nil"/>
              <w:right w:val="nil"/>
              <w:tl2br w:val="nil"/>
              <w:tr2bl w:val="nil"/>
            </w:tcBorders>
            <w:shd w:val="clear" w:color="auto" w:fill="CCCCCC"/>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D. Scopus</w:t>
            </w:r>
          </w:p>
        </w:tc>
        <w:tc>
          <w:tcPr>
            <w:tcW w:w="839" w:type="pct"/>
            <w:tcBorders>
              <w:top w:val="single" w:color="000000" w:sz="8" w:space="0"/>
              <w:left w:val="nil"/>
              <w:bottom w:val="nil"/>
              <w:right w:val="nil"/>
              <w:tl2br w:val="nil"/>
              <w:tr2bl w:val="nil"/>
            </w:tcBorders>
            <w:shd w:val="clear" w:color="auto" w:fill="CCCCCC"/>
            <w:vAlign w:val="center"/>
          </w:tcPr>
          <w:p>
            <w:pPr>
              <w:jc w:val="both"/>
              <w:rPr>
                <w:rFonts w:hint="default" w:ascii="Times New Roman" w:hAnsi="Times New Roman" w:eastAsia="宋体" w:cs="Times New Roman"/>
                <w:i w:val="0"/>
                <w:iCs w:val="0"/>
                <w:color w:val="000000"/>
                <w:sz w:val="20"/>
                <w:szCs w:val="20"/>
                <w:u w:val="none"/>
              </w:rPr>
            </w:pPr>
          </w:p>
        </w:tc>
        <w:tc>
          <w:tcPr>
            <w:tcW w:w="2787" w:type="pct"/>
            <w:tcBorders>
              <w:top w:val="single" w:color="000000" w:sz="8" w:space="0"/>
              <w:left w:val="nil"/>
              <w:bottom w:val="nil"/>
              <w:right w:val="nil"/>
              <w:tl2br w:val="nil"/>
              <w:tr2bl w:val="nil"/>
            </w:tcBorders>
            <w:shd w:val="clear" w:color="auto" w:fill="CCCCCC"/>
            <w:vAlign w:val="center"/>
          </w:tcPr>
          <w:p>
            <w:pPr>
              <w:jc w:val="both"/>
              <w:rPr>
                <w:rFonts w:hint="default" w:ascii="Times New Roman" w:hAnsi="Times New Roman" w:eastAsia="宋体" w:cs="Times New Roman"/>
                <w:i w:val="0"/>
                <w:iCs w:val="0"/>
                <w:color w:val="000000"/>
                <w:sz w:val="20"/>
                <w:szCs w:val="20"/>
                <w:u w:val="none"/>
              </w:rPr>
            </w:pPr>
          </w:p>
        </w:tc>
        <w:tc>
          <w:tcPr>
            <w:tcW w:w="577" w:type="pct"/>
            <w:tcBorders>
              <w:top w:val="single" w:color="000000" w:sz="8" w:space="0"/>
              <w:left w:val="nil"/>
              <w:bottom w:val="nil"/>
              <w:right w:val="nil"/>
              <w:tl2br w:val="nil"/>
              <w:tr2bl w:val="nil"/>
            </w:tcBorders>
            <w:shd w:val="clear" w:color="auto" w:fill="CCCCCC"/>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66</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95"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S1</w:t>
            </w:r>
          </w:p>
        </w:tc>
        <w:tc>
          <w:tcPr>
            <w:tcW w:w="839"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CRLM Concept</w:t>
            </w:r>
          </w:p>
        </w:tc>
        <w:tc>
          <w:tcPr>
            <w:tcW w:w="2787"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TITLE-ABS-KEY("colorectal liver metastasis" OR CRLM OR "hepatic metastasis")</w:t>
            </w:r>
          </w:p>
        </w:tc>
        <w:tc>
          <w:tcPr>
            <w:tcW w:w="577" w:type="pct"/>
            <w:tcBorders>
              <w:top w:val="nil"/>
              <w:left w:val="nil"/>
              <w:bottom w:val="nil"/>
              <w:right w:val="nil"/>
              <w:tl2br w:val="nil"/>
              <w:tr2bl w:val="nil"/>
            </w:tcBorders>
            <w:shd w:val="clear" w:color="auto" w:fill="FFFFFF"/>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95"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S2</w:t>
            </w:r>
          </w:p>
        </w:tc>
        <w:tc>
          <w:tcPr>
            <w:tcW w:w="839"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TBS Concept</w:t>
            </w:r>
          </w:p>
        </w:tc>
        <w:tc>
          <w:tcPr>
            <w:tcW w:w="2787"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TITLE-ABS-KEY("tumor burden score" OR TBS OR "tumor load score")</w:t>
            </w:r>
          </w:p>
        </w:tc>
        <w:tc>
          <w:tcPr>
            <w:tcW w:w="577" w:type="pct"/>
            <w:tcBorders>
              <w:top w:val="nil"/>
              <w:left w:val="nil"/>
              <w:bottom w:val="nil"/>
              <w:right w:val="nil"/>
              <w:tl2br w:val="nil"/>
              <w:tr2bl w:val="nil"/>
            </w:tcBorders>
            <w:shd w:val="clear" w:color="auto" w:fill="FFFFFF"/>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PrEx>
        <w:trPr>
          <w:trHeight w:val="23" w:hRule="atLeast"/>
        </w:trPr>
        <w:tc>
          <w:tcPr>
            <w:tcW w:w="795"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S3</w:t>
            </w:r>
          </w:p>
        </w:tc>
        <w:tc>
          <w:tcPr>
            <w:tcW w:w="839"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Final Combination</w:t>
            </w:r>
          </w:p>
        </w:tc>
        <w:tc>
          <w:tcPr>
            <w:tcW w:w="2787" w:type="pct"/>
            <w:tcBorders>
              <w:top w:val="nil"/>
              <w:left w:val="nil"/>
              <w:bottom w:val="nil"/>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 AND #2</w:t>
            </w:r>
          </w:p>
        </w:tc>
        <w:tc>
          <w:tcPr>
            <w:tcW w:w="577" w:type="pct"/>
            <w:tcBorders>
              <w:top w:val="nil"/>
              <w:left w:val="nil"/>
              <w:bottom w:val="nil"/>
              <w:right w:val="nil"/>
              <w:tl2br w:val="nil"/>
              <w:tr2bl w:val="nil"/>
            </w:tcBorders>
            <w:shd w:val="clear" w:color="auto" w:fill="FFFFFF"/>
            <w:vAlign w:val="center"/>
          </w:tcPr>
          <w:p>
            <w:pPr>
              <w:jc w:val="both"/>
              <w:rPr>
                <w:rFonts w:hint="default" w:ascii="Times New Roman" w:hAnsi="Times New Roman" w:eastAsia="宋体" w:cs="Times New Roman"/>
                <w:i w:val="0"/>
                <w:iCs w:val="0"/>
                <w:color w:val="000000"/>
                <w:sz w:val="20"/>
                <w:szCs w:val="20"/>
                <w:u w:val="none"/>
              </w:rPr>
            </w:pP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PrEx>
        <w:trPr>
          <w:trHeight w:val="23" w:hRule="atLeast"/>
        </w:trPr>
        <w:tc>
          <w:tcPr>
            <w:tcW w:w="795" w:type="pct"/>
            <w:tcBorders>
              <w:top w:val="nil"/>
              <w:left w:val="nil"/>
              <w:bottom w:val="nil"/>
              <w:right w:val="nil"/>
              <w:tl2br w:val="nil"/>
              <w:tr2bl w:val="nil"/>
            </w:tcBorders>
            <w:shd w:val="clear" w:color="auto" w:fill="CCCCCC"/>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E. CNKI, Wanfang, VIP</w:t>
            </w:r>
          </w:p>
        </w:tc>
        <w:tc>
          <w:tcPr>
            <w:tcW w:w="839" w:type="pct"/>
            <w:tcBorders>
              <w:top w:val="nil"/>
              <w:left w:val="nil"/>
              <w:bottom w:val="nil"/>
              <w:right w:val="nil"/>
              <w:tl2br w:val="nil"/>
              <w:tr2bl w:val="nil"/>
            </w:tcBorders>
            <w:shd w:val="clear" w:color="auto" w:fill="CCCCCC"/>
            <w:vAlign w:val="center"/>
          </w:tcPr>
          <w:p>
            <w:pPr>
              <w:jc w:val="both"/>
              <w:rPr>
                <w:rFonts w:hint="default" w:ascii="Times New Roman" w:hAnsi="Times New Roman" w:eastAsia="宋体" w:cs="Times New Roman"/>
                <w:i w:val="0"/>
                <w:iCs w:val="0"/>
                <w:color w:val="000000"/>
                <w:sz w:val="20"/>
                <w:szCs w:val="20"/>
                <w:u w:val="none"/>
              </w:rPr>
            </w:pPr>
          </w:p>
        </w:tc>
        <w:tc>
          <w:tcPr>
            <w:tcW w:w="2787" w:type="pct"/>
            <w:tcBorders>
              <w:top w:val="nil"/>
              <w:left w:val="nil"/>
              <w:bottom w:val="nil"/>
              <w:right w:val="nil"/>
              <w:tl2br w:val="nil"/>
              <w:tr2bl w:val="nil"/>
            </w:tcBorders>
            <w:shd w:val="clear" w:color="auto" w:fill="CCCCCC"/>
            <w:vAlign w:val="center"/>
          </w:tcPr>
          <w:p>
            <w:pPr>
              <w:jc w:val="both"/>
              <w:rPr>
                <w:rFonts w:hint="default" w:ascii="Times New Roman" w:hAnsi="Times New Roman" w:eastAsia="宋体" w:cs="Times New Roman"/>
                <w:i w:val="0"/>
                <w:iCs w:val="0"/>
                <w:color w:val="000000"/>
                <w:sz w:val="20"/>
                <w:szCs w:val="20"/>
                <w:u w:val="none"/>
              </w:rPr>
            </w:pPr>
          </w:p>
        </w:tc>
        <w:tc>
          <w:tcPr>
            <w:tcW w:w="577" w:type="pct"/>
            <w:tcBorders>
              <w:top w:val="nil"/>
              <w:left w:val="nil"/>
              <w:bottom w:val="nil"/>
              <w:right w:val="nil"/>
              <w:tl2br w:val="nil"/>
              <w:tr2bl w:val="nil"/>
            </w:tcBorders>
            <w:shd w:val="clear" w:color="auto" w:fill="CCCCCC"/>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27</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95" w:type="pct"/>
            <w:tcBorders>
              <w:top w:val="nil"/>
              <w:left w:val="nil"/>
              <w:bottom w:val="single" w:color="000000" w:sz="8" w:space="0"/>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S1</w:t>
            </w:r>
          </w:p>
        </w:tc>
        <w:tc>
          <w:tcPr>
            <w:tcW w:w="839" w:type="pct"/>
            <w:tcBorders>
              <w:top w:val="nil"/>
              <w:left w:val="nil"/>
              <w:bottom w:val="single" w:color="000000" w:sz="8" w:space="0"/>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Final Combination</w:t>
            </w:r>
          </w:p>
        </w:tc>
        <w:tc>
          <w:tcPr>
            <w:tcW w:w="2787" w:type="pct"/>
            <w:tcBorders>
              <w:top w:val="nil"/>
              <w:left w:val="nil"/>
              <w:bottom w:val="single" w:color="000000" w:sz="8" w:space="0"/>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Subject/Keywords: ("</w:t>
            </w:r>
            <w:r>
              <w:rPr>
                <w:rStyle w:val="8"/>
                <w:lang w:val="en-US" w:eastAsia="zh-CN" w:bidi="ar"/>
              </w:rPr>
              <w:t>肿瘤负荷评分</w:t>
            </w:r>
            <w:r>
              <w:rPr>
                <w:rStyle w:val="9"/>
                <w:rFonts w:eastAsia="宋体"/>
                <w:lang w:val="en-US" w:eastAsia="zh-CN" w:bidi="ar"/>
              </w:rPr>
              <w:t>" OR "TBS") AND ("</w:t>
            </w:r>
            <w:r>
              <w:rPr>
                <w:rStyle w:val="8"/>
                <w:lang w:val="en-US" w:eastAsia="zh-CN" w:bidi="ar"/>
              </w:rPr>
              <w:t>结直肠癌肝转移</w:t>
            </w:r>
            <w:r>
              <w:rPr>
                <w:rStyle w:val="9"/>
                <w:rFonts w:eastAsia="宋体"/>
                <w:lang w:val="en-US" w:eastAsia="zh-CN" w:bidi="ar"/>
              </w:rPr>
              <w:t>" OR "</w:t>
            </w:r>
            <w:r>
              <w:rPr>
                <w:rStyle w:val="8"/>
                <w:lang w:val="en-US" w:eastAsia="zh-CN" w:bidi="ar"/>
              </w:rPr>
              <w:t>结直肠肝转移</w:t>
            </w:r>
            <w:r>
              <w:rPr>
                <w:rStyle w:val="9"/>
                <w:rFonts w:eastAsia="宋体"/>
                <w:lang w:val="en-US" w:eastAsia="zh-CN" w:bidi="ar"/>
              </w:rPr>
              <w:t>" OR "CRLM")</w:t>
            </w:r>
          </w:p>
        </w:tc>
        <w:tc>
          <w:tcPr>
            <w:tcW w:w="577" w:type="pct"/>
            <w:tcBorders>
              <w:top w:val="nil"/>
              <w:left w:val="nil"/>
              <w:bottom w:val="single" w:color="000000" w:sz="8" w:space="0"/>
              <w:right w:val="nil"/>
              <w:tl2br w:val="nil"/>
              <w:tr2bl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(2+20+5)</w:t>
            </w:r>
          </w:p>
        </w:tc>
      </w:tr>
    </w:tbl>
    <w:p>
      <w:pPr>
        <w:pStyle w:val="7"/>
        <w:keepNext w:val="0"/>
        <w:keepLines w:val="0"/>
        <w:pageBreakBefore w:val="0"/>
        <w:kinsoku/>
        <w:wordWrap/>
        <w:overflowPunct/>
        <w:topLinePunct w:val="0"/>
        <w:autoSpaceDE/>
        <w:autoSpaceDN/>
        <w:bidi w:val="0"/>
        <w:adjustRightInd/>
        <w:snapToGrid/>
        <w:spacing w:after="313" w:afterLines="100" w:afterAutospacing="0" w:line="300" w:lineRule="exact"/>
        <w:jc w:val="left"/>
        <w:rPr>
          <w:rFonts w:hint="default" w:ascii="Times New Roman" w:hAnsi="Times New Roman" w:eastAsia="宋体" w:cs="Times New Roman"/>
          <w:b w:val="0"/>
          <w:bCs w:val="0"/>
          <w:color w:val="auto"/>
          <w:sz w:val="24"/>
          <w:szCs w:val="24"/>
          <w:highlight w:val="none"/>
          <w:lang w:val="en-US" w:eastAsia="zh-CN"/>
        </w:rPr>
        <w:sectPr>
          <w:pgSz w:w="11906" w:h="16838"/>
          <w:pgMar w:top="1440" w:right="1800" w:bottom="1440" w:left="1800" w:header="851" w:footer="992" w:gutter="0"/>
          <w:lnNumType w:countBy="1" w:restart="continuous"/>
          <w:cols w:space="720" w:num="1"/>
          <w:docGrid w:type="lines" w:linePitch="312" w:charSpace="0"/>
        </w:sectPr>
      </w:pPr>
    </w:p>
    <w:p>
      <w:pPr>
        <w:pStyle w:val="2"/>
        <w:keepNext w:val="0"/>
        <w:keepLines w:val="0"/>
        <w:pageBreakBefore w:val="0"/>
        <w:widowControl/>
        <w:suppressLineNumbers w:val="0"/>
        <w:shd w:val="clear" w:color="auto" w:fill="FFFFFF"/>
        <w:kinsoku/>
        <w:wordWrap/>
        <w:overflowPunct/>
        <w:topLinePunct w:val="0"/>
        <w:autoSpaceDE/>
        <w:autoSpaceDN/>
        <w:bidi w:val="0"/>
        <w:adjustRightInd/>
        <w:snapToGrid/>
        <w:spacing w:before="192" w:beforeAutospacing="0" w:after="0" w:afterAutospacing="0" w:line="300" w:lineRule="exact"/>
        <w:ind w:left="0" w:right="0" w:firstLine="0" w:firstLineChars="0"/>
        <w:jc w:val="left"/>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Table S3. Summary of covariates included in the multivariate Cox proportional hazards models for the Overall Survival cohort.</w:t>
      </w:r>
    </w:p>
    <w:tbl>
      <w:tblPr>
        <w:tblStyle w:val="3"/>
        <w:tblW w:w="149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70"/>
        <w:gridCol w:w="1910"/>
        <w:gridCol w:w="1014"/>
        <w:gridCol w:w="108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1170"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b/>
                <w:bCs/>
                <w:i w:val="0"/>
                <w:iCs w:val="0"/>
                <w:color w:val="auto"/>
                <w:sz w:val="20"/>
                <w:szCs w:val="20"/>
                <w:u w:val="none"/>
              </w:rPr>
            </w:pPr>
            <w:r>
              <w:rPr>
                <w:rFonts w:hint="eastAsia" w:cs="Times New Roman"/>
                <w:b/>
                <w:bCs/>
                <w:i w:val="0"/>
                <w:iCs w:val="0"/>
                <w:color w:val="auto"/>
                <w:kern w:val="0"/>
                <w:sz w:val="20"/>
                <w:szCs w:val="20"/>
                <w:u w:val="none"/>
                <w:lang w:val="en-US" w:eastAsia="zh-CN" w:bidi="ar"/>
              </w:rPr>
              <w:t>First a</w:t>
            </w:r>
            <w:r>
              <w:rPr>
                <w:rFonts w:hint="default" w:ascii="Times New Roman" w:hAnsi="Times New Roman" w:eastAsia="等线" w:cs="Times New Roman"/>
                <w:b/>
                <w:bCs/>
                <w:i w:val="0"/>
                <w:iCs w:val="0"/>
                <w:color w:val="auto"/>
                <w:kern w:val="0"/>
                <w:sz w:val="20"/>
                <w:szCs w:val="20"/>
                <w:u w:val="none"/>
                <w:lang w:val="en-US" w:eastAsia="zh-CN" w:bidi="ar"/>
              </w:rPr>
              <w:t>uthor</w:t>
            </w:r>
          </w:p>
        </w:tc>
        <w:tc>
          <w:tcPr>
            <w:tcW w:w="1910"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b/>
                <w:bCs/>
                <w:i w:val="0"/>
                <w:iCs w:val="0"/>
                <w:color w:val="auto"/>
                <w:sz w:val="20"/>
                <w:szCs w:val="20"/>
                <w:u w:val="none"/>
                <w:lang w:val="en-US"/>
              </w:rPr>
            </w:pPr>
            <w:r>
              <w:rPr>
                <w:rFonts w:hint="default" w:ascii="Times New Roman" w:hAnsi="Times New Roman" w:eastAsia="等线" w:cs="Times New Roman"/>
                <w:b/>
                <w:bCs/>
                <w:i w:val="0"/>
                <w:iCs w:val="0"/>
                <w:color w:val="auto"/>
                <w:kern w:val="0"/>
                <w:sz w:val="20"/>
                <w:szCs w:val="20"/>
                <w:u w:val="none"/>
                <w:lang w:val="en-US" w:eastAsia="zh-CN" w:bidi="ar"/>
              </w:rPr>
              <w:t>Perioperative chemotherapy</w:t>
            </w:r>
            <w:r>
              <w:rPr>
                <w:rFonts w:hint="eastAsia" w:cs="Times New Roman"/>
                <w:b/>
                <w:bCs/>
                <w:i w:val="0"/>
                <w:iCs w:val="0"/>
                <w:color w:val="auto"/>
                <w:kern w:val="0"/>
                <w:sz w:val="20"/>
                <w:szCs w:val="20"/>
                <w:u w:val="none"/>
                <w:lang w:val="en-US" w:eastAsia="zh-CN" w:bidi="ar"/>
              </w:rPr>
              <w:t xml:space="preserve"> (</w:t>
            </w:r>
            <w:r>
              <w:rPr>
                <w:rFonts w:hint="default" w:ascii="Times New Roman" w:hAnsi="Times New Roman" w:eastAsia="等线" w:cs="Times New Roman"/>
                <w:b/>
                <w:bCs/>
                <w:i w:val="0"/>
                <w:iCs w:val="0"/>
                <w:color w:val="auto"/>
                <w:kern w:val="0"/>
                <w:sz w:val="20"/>
                <w:szCs w:val="20"/>
                <w:u w:val="none"/>
                <w:lang w:val="en-US" w:eastAsia="zh-CN" w:bidi="ar"/>
              </w:rPr>
              <w:t>%</w:t>
            </w:r>
            <w:r>
              <w:rPr>
                <w:rFonts w:hint="eastAsia" w:cs="Times New Roman"/>
                <w:b/>
                <w:bCs/>
                <w:i w:val="0"/>
                <w:iCs w:val="0"/>
                <w:color w:val="auto"/>
                <w:kern w:val="0"/>
                <w:sz w:val="20"/>
                <w:szCs w:val="20"/>
                <w:u w:val="none"/>
                <w:lang w:val="en-US" w:eastAsia="zh-CN" w:bidi="ar"/>
              </w:rPr>
              <w:t>)</w:t>
            </w:r>
          </w:p>
        </w:tc>
        <w:tc>
          <w:tcPr>
            <w:tcW w:w="1014"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b/>
                <w:bCs/>
                <w:i w:val="0"/>
                <w:iCs w:val="0"/>
                <w:color w:val="auto"/>
                <w:sz w:val="20"/>
                <w:szCs w:val="20"/>
                <w:u w:val="none"/>
              </w:rPr>
            </w:pPr>
            <w:r>
              <w:rPr>
                <w:rFonts w:hint="default" w:ascii="Times New Roman" w:hAnsi="Times New Roman" w:eastAsia="等线" w:cs="Times New Roman"/>
                <w:b/>
                <w:bCs/>
                <w:i w:val="0"/>
                <w:iCs w:val="0"/>
                <w:color w:val="auto"/>
                <w:kern w:val="0"/>
                <w:sz w:val="20"/>
                <w:szCs w:val="20"/>
                <w:u w:val="none"/>
                <w:lang w:val="en-US" w:eastAsia="zh-CN" w:bidi="ar"/>
              </w:rPr>
              <w:t>KRAS adjusted</w:t>
            </w:r>
          </w:p>
        </w:tc>
        <w:tc>
          <w:tcPr>
            <w:tcW w:w="10811"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b/>
                <w:bCs/>
                <w:i w:val="0"/>
                <w:iCs w:val="0"/>
                <w:color w:val="auto"/>
                <w:sz w:val="20"/>
                <w:szCs w:val="20"/>
                <w:u w:val="none"/>
                <w:lang w:val="en-US"/>
              </w:rPr>
            </w:pPr>
            <w:r>
              <w:rPr>
                <w:rFonts w:hint="default" w:ascii="Times New Roman" w:hAnsi="Times New Roman" w:eastAsia="等线" w:cs="Times New Roman"/>
                <w:b/>
                <w:bCs/>
                <w:i w:val="0"/>
                <w:iCs w:val="0"/>
                <w:color w:val="auto"/>
                <w:kern w:val="0"/>
                <w:sz w:val="20"/>
                <w:szCs w:val="20"/>
                <w:u w:val="none"/>
                <w:lang w:val="en-US" w:eastAsia="zh-CN" w:bidi="ar"/>
              </w:rPr>
              <w:t>Covariate</w:t>
            </w:r>
            <w:r>
              <w:rPr>
                <w:rFonts w:hint="eastAsia" w:cs="Times New Roman"/>
                <w:b/>
                <w:bCs/>
                <w:i w:val="0"/>
                <w:iCs w:val="0"/>
                <w:color w:val="auto"/>
                <w:kern w:val="0"/>
                <w:sz w:val="20"/>
                <w:szCs w:val="20"/>
                <w:u w:val="none"/>
                <w:lang w:val="en-US" w:eastAsia="zh-CN" w:bidi="ar"/>
              </w:rPr>
              <w: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117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u w:val="none"/>
              </w:rPr>
            </w:pPr>
            <w:r>
              <w:rPr>
                <w:rFonts w:hint="default" w:ascii="Times New Roman" w:hAnsi="Times New Roman" w:eastAsia="等线" w:cs="Times New Roman"/>
                <w:i w:val="0"/>
                <w:iCs w:val="0"/>
                <w:color w:val="auto"/>
                <w:kern w:val="0"/>
                <w:sz w:val="20"/>
                <w:szCs w:val="20"/>
                <w:u w:val="none"/>
                <w:lang w:val="en-US" w:eastAsia="zh-CN" w:bidi="ar"/>
              </w:rPr>
              <w:t>Sasaki</w:t>
            </w:r>
          </w:p>
        </w:tc>
        <w:tc>
          <w:tcPr>
            <w:tcW w:w="191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u w:val="none"/>
              </w:rPr>
            </w:pPr>
            <w:r>
              <w:rPr>
                <w:rFonts w:hint="default" w:ascii="Times New Roman" w:hAnsi="Times New Roman" w:eastAsia="等线" w:cs="Times New Roman"/>
                <w:i w:val="0"/>
                <w:iCs w:val="0"/>
                <w:color w:val="auto"/>
                <w:kern w:val="0"/>
                <w:sz w:val="20"/>
                <w:szCs w:val="20"/>
                <w:u w:val="none"/>
                <w:lang w:val="en-US" w:eastAsia="zh-CN" w:bidi="ar"/>
              </w:rPr>
              <w:t>65.4</w:t>
            </w:r>
          </w:p>
        </w:tc>
        <w:tc>
          <w:tcPr>
            <w:tcW w:w="10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u w:val="none"/>
              </w:rPr>
            </w:pPr>
            <w:r>
              <w:rPr>
                <w:rFonts w:hint="default" w:ascii="Times New Roman" w:hAnsi="Times New Roman" w:eastAsia="等线" w:cs="Times New Roman"/>
                <w:i w:val="0"/>
                <w:iCs w:val="0"/>
                <w:color w:val="auto"/>
                <w:kern w:val="0"/>
                <w:sz w:val="20"/>
                <w:szCs w:val="20"/>
                <w:u w:val="none"/>
                <w:lang w:val="en-US" w:eastAsia="zh-CN" w:bidi="ar"/>
              </w:rPr>
              <w:t>Yes</w:t>
            </w:r>
          </w:p>
        </w:tc>
        <w:tc>
          <w:tcPr>
            <w:tcW w:w="1081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u w:val="none"/>
              </w:rPr>
            </w:pPr>
            <w:r>
              <w:rPr>
                <w:rFonts w:hint="default" w:ascii="Times New Roman" w:hAnsi="Times New Roman" w:eastAsia="等线" w:cs="Times New Roman"/>
                <w:i w:val="0"/>
                <w:iCs w:val="0"/>
                <w:color w:val="auto"/>
                <w:kern w:val="0"/>
                <w:sz w:val="20"/>
                <w:szCs w:val="20"/>
                <w:u w:val="none"/>
                <w:lang w:val="en-US" w:eastAsia="zh-CN" w:bidi="ar"/>
              </w:rPr>
              <w:t>Nodal metastases,Preoperative CEA, Extrahepatic disease, KRAS status, Liver resection, Resection margin width</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117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u w:val="none"/>
              </w:rPr>
            </w:pPr>
            <w:r>
              <w:rPr>
                <w:rFonts w:hint="default" w:ascii="Times New Roman" w:hAnsi="Times New Roman" w:eastAsia="等线" w:cs="Times New Roman"/>
                <w:i w:val="0"/>
                <w:iCs w:val="0"/>
                <w:color w:val="auto"/>
                <w:kern w:val="0"/>
                <w:sz w:val="20"/>
                <w:szCs w:val="20"/>
                <w:u w:val="none"/>
                <w:lang w:val="en-US" w:eastAsia="zh-CN" w:bidi="ar"/>
              </w:rPr>
              <w:t>Mao</w:t>
            </w:r>
          </w:p>
        </w:tc>
        <w:tc>
          <w:tcPr>
            <w:tcW w:w="191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u w:val="none"/>
              </w:rPr>
            </w:pPr>
            <w:r>
              <w:rPr>
                <w:rFonts w:hint="default" w:ascii="Times New Roman" w:hAnsi="Times New Roman" w:eastAsia="等线" w:cs="Times New Roman"/>
                <w:i w:val="0"/>
                <w:iCs w:val="0"/>
                <w:color w:val="auto"/>
                <w:kern w:val="0"/>
                <w:sz w:val="20"/>
                <w:szCs w:val="20"/>
                <w:u w:val="none"/>
                <w:lang w:val="en-US" w:eastAsia="zh-CN" w:bidi="ar"/>
              </w:rPr>
              <w:t>65</w:t>
            </w:r>
            <w:r>
              <w:rPr>
                <w:rFonts w:hint="eastAsia" w:cs="Times New Roman"/>
                <w:i w:val="0"/>
                <w:iCs w:val="0"/>
                <w:color w:val="auto"/>
                <w:kern w:val="0"/>
                <w:sz w:val="20"/>
                <w:szCs w:val="20"/>
                <w:u w:val="none"/>
                <w:lang w:val="en-US" w:eastAsia="zh-CN" w:bidi="ar"/>
              </w:rPr>
              <w:t>.0</w:t>
            </w:r>
          </w:p>
        </w:tc>
        <w:tc>
          <w:tcPr>
            <w:tcW w:w="10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u w:val="none"/>
              </w:rPr>
            </w:pPr>
            <w:r>
              <w:rPr>
                <w:rFonts w:hint="default" w:ascii="Times New Roman" w:hAnsi="Times New Roman" w:eastAsia="等线" w:cs="Times New Roman"/>
                <w:i w:val="0"/>
                <w:iCs w:val="0"/>
                <w:color w:val="auto"/>
                <w:kern w:val="0"/>
                <w:sz w:val="20"/>
                <w:szCs w:val="20"/>
                <w:u w:val="none"/>
                <w:lang w:val="en-US" w:eastAsia="zh-CN" w:bidi="ar"/>
              </w:rPr>
              <w:t>No</w:t>
            </w:r>
          </w:p>
        </w:tc>
        <w:tc>
          <w:tcPr>
            <w:tcW w:w="1081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u w:val="none"/>
              </w:rPr>
            </w:pPr>
            <w:r>
              <w:rPr>
                <w:rFonts w:hint="default" w:ascii="Times New Roman" w:hAnsi="Times New Roman" w:eastAsia="等线" w:cs="Times New Roman"/>
                <w:i w:val="0"/>
                <w:iCs w:val="0"/>
                <w:color w:val="auto"/>
                <w:kern w:val="0"/>
                <w:sz w:val="20"/>
                <w:szCs w:val="20"/>
                <w:u w:val="none"/>
                <w:lang w:val="en-US" w:eastAsia="zh-CN" w:bidi="ar"/>
              </w:rPr>
              <w:t>CEA, Lymphovascular invasion, Node-positive primary tumor, Synchronous metastasis, Initial unresectability, Number of metastases, Bilobar distribution, R1 resection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117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u w:val="none"/>
              </w:rPr>
            </w:pPr>
            <w:r>
              <w:rPr>
                <w:rFonts w:hint="default" w:ascii="Times New Roman" w:hAnsi="Times New Roman" w:eastAsia="等线" w:cs="Times New Roman"/>
                <w:i w:val="0"/>
                <w:iCs w:val="0"/>
                <w:color w:val="auto"/>
                <w:kern w:val="0"/>
                <w:sz w:val="20"/>
                <w:szCs w:val="20"/>
                <w:u w:val="none"/>
                <w:lang w:val="en-US" w:eastAsia="zh-CN" w:bidi="ar"/>
              </w:rPr>
              <w:t>Andreou</w:t>
            </w:r>
          </w:p>
        </w:tc>
        <w:tc>
          <w:tcPr>
            <w:tcW w:w="191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u w:val="none"/>
              </w:rPr>
            </w:pPr>
            <w:r>
              <w:rPr>
                <w:rFonts w:hint="default" w:ascii="Times New Roman" w:hAnsi="Times New Roman" w:eastAsia="等线" w:cs="Times New Roman"/>
                <w:i w:val="0"/>
                <w:iCs w:val="0"/>
                <w:color w:val="auto"/>
                <w:kern w:val="0"/>
                <w:sz w:val="20"/>
                <w:szCs w:val="20"/>
                <w:u w:val="none"/>
                <w:lang w:val="en-US" w:eastAsia="zh-CN" w:bidi="ar"/>
              </w:rPr>
              <w:t>75</w:t>
            </w:r>
            <w:r>
              <w:rPr>
                <w:rFonts w:hint="eastAsia" w:cs="Times New Roman"/>
                <w:i w:val="0"/>
                <w:iCs w:val="0"/>
                <w:color w:val="auto"/>
                <w:kern w:val="0"/>
                <w:sz w:val="20"/>
                <w:szCs w:val="20"/>
                <w:u w:val="none"/>
                <w:lang w:val="en-US" w:eastAsia="zh-CN" w:bidi="ar"/>
              </w:rPr>
              <w:t>.0</w:t>
            </w:r>
          </w:p>
        </w:tc>
        <w:tc>
          <w:tcPr>
            <w:tcW w:w="10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u w:val="none"/>
              </w:rPr>
            </w:pPr>
            <w:r>
              <w:rPr>
                <w:rFonts w:hint="default" w:ascii="Times New Roman" w:hAnsi="Times New Roman" w:eastAsia="等线" w:cs="Times New Roman"/>
                <w:i w:val="0"/>
                <w:iCs w:val="0"/>
                <w:color w:val="auto"/>
                <w:kern w:val="0"/>
                <w:sz w:val="20"/>
                <w:szCs w:val="20"/>
                <w:u w:val="none"/>
                <w:lang w:val="en-US" w:eastAsia="zh-CN" w:bidi="ar"/>
              </w:rPr>
              <w:t>No</w:t>
            </w:r>
          </w:p>
        </w:tc>
        <w:tc>
          <w:tcPr>
            <w:tcW w:w="1081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u w:val="none"/>
                <w:lang w:val="en-US"/>
              </w:rPr>
            </w:pPr>
            <w:r>
              <w:rPr>
                <w:rFonts w:hint="default" w:ascii="Times New Roman" w:hAnsi="Times New Roman" w:eastAsia="等线" w:cs="Times New Roman"/>
                <w:i w:val="0"/>
                <w:iCs w:val="0"/>
                <w:color w:val="auto"/>
                <w:kern w:val="0"/>
                <w:sz w:val="20"/>
                <w:szCs w:val="20"/>
                <w:u w:val="none"/>
                <w:lang w:val="en-US" w:eastAsia="zh-CN" w:bidi="ar"/>
              </w:rPr>
              <w:t>NA</w:t>
            </w:r>
            <w:r>
              <w:rPr>
                <w:rFonts w:hint="eastAsia" w:cs="Times New Roman"/>
                <w:i w:val="0"/>
                <w:iCs w:val="0"/>
                <w:color w:val="auto"/>
                <w:kern w:val="0"/>
                <w:sz w:val="20"/>
                <w:szCs w:val="20"/>
                <w:u w:val="none"/>
                <w:lang w:val="en-US" w:eastAsia="zh-CN" w:bidi="ar"/>
              </w:rPr>
              <w:t xml:space="preserve"> (Univariate)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117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highlight w:val="none"/>
                <w:u w:val="none"/>
              </w:rPr>
            </w:pPr>
            <w:r>
              <w:rPr>
                <w:rFonts w:hint="default" w:ascii="Times New Roman" w:hAnsi="Times New Roman" w:eastAsia="等线" w:cs="Times New Roman"/>
                <w:i w:val="0"/>
                <w:iCs w:val="0"/>
                <w:color w:val="auto"/>
                <w:kern w:val="0"/>
                <w:sz w:val="20"/>
                <w:szCs w:val="20"/>
                <w:highlight w:val="none"/>
                <w:u w:val="none"/>
                <w:lang w:val="en-US" w:eastAsia="zh-CN" w:bidi="ar"/>
              </w:rPr>
              <w:t>Conci</w:t>
            </w:r>
          </w:p>
        </w:tc>
        <w:tc>
          <w:tcPr>
            <w:tcW w:w="191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highlight w:val="none"/>
                <w:u w:val="none"/>
              </w:rPr>
            </w:pPr>
            <w:r>
              <w:rPr>
                <w:rFonts w:hint="default" w:ascii="Times New Roman" w:hAnsi="Times New Roman" w:eastAsia="等线" w:cs="Times New Roman"/>
                <w:i w:val="0"/>
                <w:iCs w:val="0"/>
                <w:color w:val="auto"/>
                <w:kern w:val="0"/>
                <w:sz w:val="20"/>
                <w:szCs w:val="20"/>
                <w:highlight w:val="none"/>
                <w:u w:val="none"/>
                <w:lang w:val="en-US" w:eastAsia="zh-CN" w:bidi="ar"/>
              </w:rPr>
              <w:t>Not available</w:t>
            </w:r>
          </w:p>
        </w:tc>
        <w:tc>
          <w:tcPr>
            <w:tcW w:w="10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highlight w:val="none"/>
                <w:u w:val="none"/>
              </w:rPr>
            </w:pPr>
            <w:r>
              <w:rPr>
                <w:rFonts w:hint="default" w:ascii="Times New Roman" w:hAnsi="Times New Roman" w:eastAsia="等线" w:cs="Times New Roman"/>
                <w:i w:val="0"/>
                <w:iCs w:val="0"/>
                <w:color w:val="auto"/>
                <w:kern w:val="0"/>
                <w:sz w:val="20"/>
                <w:szCs w:val="20"/>
                <w:highlight w:val="none"/>
                <w:u w:val="none"/>
                <w:lang w:val="en-US" w:eastAsia="zh-CN" w:bidi="ar"/>
              </w:rPr>
              <w:t>Yes</w:t>
            </w:r>
          </w:p>
        </w:tc>
        <w:tc>
          <w:tcPr>
            <w:tcW w:w="1081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highlight w:val="none"/>
                <w:u w:val="none"/>
              </w:rPr>
            </w:pPr>
            <w:r>
              <w:rPr>
                <w:rFonts w:hint="default" w:ascii="Times New Roman" w:hAnsi="Times New Roman" w:eastAsia="等线" w:cs="Times New Roman"/>
                <w:i w:val="0"/>
                <w:iCs w:val="0"/>
                <w:color w:val="auto"/>
                <w:kern w:val="0"/>
                <w:sz w:val="20"/>
                <w:szCs w:val="20"/>
                <w:highlight w:val="none"/>
                <w:u w:val="none"/>
                <w:lang w:val="en-US" w:eastAsia="zh-CN" w:bidi="ar"/>
              </w:rPr>
              <w:t>Primary tumor location, Radicality Primary, Lobar distribution, KRAS status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117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highlight w:val="none"/>
                <w:u w:val="none"/>
              </w:rPr>
            </w:pPr>
            <w:r>
              <w:rPr>
                <w:rFonts w:hint="default" w:ascii="Times New Roman" w:hAnsi="Times New Roman" w:eastAsia="等线" w:cs="Times New Roman"/>
                <w:i w:val="0"/>
                <w:iCs w:val="0"/>
                <w:color w:val="auto"/>
                <w:kern w:val="0"/>
                <w:sz w:val="20"/>
                <w:szCs w:val="20"/>
                <w:highlight w:val="none"/>
                <w:u w:val="none"/>
                <w:lang w:val="en-US" w:eastAsia="zh-CN" w:bidi="ar"/>
              </w:rPr>
              <w:t>Peng</w:t>
            </w:r>
          </w:p>
        </w:tc>
        <w:tc>
          <w:tcPr>
            <w:tcW w:w="191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highlight w:val="none"/>
                <w:u w:val="none"/>
              </w:rPr>
            </w:pPr>
            <w:r>
              <w:rPr>
                <w:rFonts w:hint="default" w:ascii="Times New Roman" w:hAnsi="Times New Roman" w:eastAsia="等线" w:cs="Times New Roman"/>
                <w:i w:val="0"/>
                <w:iCs w:val="0"/>
                <w:color w:val="auto"/>
                <w:kern w:val="0"/>
                <w:sz w:val="20"/>
                <w:szCs w:val="20"/>
                <w:highlight w:val="none"/>
                <w:u w:val="none"/>
                <w:lang w:val="en-US" w:eastAsia="zh-CN" w:bidi="ar"/>
              </w:rPr>
              <w:t>0</w:t>
            </w:r>
            <w:r>
              <w:rPr>
                <w:rFonts w:hint="eastAsia" w:cs="Times New Roman"/>
                <w:i w:val="0"/>
                <w:iCs w:val="0"/>
                <w:color w:val="auto"/>
                <w:kern w:val="0"/>
                <w:sz w:val="20"/>
                <w:szCs w:val="20"/>
                <w:u w:val="none"/>
                <w:lang w:val="en-US" w:eastAsia="zh-CN" w:bidi="ar"/>
              </w:rPr>
              <w:t>.0</w:t>
            </w:r>
          </w:p>
        </w:tc>
        <w:tc>
          <w:tcPr>
            <w:tcW w:w="10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highlight w:val="none"/>
                <w:u w:val="none"/>
              </w:rPr>
            </w:pPr>
            <w:r>
              <w:rPr>
                <w:rFonts w:hint="default" w:ascii="Times New Roman" w:hAnsi="Times New Roman" w:eastAsia="等线" w:cs="Times New Roman"/>
                <w:i w:val="0"/>
                <w:iCs w:val="0"/>
                <w:color w:val="auto"/>
                <w:kern w:val="0"/>
                <w:sz w:val="20"/>
                <w:szCs w:val="20"/>
                <w:highlight w:val="none"/>
                <w:u w:val="none"/>
                <w:lang w:val="en-US" w:eastAsia="zh-CN" w:bidi="ar"/>
              </w:rPr>
              <w:t>No</w:t>
            </w:r>
          </w:p>
        </w:tc>
        <w:tc>
          <w:tcPr>
            <w:tcW w:w="1081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highlight w:val="none"/>
                <w:u w:val="none"/>
              </w:rPr>
            </w:pPr>
            <w:r>
              <w:rPr>
                <w:rFonts w:hint="default" w:ascii="Times New Roman" w:hAnsi="Times New Roman" w:eastAsia="等线" w:cs="Times New Roman"/>
                <w:i w:val="0"/>
                <w:iCs w:val="0"/>
                <w:color w:val="auto"/>
                <w:kern w:val="0"/>
                <w:sz w:val="20"/>
                <w:szCs w:val="20"/>
                <w:u w:val="none"/>
                <w:lang w:val="en-US" w:eastAsia="zh-CN" w:bidi="ar"/>
              </w:rPr>
              <w:t>NA</w:t>
            </w:r>
            <w:r>
              <w:rPr>
                <w:rFonts w:hint="eastAsia" w:cs="Times New Roman"/>
                <w:i w:val="0"/>
                <w:iCs w:val="0"/>
                <w:color w:val="auto"/>
                <w:kern w:val="0"/>
                <w:sz w:val="20"/>
                <w:szCs w:val="20"/>
                <w:u w:val="none"/>
                <w:lang w:val="en-US" w:eastAsia="zh-CN" w:bidi="ar"/>
              </w:rPr>
              <w:t xml:space="preserve"> (Univariate)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117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highlight w:val="none"/>
                <w:u w:val="none"/>
              </w:rPr>
            </w:pPr>
            <w:r>
              <w:rPr>
                <w:rFonts w:hint="default" w:ascii="Times New Roman" w:hAnsi="Times New Roman" w:eastAsia="等线" w:cs="Times New Roman"/>
                <w:i w:val="0"/>
                <w:iCs w:val="0"/>
                <w:color w:val="auto"/>
                <w:kern w:val="0"/>
                <w:sz w:val="20"/>
                <w:szCs w:val="20"/>
                <w:highlight w:val="none"/>
                <w:u w:val="none"/>
                <w:lang w:val="en-US" w:eastAsia="zh-CN" w:bidi="ar"/>
              </w:rPr>
              <w:t>Tsilimigras</w:t>
            </w:r>
          </w:p>
        </w:tc>
        <w:tc>
          <w:tcPr>
            <w:tcW w:w="191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highlight w:val="none"/>
                <w:u w:val="none"/>
              </w:rPr>
            </w:pPr>
            <w:r>
              <w:rPr>
                <w:rFonts w:hint="default" w:ascii="Times New Roman" w:hAnsi="Times New Roman" w:eastAsia="等线" w:cs="Times New Roman"/>
                <w:i w:val="0"/>
                <w:iCs w:val="0"/>
                <w:color w:val="auto"/>
                <w:kern w:val="0"/>
                <w:sz w:val="20"/>
                <w:szCs w:val="20"/>
                <w:highlight w:val="none"/>
                <w:u w:val="none"/>
                <w:lang w:val="en-US" w:eastAsia="zh-CN" w:bidi="ar"/>
              </w:rPr>
              <w:t>59</w:t>
            </w:r>
            <w:r>
              <w:rPr>
                <w:rFonts w:hint="eastAsia" w:cs="Times New Roman"/>
                <w:i w:val="0"/>
                <w:iCs w:val="0"/>
                <w:color w:val="auto"/>
                <w:kern w:val="0"/>
                <w:sz w:val="20"/>
                <w:szCs w:val="20"/>
                <w:u w:val="none"/>
                <w:lang w:val="en-US" w:eastAsia="zh-CN" w:bidi="ar"/>
              </w:rPr>
              <w:t>.0</w:t>
            </w:r>
          </w:p>
        </w:tc>
        <w:tc>
          <w:tcPr>
            <w:tcW w:w="10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highlight w:val="none"/>
                <w:u w:val="none"/>
              </w:rPr>
            </w:pPr>
            <w:r>
              <w:rPr>
                <w:rFonts w:hint="default" w:ascii="Times New Roman" w:hAnsi="Times New Roman" w:eastAsia="等线" w:cs="Times New Roman"/>
                <w:i w:val="0"/>
                <w:iCs w:val="0"/>
                <w:color w:val="auto"/>
                <w:kern w:val="0"/>
                <w:sz w:val="20"/>
                <w:szCs w:val="20"/>
                <w:highlight w:val="none"/>
                <w:u w:val="none"/>
                <w:lang w:val="en-US" w:eastAsia="zh-CN" w:bidi="ar"/>
              </w:rPr>
              <w:t>No</w:t>
            </w:r>
          </w:p>
        </w:tc>
        <w:tc>
          <w:tcPr>
            <w:tcW w:w="1081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highlight w:val="none"/>
                <w:u w:val="none"/>
              </w:rPr>
            </w:pPr>
            <w:r>
              <w:rPr>
                <w:rFonts w:hint="default" w:ascii="Times New Roman" w:hAnsi="Times New Roman" w:eastAsia="等线" w:cs="Times New Roman"/>
                <w:i w:val="0"/>
                <w:iCs w:val="0"/>
                <w:color w:val="auto"/>
                <w:kern w:val="0"/>
                <w:sz w:val="20"/>
                <w:szCs w:val="20"/>
                <w:highlight w:val="none"/>
                <w:u w:val="none"/>
                <w:lang w:val="en-US" w:eastAsia="zh-CN" w:bidi="ar"/>
              </w:rPr>
              <w:t>CEA,</w:t>
            </w:r>
            <w:r>
              <w:rPr>
                <w:rFonts w:hint="eastAsia" w:cs="Times New Roman"/>
                <w:i w:val="0"/>
                <w:iCs w:val="0"/>
                <w:color w:val="auto"/>
                <w:kern w:val="0"/>
                <w:sz w:val="20"/>
                <w:szCs w:val="20"/>
                <w:highlight w:val="none"/>
                <w:u w:val="none"/>
                <w:lang w:val="en-US" w:eastAsia="zh-CN" w:bidi="ar"/>
              </w:rPr>
              <w:t xml:space="preserve"> </w:t>
            </w:r>
            <w:r>
              <w:rPr>
                <w:rFonts w:hint="default" w:ascii="Times New Roman" w:hAnsi="Times New Roman" w:eastAsia="等线" w:cs="Times New Roman"/>
                <w:i w:val="0"/>
                <w:iCs w:val="0"/>
                <w:color w:val="auto"/>
                <w:kern w:val="0"/>
                <w:sz w:val="20"/>
                <w:szCs w:val="20"/>
                <w:highlight w:val="none"/>
                <w:u w:val="none"/>
                <w:lang w:val="en-US" w:eastAsia="zh-CN" w:bidi="ar"/>
              </w:rPr>
              <w:t>Type of liver resection, Minimally invasive liver resection, Chemotherapy before hepatectomy, Extrahepatic disease at hepatectomy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117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highlight w:val="none"/>
                <w:u w:val="none"/>
              </w:rPr>
            </w:pPr>
            <w:r>
              <w:rPr>
                <w:rFonts w:hint="default" w:ascii="Times New Roman" w:hAnsi="Times New Roman" w:eastAsia="等线" w:cs="Times New Roman"/>
                <w:i w:val="0"/>
                <w:iCs w:val="0"/>
                <w:color w:val="auto"/>
                <w:kern w:val="0"/>
                <w:sz w:val="20"/>
                <w:szCs w:val="20"/>
                <w:highlight w:val="none"/>
                <w:u w:val="none"/>
                <w:lang w:val="en-US" w:eastAsia="zh-CN" w:bidi="ar"/>
              </w:rPr>
              <w:t>Xu</w:t>
            </w:r>
          </w:p>
        </w:tc>
        <w:tc>
          <w:tcPr>
            <w:tcW w:w="191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highlight w:val="none"/>
                <w:u w:val="none"/>
              </w:rPr>
            </w:pPr>
            <w:r>
              <w:rPr>
                <w:rFonts w:hint="default" w:ascii="Times New Roman" w:hAnsi="Times New Roman" w:eastAsia="等线" w:cs="Times New Roman"/>
                <w:i w:val="0"/>
                <w:iCs w:val="0"/>
                <w:color w:val="auto"/>
                <w:kern w:val="0"/>
                <w:sz w:val="20"/>
                <w:szCs w:val="20"/>
                <w:highlight w:val="none"/>
                <w:u w:val="none"/>
                <w:lang w:val="en-US" w:eastAsia="zh-CN" w:bidi="ar"/>
              </w:rPr>
              <w:t>100</w:t>
            </w:r>
            <w:r>
              <w:rPr>
                <w:rFonts w:hint="eastAsia" w:cs="Times New Roman"/>
                <w:i w:val="0"/>
                <w:iCs w:val="0"/>
                <w:color w:val="auto"/>
                <w:kern w:val="0"/>
                <w:sz w:val="20"/>
                <w:szCs w:val="20"/>
                <w:u w:val="none"/>
                <w:lang w:val="en-US" w:eastAsia="zh-CN" w:bidi="ar"/>
              </w:rPr>
              <w:t>.0</w:t>
            </w:r>
          </w:p>
        </w:tc>
        <w:tc>
          <w:tcPr>
            <w:tcW w:w="10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highlight w:val="none"/>
                <w:u w:val="none"/>
              </w:rPr>
            </w:pPr>
            <w:r>
              <w:rPr>
                <w:rFonts w:hint="default" w:ascii="Times New Roman" w:hAnsi="Times New Roman" w:eastAsia="等线" w:cs="Times New Roman"/>
                <w:i w:val="0"/>
                <w:iCs w:val="0"/>
                <w:color w:val="auto"/>
                <w:kern w:val="0"/>
                <w:sz w:val="20"/>
                <w:szCs w:val="20"/>
                <w:highlight w:val="none"/>
                <w:u w:val="none"/>
                <w:lang w:val="en-US" w:eastAsia="zh-CN" w:bidi="ar"/>
              </w:rPr>
              <w:t>No</w:t>
            </w:r>
          </w:p>
        </w:tc>
        <w:tc>
          <w:tcPr>
            <w:tcW w:w="1081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highlight w:val="none"/>
                <w:u w:val="none"/>
              </w:rPr>
            </w:pPr>
            <w:r>
              <w:rPr>
                <w:rFonts w:hint="default" w:ascii="Times New Roman" w:hAnsi="Times New Roman" w:eastAsia="等线" w:cs="Times New Roman"/>
                <w:i w:val="0"/>
                <w:iCs w:val="0"/>
                <w:color w:val="auto"/>
                <w:kern w:val="0"/>
                <w:sz w:val="20"/>
                <w:szCs w:val="20"/>
                <w:highlight w:val="none"/>
                <w:u w:val="none"/>
                <w:lang w:val="en-US" w:eastAsia="zh-CN" w:bidi="ar"/>
              </w:rPr>
              <w:t>PCRRLM,Lymph node status, Synchronous LM, LM number, LM diameter, Hepatic lobe involvement, CRS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117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highlight w:val="none"/>
                <w:u w:val="none"/>
              </w:rPr>
            </w:pPr>
            <w:r>
              <w:rPr>
                <w:rFonts w:hint="default" w:ascii="Times New Roman" w:hAnsi="Times New Roman" w:eastAsia="等线" w:cs="Times New Roman"/>
                <w:i w:val="0"/>
                <w:iCs w:val="0"/>
                <w:color w:val="auto"/>
                <w:kern w:val="0"/>
                <w:sz w:val="20"/>
                <w:szCs w:val="20"/>
                <w:highlight w:val="none"/>
                <w:u w:val="none"/>
                <w:lang w:val="en-US" w:eastAsia="zh-CN" w:bidi="ar"/>
              </w:rPr>
              <w:t>Shimagaki</w:t>
            </w:r>
          </w:p>
        </w:tc>
        <w:tc>
          <w:tcPr>
            <w:tcW w:w="191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highlight w:val="none"/>
                <w:u w:val="none"/>
              </w:rPr>
            </w:pPr>
            <w:r>
              <w:rPr>
                <w:rFonts w:hint="default" w:ascii="Times New Roman" w:hAnsi="Times New Roman" w:eastAsia="等线" w:cs="Times New Roman"/>
                <w:i w:val="0"/>
                <w:iCs w:val="0"/>
                <w:color w:val="auto"/>
                <w:kern w:val="0"/>
                <w:sz w:val="20"/>
                <w:szCs w:val="20"/>
                <w:highlight w:val="none"/>
                <w:u w:val="none"/>
                <w:lang w:val="en-US" w:eastAsia="zh-CN" w:bidi="ar"/>
              </w:rPr>
              <w:t>60.1</w:t>
            </w:r>
          </w:p>
        </w:tc>
        <w:tc>
          <w:tcPr>
            <w:tcW w:w="10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highlight w:val="none"/>
                <w:u w:val="none"/>
              </w:rPr>
            </w:pPr>
            <w:r>
              <w:rPr>
                <w:rFonts w:hint="default" w:ascii="Times New Roman" w:hAnsi="Times New Roman" w:eastAsia="等线" w:cs="Times New Roman"/>
                <w:i w:val="0"/>
                <w:iCs w:val="0"/>
                <w:color w:val="auto"/>
                <w:kern w:val="0"/>
                <w:sz w:val="20"/>
                <w:szCs w:val="20"/>
                <w:highlight w:val="none"/>
                <w:u w:val="none"/>
                <w:lang w:val="en-US" w:eastAsia="zh-CN" w:bidi="ar"/>
              </w:rPr>
              <w:t>No</w:t>
            </w:r>
          </w:p>
        </w:tc>
        <w:tc>
          <w:tcPr>
            <w:tcW w:w="1081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highlight w:val="none"/>
                <w:u w:val="none"/>
              </w:rPr>
            </w:pPr>
            <w:r>
              <w:rPr>
                <w:rFonts w:hint="default" w:ascii="Times New Roman" w:hAnsi="Times New Roman" w:eastAsia="等线" w:cs="Times New Roman"/>
                <w:i w:val="0"/>
                <w:iCs w:val="0"/>
                <w:color w:val="auto"/>
                <w:kern w:val="0"/>
                <w:sz w:val="20"/>
                <w:szCs w:val="20"/>
                <w:highlight w:val="none"/>
                <w:u w:val="none"/>
                <w:lang w:val="en-US" w:eastAsia="zh-CN" w:bidi="ar"/>
              </w:rPr>
              <w:t>Serum albumin, ICG test,</w:t>
            </w:r>
            <w:r>
              <w:rPr>
                <w:rFonts w:hint="eastAsia" w:cs="Times New Roman"/>
                <w:i w:val="0"/>
                <w:iCs w:val="0"/>
                <w:color w:val="auto"/>
                <w:kern w:val="0"/>
                <w:sz w:val="20"/>
                <w:szCs w:val="20"/>
                <w:highlight w:val="none"/>
                <w:u w:val="none"/>
                <w:lang w:val="en-US" w:eastAsia="zh-CN" w:bidi="ar"/>
              </w:rPr>
              <w:t xml:space="preserve"> </w:t>
            </w:r>
            <w:r>
              <w:rPr>
                <w:rFonts w:hint="default" w:ascii="Times New Roman" w:hAnsi="Times New Roman" w:eastAsia="等线" w:cs="Times New Roman"/>
                <w:i w:val="0"/>
                <w:iCs w:val="0"/>
                <w:color w:val="auto"/>
                <w:kern w:val="0"/>
                <w:sz w:val="20"/>
                <w:szCs w:val="20"/>
                <w:highlight w:val="none"/>
                <w:u w:val="none"/>
                <w:lang w:val="en-US" w:eastAsia="zh-CN" w:bidi="ar"/>
              </w:rPr>
              <w:t>APRI score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117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highlight w:val="none"/>
                <w:u w:val="none"/>
              </w:rPr>
            </w:pPr>
            <w:r>
              <w:rPr>
                <w:rFonts w:hint="default" w:ascii="Times New Roman" w:hAnsi="Times New Roman" w:eastAsia="等线" w:cs="Times New Roman"/>
                <w:i w:val="0"/>
                <w:iCs w:val="0"/>
                <w:color w:val="auto"/>
                <w:kern w:val="0"/>
                <w:sz w:val="20"/>
                <w:szCs w:val="20"/>
                <w:highlight w:val="none"/>
                <w:u w:val="none"/>
                <w:lang w:val="en-US" w:eastAsia="zh-CN" w:bidi="ar"/>
              </w:rPr>
              <w:t>Zhai</w:t>
            </w:r>
          </w:p>
        </w:tc>
        <w:tc>
          <w:tcPr>
            <w:tcW w:w="191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highlight w:val="none"/>
                <w:u w:val="none"/>
              </w:rPr>
            </w:pPr>
            <w:r>
              <w:rPr>
                <w:rFonts w:hint="default" w:ascii="Times New Roman" w:hAnsi="Times New Roman" w:eastAsia="等线" w:cs="Times New Roman"/>
                <w:i w:val="0"/>
                <w:iCs w:val="0"/>
                <w:color w:val="auto"/>
                <w:kern w:val="0"/>
                <w:sz w:val="20"/>
                <w:szCs w:val="20"/>
                <w:highlight w:val="none"/>
                <w:u w:val="none"/>
                <w:lang w:val="en-US" w:eastAsia="zh-CN" w:bidi="ar"/>
              </w:rPr>
              <w:t>0</w:t>
            </w:r>
            <w:r>
              <w:rPr>
                <w:rFonts w:hint="eastAsia" w:cs="Times New Roman"/>
                <w:i w:val="0"/>
                <w:iCs w:val="0"/>
                <w:color w:val="auto"/>
                <w:kern w:val="0"/>
                <w:sz w:val="20"/>
                <w:szCs w:val="20"/>
                <w:u w:val="none"/>
                <w:lang w:val="en-US" w:eastAsia="zh-CN" w:bidi="ar"/>
              </w:rPr>
              <w:t>.0</w:t>
            </w:r>
          </w:p>
        </w:tc>
        <w:tc>
          <w:tcPr>
            <w:tcW w:w="10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highlight w:val="none"/>
                <w:u w:val="none"/>
              </w:rPr>
            </w:pPr>
            <w:r>
              <w:rPr>
                <w:rFonts w:hint="default" w:ascii="Times New Roman" w:hAnsi="Times New Roman" w:eastAsia="等线" w:cs="Times New Roman"/>
                <w:i w:val="0"/>
                <w:iCs w:val="0"/>
                <w:color w:val="auto"/>
                <w:kern w:val="0"/>
                <w:sz w:val="20"/>
                <w:szCs w:val="20"/>
                <w:highlight w:val="none"/>
                <w:u w:val="none"/>
                <w:lang w:val="en-US" w:eastAsia="zh-CN" w:bidi="ar"/>
              </w:rPr>
              <w:t>No</w:t>
            </w:r>
          </w:p>
        </w:tc>
        <w:tc>
          <w:tcPr>
            <w:tcW w:w="1081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highlight w:val="none"/>
                <w:u w:val="none"/>
              </w:rPr>
            </w:pPr>
            <w:r>
              <w:rPr>
                <w:rFonts w:hint="default" w:ascii="Times New Roman" w:hAnsi="Times New Roman" w:eastAsia="等线" w:cs="Times New Roman"/>
                <w:i w:val="0"/>
                <w:iCs w:val="0"/>
                <w:color w:val="auto"/>
                <w:kern w:val="0"/>
                <w:sz w:val="20"/>
                <w:szCs w:val="20"/>
                <w:u w:val="none"/>
                <w:lang w:val="en-US" w:eastAsia="zh-CN" w:bidi="ar"/>
              </w:rPr>
              <w:t>NA</w:t>
            </w:r>
            <w:r>
              <w:rPr>
                <w:rFonts w:hint="eastAsia" w:cs="Times New Roman"/>
                <w:i w:val="0"/>
                <w:iCs w:val="0"/>
                <w:color w:val="auto"/>
                <w:kern w:val="0"/>
                <w:sz w:val="20"/>
                <w:szCs w:val="20"/>
                <w:u w:val="none"/>
                <w:lang w:val="en-US" w:eastAsia="zh-CN" w:bidi="ar"/>
              </w:rPr>
              <w:t xml:space="preserve"> (Univariate)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117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u w:val="none"/>
              </w:rPr>
            </w:pPr>
            <w:r>
              <w:rPr>
                <w:rFonts w:hint="default" w:ascii="Times New Roman" w:hAnsi="Times New Roman" w:eastAsia="等线" w:cs="Times New Roman"/>
                <w:i w:val="0"/>
                <w:iCs w:val="0"/>
                <w:color w:val="auto"/>
                <w:kern w:val="0"/>
                <w:sz w:val="20"/>
                <w:szCs w:val="20"/>
                <w:u w:val="none"/>
                <w:lang w:val="en-US" w:eastAsia="zh-CN" w:bidi="ar"/>
              </w:rPr>
              <w:t>Peng</w:t>
            </w:r>
          </w:p>
        </w:tc>
        <w:tc>
          <w:tcPr>
            <w:tcW w:w="191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u w:val="none"/>
              </w:rPr>
            </w:pPr>
            <w:r>
              <w:rPr>
                <w:rFonts w:hint="default" w:ascii="Times New Roman" w:hAnsi="Times New Roman" w:eastAsia="等线" w:cs="Times New Roman"/>
                <w:i w:val="0"/>
                <w:iCs w:val="0"/>
                <w:color w:val="auto"/>
                <w:kern w:val="0"/>
                <w:sz w:val="20"/>
                <w:szCs w:val="20"/>
                <w:u w:val="none"/>
                <w:lang w:val="en-US" w:eastAsia="zh-CN" w:bidi="ar"/>
              </w:rPr>
              <w:t>27.1</w:t>
            </w:r>
          </w:p>
        </w:tc>
        <w:tc>
          <w:tcPr>
            <w:tcW w:w="10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u w:val="none"/>
              </w:rPr>
            </w:pPr>
            <w:r>
              <w:rPr>
                <w:rFonts w:hint="default" w:ascii="Times New Roman" w:hAnsi="Times New Roman" w:eastAsia="等线" w:cs="Times New Roman"/>
                <w:i w:val="0"/>
                <w:iCs w:val="0"/>
                <w:color w:val="auto"/>
                <w:kern w:val="0"/>
                <w:sz w:val="20"/>
                <w:szCs w:val="20"/>
                <w:u w:val="none"/>
                <w:lang w:val="en-US" w:eastAsia="zh-CN" w:bidi="ar"/>
              </w:rPr>
              <w:t>No</w:t>
            </w:r>
          </w:p>
        </w:tc>
        <w:tc>
          <w:tcPr>
            <w:tcW w:w="1081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u w:val="none"/>
              </w:rPr>
            </w:pPr>
            <w:r>
              <w:rPr>
                <w:rFonts w:hint="default" w:ascii="Times New Roman" w:hAnsi="Times New Roman" w:eastAsia="等线" w:cs="Times New Roman"/>
                <w:i w:val="0"/>
                <w:iCs w:val="0"/>
                <w:color w:val="auto"/>
                <w:kern w:val="0"/>
                <w:sz w:val="20"/>
                <w:szCs w:val="20"/>
                <w:u w:val="none"/>
                <w:lang w:val="en-US" w:eastAsia="zh-CN" w:bidi="ar"/>
              </w:rPr>
              <w:t>CA19-9, the sum of CEA and CA19-9 level, bilobar metastasis, primary tumor nodal invasion, Preoperative chemotherapy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117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u w:val="none"/>
              </w:rPr>
            </w:pPr>
            <w:r>
              <w:rPr>
                <w:rFonts w:hint="default" w:ascii="Times New Roman" w:hAnsi="Times New Roman" w:eastAsia="等线" w:cs="Times New Roman"/>
                <w:i w:val="0"/>
                <w:iCs w:val="0"/>
                <w:color w:val="auto"/>
                <w:kern w:val="0"/>
                <w:sz w:val="20"/>
                <w:szCs w:val="20"/>
                <w:u w:val="none"/>
                <w:lang w:val="en-US" w:eastAsia="zh-CN" w:bidi="ar"/>
              </w:rPr>
              <w:t>Akabane</w:t>
            </w:r>
          </w:p>
        </w:tc>
        <w:tc>
          <w:tcPr>
            <w:tcW w:w="191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u w:val="none"/>
              </w:rPr>
            </w:pPr>
            <w:r>
              <w:rPr>
                <w:rFonts w:hint="default" w:ascii="Times New Roman" w:hAnsi="Times New Roman" w:eastAsia="等线" w:cs="Times New Roman"/>
                <w:i w:val="0"/>
                <w:iCs w:val="0"/>
                <w:color w:val="auto"/>
                <w:kern w:val="0"/>
                <w:sz w:val="20"/>
                <w:szCs w:val="20"/>
                <w:u w:val="none"/>
                <w:lang w:val="en-US" w:eastAsia="zh-CN" w:bidi="ar"/>
              </w:rPr>
              <w:t>NR</w:t>
            </w:r>
          </w:p>
        </w:tc>
        <w:tc>
          <w:tcPr>
            <w:tcW w:w="10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u w:val="none"/>
              </w:rPr>
            </w:pPr>
            <w:r>
              <w:rPr>
                <w:rFonts w:hint="default" w:ascii="Times New Roman" w:hAnsi="Times New Roman" w:eastAsia="等线" w:cs="Times New Roman"/>
                <w:i w:val="0"/>
                <w:iCs w:val="0"/>
                <w:color w:val="auto"/>
                <w:kern w:val="0"/>
                <w:sz w:val="20"/>
                <w:szCs w:val="20"/>
                <w:u w:val="none"/>
                <w:lang w:val="en-US" w:eastAsia="zh-CN" w:bidi="ar"/>
              </w:rPr>
              <w:t>Yes</w:t>
            </w:r>
          </w:p>
        </w:tc>
        <w:tc>
          <w:tcPr>
            <w:tcW w:w="1081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u w:val="none"/>
              </w:rPr>
            </w:pPr>
            <w:r>
              <w:rPr>
                <w:rFonts w:hint="default" w:ascii="Times New Roman" w:hAnsi="Times New Roman" w:eastAsia="等线" w:cs="Times New Roman"/>
                <w:i w:val="0"/>
                <w:iCs w:val="0"/>
                <w:color w:val="auto"/>
                <w:kern w:val="0"/>
                <w:sz w:val="20"/>
                <w:szCs w:val="20"/>
                <w:u w:val="none"/>
                <w:lang w:val="en-US" w:eastAsia="zh-CN" w:bidi="ar"/>
              </w:rPr>
              <w:t>ASA class, T Category, Lymph node metastasis, Recurrence within 12 months, KRAS status, Margin status, FIB-4 index</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117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u w:val="none"/>
              </w:rPr>
            </w:pPr>
            <w:r>
              <w:rPr>
                <w:rFonts w:hint="default" w:ascii="Times New Roman" w:hAnsi="Times New Roman" w:eastAsia="等线" w:cs="Times New Roman"/>
                <w:i w:val="0"/>
                <w:iCs w:val="0"/>
                <w:color w:val="auto"/>
                <w:kern w:val="0"/>
                <w:sz w:val="20"/>
                <w:szCs w:val="20"/>
                <w:u w:val="none"/>
                <w:lang w:val="en-US" w:eastAsia="zh-CN" w:bidi="ar"/>
              </w:rPr>
              <w:t>Burlaka</w:t>
            </w:r>
          </w:p>
        </w:tc>
        <w:tc>
          <w:tcPr>
            <w:tcW w:w="191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u w:val="none"/>
              </w:rPr>
            </w:pPr>
            <w:r>
              <w:rPr>
                <w:rFonts w:hint="default" w:ascii="Times New Roman" w:hAnsi="Times New Roman" w:eastAsia="等线" w:cs="Times New Roman"/>
                <w:i w:val="0"/>
                <w:iCs w:val="0"/>
                <w:color w:val="auto"/>
                <w:kern w:val="0"/>
                <w:sz w:val="20"/>
                <w:szCs w:val="20"/>
                <w:u w:val="none"/>
                <w:lang w:val="en-US" w:eastAsia="zh-CN" w:bidi="ar"/>
              </w:rPr>
              <w:t>60.8</w:t>
            </w:r>
          </w:p>
        </w:tc>
        <w:tc>
          <w:tcPr>
            <w:tcW w:w="10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u w:val="none"/>
              </w:rPr>
            </w:pPr>
            <w:r>
              <w:rPr>
                <w:rFonts w:hint="default" w:ascii="Times New Roman" w:hAnsi="Times New Roman" w:eastAsia="等线" w:cs="Times New Roman"/>
                <w:i w:val="0"/>
                <w:iCs w:val="0"/>
                <w:color w:val="auto"/>
                <w:kern w:val="0"/>
                <w:sz w:val="20"/>
                <w:szCs w:val="20"/>
                <w:u w:val="none"/>
                <w:lang w:val="en-US" w:eastAsia="zh-CN" w:bidi="ar"/>
              </w:rPr>
              <w:t>Yes</w:t>
            </w:r>
          </w:p>
        </w:tc>
        <w:tc>
          <w:tcPr>
            <w:tcW w:w="1081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u w:val="none"/>
              </w:rPr>
            </w:pPr>
            <w:r>
              <w:rPr>
                <w:rFonts w:hint="default" w:ascii="Times New Roman" w:hAnsi="Times New Roman" w:eastAsia="等线" w:cs="Times New Roman"/>
                <w:i w:val="0"/>
                <w:iCs w:val="0"/>
                <w:color w:val="auto"/>
                <w:kern w:val="0"/>
                <w:sz w:val="20"/>
                <w:szCs w:val="20"/>
                <w:u w:val="none"/>
                <w:lang w:val="en-US" w:eastAsia="zh-CN" w:bidi="ar"/>
              </w:rPr>
              <w:t>Bilobar LM, Number of LM, LM size, CTx courses, Regional lymph node metastases, Two-stage hepatectomy with PVE, Surgical incision, Laparoscopic, 30-day major morbidity, KRAS status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1170"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u w:val="none"/>
              </w:rPr>
            </w:pPr>
            <w:r>
              <w:rPr>
                <w:rFonts w:hint="default" w:ascii="Times New Roman" w:hAnsi="Times New Roman" w:eastAsia="等线" w:cs="Times New Roman"/>
                <w:i w:val="0"/>
                <w:iCs w:val="0"/>
                <w:color w:val="auto"/>
                <w:kern w:val="0"/>
                <w:sz w:val="20"/>
                <w:szCs w:val="20"/>
                <w:u w:val="none"/>
                <w:lang w:val="en-US" w:eastAsia="zh-CN" w:bidi="ar"/>
              </w:rPr>
              <w:t>Baldo</w:t>
            </w:r>
          </w:p>
        </w:tc>
        <w:tc>
          <w:tcPr>
            <w:tcW w:w="1910"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u w:val="none"/>
              </w:rPr>
            </w:pPr>
            <w:r>
              <w:rPr>
                <w:rFonts w:hint="default" w:ascii="Times New Roman" w:hAnsi="Times New Roman" w:eastAsia="等线" w:cs="Times New Roman"/>
                <w:i w:val="0"/>
                <w:iCs w:val="0"/>
                <w:color w:val="auto"/>
                <w:kern w:val="0"/>
                <w:sz w:val="20"/>
                <w:szCs w:val="20"/>
                <w:u w:val="none"/>
                <w:lang w:val="en-US" w:eastAsia="zh-CN" w:bidi="ar"/>
              </w:rPr>
              <w:t>61.2</w:t>
            </w:r>
          </w:p>
        </w:tc>
        <w:tc>
          <w:tcPr>
            <w:tcW w:w="1014"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u w:val="none"/>
              </w:rPr>
            </w:pPr>
            <w:r>
              <w:rPr>
                <w:rFonts w:hint="default" w:ascii="Times New Roman" w:hAnsi="Times New Roman" w:eastAsia="等线" w:cs="Times New Roman"/>
                <w:i w:val="0"/>
                <w:iCs w:val="0"/>
                <w:color w:val="auto"/>
                <w:kern w:val="0"/>
                <w:sz w:val="20"/>
                <w:szCs w:val="20"/>
                <w:u w:val="none"/>
                <w:lang w:val="en-US" w:eastAsia="zh-CN" w:bidi="ar"/>
              </w:rPr>
              <w:t>N</w:t>
            </w:r>
            <w:r>
              <w:rPr>
                <w:rFonts w:hint="eastAsia" w:cs="Times New Roman"/>
                <w:i w:val="0"/>
                <w:iCs w:val="0"/>
                <w:color w:val="auto"/>
                <w:kern w:val="0"/>
                <w:sz w:val="20"/>
                <w:szCs w:val="20"/>
                <w:u w:val="none"/>
                <w:lang w:val="en-US" w:eastAsia="zh-CN" w:bidi="ar"/>
              </w:rPr>
              <w:t>o</w:t>
            </w:r>
          </w:p>
        </w:tc>
        <w:tc>
          <w:tcPr>
            <w:tcW w:w="10811"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auto"/>
                <w:sz w:val="20"/>
                <w:szCs w:val="20"/>
                <w:u w:val="none"/>
              </w:rPr>
            </w:pPr>
            <w:r>
              <w:rPr>
                <w:rFonts w:hint="default" w:ascii="Times New Roman" w:hAnsi="Times New Roman" w:eastAsia="等线" w:cs="Times New Roman"/>
                <w:i w:val="0"/>
                <w:iCs w:val="0"/>
                <w:color w:val="auto"/>
                <w:kern w:val="0"/>
                <w:sz w:val="20"/>
                <w:szCs w:val="20"/>
                <w:u w:val="none"/>
                <w:lang w:val="en-US" w:eastAsia="zh-CN" w:bidi="ar"/>
              </w:rPr>
              <w:t>GNRI, Bilobar, pN, Timing</w:t>
            </w:r>
          </w:p>
        </w:tc>
      </w:tr>
    </w:tbl>
    <w:p>
      <w:pPr>
        <w:pStyle w:val="7"/>
        <w:keepNext w:val="0"/>
        <w:keepLines w:val="0"/>
        <w:pageBreakBefore w:val="0"/>
        <w:kinsoku/>
        <w:wordWrap/>
        <w:overflowPunct/>
        <w:topLinePunct w:val="0"/>
        <w:autoSpaceDE/>
        <w:autoSpaceDN/>
        <w:bidi w:val="0"/>
        <w:adjustRightInd/>
        <w:snapToGrid/>
        <w:spacing w:after="313" w:afterLines="100" w:afterAutospacing="0" w:line="300" w:lineRule="exact"/>
        <w:jc w:val="left"/>
        <w:rPr>
          <w:rFonts w:hint="default" w:ascii="Times New Roman" w:hAnsi="Times New Roman" w:eastAsia="宋体" w:cs="Times New Roman"/>
          <w:b w:val="0"/>
          <w:bCs w:val="0"/>
          <w:color w:val="auto"/>
          <w:sz w:val="24"/>
          <w:szCs w:val="24"/>
          <w:highlight w:val="none"/>
          <w:lang w:val="en-US" w:eastAsia="zh-CN"/>
        </w:rPr>
        <w:sectPr>
          <w:pgSz w:w="16838" w:h="11906" w:orient="landscape"/>
          <w:pgMar w:top="1800" w:right="1440" w:bottom="1800" w:left="1440" w:header="851" w:footer="992" w:gutter="0"/>
          <w:lnNumType w:countBy="1" w:restart="continuous"/>
          <w:cols w:space="720" w:num="1"/>
          <w:docGrid w:type="lines" w:linePitch="312" w:charSpace="0"/>
        </w:sectPr>
      </w:pPr>
    </w:p>
    <w:p>
      <w:pPr>
        <w:pStyle w:val="2"/>
        <w:keepNext w:val="0"/>
        <w:keepLines w:val="0"/>
        <w:pageBreakBefore w:val="0"/>
        <w:widowControl/>
        <w:suppressLineNumbers w:val="0"/>
        <w:shd w:val="clear" w:color="auto" w:fill="FFFFFF"/>
        <w:kinsoku/>
        <w:wordWrap/>
        <w:overflowPunct/>
        <w:topLinePunct w:val="0"/>
        <w:autoSpaceDE/>
        <w:autoSpaceDN/>
        <w:bidi w:val="0"/>
        <w:adjustRightInd/>
        <w:snapToGrid/>
        <w:spacing w:before="192" w:beforeAutospacing="0" w:after="0" w:afterAutospacing="0" w:line="300" w:lineRule="exact"/>
        <w:ind w:left="0" w:right="0" w:firstLine="0" w:firstLineChars="0"/>
        <w:jc w:val="left"/>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Table S4. Subgroup analyses of overall survival for the initial full cohort.</w:t>
      </w:r>
    </w:p>
    <w:tbl>
      <w:tblPr>
        <w:tblStyle w:val="3"/>
        <w:tblW w:w="5000" w:type="pct"/>
        <w:tblInd w:w="0" w:type="dxa"/>
        <w:tblLayout w:type="fixed"/>
        <w:tblCellMar>
          <w:top w:w="0" w:type="dxa"/>
          <w:left w:w="108" w:type="dxa"/>
          <w:bottom w:w="0" w:type="dxa"/>
          <w:right w:w="108" w:type="dxa"/>
        </w:tblCellMar>
      </w:tblPr>
      <w:tblGrid>
        <w:gridCol w:w="1887"/>
        <w:gridCol w:w="1979"/>
        <w:gridCol w:w="1441"/>
        <w:gridCol w:w="1386"/>
        <w:gridCol w:w="2181"/>
        <w:gridCol w:w="1188"/>
        <w:gridCol w:w="1118"/>
        <w:gridCol w:w="1012"/>
        <w:gridCol w:w="1766"/>
      </w:tblGrid>
      <w:tr>
        <w:tblPrEx>
          <w:tblCellMar>
            <w:top w:w="0" w:type="dxa"/>
            <w:left w:w="108" w:type="dxa"/>
            <w:bottom w:w="0" w:type="dxa"/>
            <w:right w:w="108" w:type="dxa"/>
          </w:tblCellMar>
        </w:tblPrEx>
        <w:trPr>
          <w:trHeight w:val="23" w:hRule="atLeast"/>
          <w:tblHeader/>
        </w:trPr>
        <w:tc>
          <w:tcPr>
            <w:tcW w:w="1887" w:type="dxa"/>
            <w:tcBorders>
              <w:top w:val="single" w:color="000000" w:sz="12" w:space="0"/>
              <w:left w:val="nil"/>
              <w:bottom w:val="single" w:color="000000" w:sz="8" w:space="0"/>
              <w:right w:val="nil"/>
            </w:tcBorders>
            <w:shd w:val="clear" w:color="auto" w:fill="FFFFFF"/>
            <w:tcMar>
              <w:top w:w="0" w:type="dxa"/>
              <w:left w:w="0" w:type="dxa"/>
              <w:bottom w:w="0" w:type="dxa"/>
              <w:right w:w="0" w:type="dxa"/>
            </w:tcMar>
            <w:vAlign w:val="center"/>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i w:val="0"/>
                <w:strike w:val="0"/>
                <w:color w:val="000000"/>
                <w:sz w:val="20"/>
                <w:szCs w:val="20"/>
                <w:u w:val="none"/>
              </w:rPr>
            </w:pPr>
            <w:r>
              <w:rPr>
                <w:rFonts w:hint="default" w:ascii="Times New Roman" w:hAnsi="Times New Roman" w:eastAsia="Times New Roman" w:cs="Times New Roman"/>
                <w:b/>
                <w:i w:val="0"/>
                <w:strike w:val="0"/>
                <w:color w:val="000000"/>
                <w:sz w:val="20"/>
                <w:szCs w:val="20"/>
                <w:u w:val="none"/>
              </w:rPr>
              <w:t>Subgroup</w:t>
            </w:r>
          </w:p>
        </w:tc>
        <w:tc>
          <w:tcPr>
            <w:tcW w:w="1979" w:type="dxa"/>
            <w:tcBorders>
              <w:top w:val="single" w:color="000000" w:sz="12" w:space="0"/>
              <w:left w:val="nil"/>
              <w:bottom w:val="single" w:color="000000" w:sz="8" w:space="0"/>
              <w:right w:val="nil"/>
            </w:tcBorders>
            <w:shd w:val="clear" w:color="auto" w:fill="FFFFFF"/>
            <w:tcMar>
              <w:top w:w="0" w:type="dxa"/>
              <w:left w:w="0" w:type="dxa"/>
              <w:bottom w:w="0" w:type="dxa"/>
              <w:right w:w="0" w:type="dxa"/>
            </w:tcMar>
            <w:vAlign w:val="center"/>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i w:val="0"/>
                <w:strike w:val="0"/>
                <w:color w:val="000000"/>
                <w:sz w:val="20"/>
                <w:szCs w:val="20"/>
                <w:u w:val="none"/>
              </w:rPr>
            </w:pPr>
            <w:r>
              <w:rPr>
                <w:rFonts w:hint="default" w:ascii="Times New Roman" w:hAnsi="Times New Roman" w:eastAsia="Times New Roman" w:cs="Times New Roman"/>
                <w:b/>
                <w:i w:val="0"/>
                <w:strike w:val="0"/>
                <w:color w:val="000000"/>
                <w:sz w:val="20"/>
                <w:szCs w:val="20"/>
                <w:u w:val="none"/>
              </w:rPr>
              <w:t>Variables</w:t>
            </w:r>
          </w:p>
        </w:tc>
        <w:tc>
          <w:tcPr>
            <w:tcW w:w="1441" w:type="dxa"/>
            <w:tcBorders>
              <w:top w:val="single" w:color="000000" w:sz="12" w:space="0"/>
              <w:left w:val="nil"/>
              <w:bottom w:val="single" w:color="000000" w:sz="8" w:space="0"/>
              <w:right w:val="nil"/>
            </w:tcBorders>
            <w:shd w:val="clear" w:color="auto" w:fill="FFFFFF"/>
            <w:tcMar>
              <w:top w:w="0" w:type="dxa"/>
              <w:left w:w="0" w:type="dxa"/>
              <w:bottom w:w="0" w:type="dxa"/>
              <w:right w:w="0" w:type="dxa"/>
            </w:tcMar>
            <w:vAlign w:val="center"/>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center"/>
              <w:rPr>
                <w:rFonts w:hint="default" w:ascii="Times New Roman" w:hAnsi="Times New Roman" w:eastAsia="Times New Roman" w:cs="Times New Roman"/>
                <w:b/>
                <w:i w:val="0"/>
                <w:strike w:val="0"/>
                <w:color w:val="000000"/>
                <w:sz w:val="20"/>
                <w:szCs w:val="20"/>
                <w:u w:val="none"/>
              </w:rPr>
            </w:pPr>
            <w:r>
              <w:rPr>
                <w:rFonts w:hint="default" w:ascii="Times New Roman" w:hAnsi="Times New Roman" w:eastAsia="Times New Roman" w:cs="Times New Roman"/>
                <w:b/>
                <w:i w:val="0"/>
                <w:strike w:val="0"/>
                <w:color w:val="000000"/>
                <w:sz w:val="20"/>
                <w:szCs w:val="20"/>
                <w:u w:val="none"/>
              </w:rPr>
              <w:t>No. of Studies</w:t>
            </w:r>
          </w:p>
        </w:tc>
        <w:tc>
          <w:tcPr>
            <w:tcW w:w="1386" w:type="dxa"/>
            <w:tcBorders>
              <w:top w:val="single" w:color="000000" w:sz="12" w:space="0"/>
              <w:left w:val="nil"/>
              <w:bottom w:val="single" w:color="000000" w:sz="8" w:space="0"/>
              <w:right w:val="nil"/>
            </w:tcBorders>
            <w:shd w:val="clear" w:color="auto" w:fill="FFFFFF"/>
            <w:tcMar>
              <w:top w:w="0" w:type="dxa"/>
              <w:left w:w="0" w:type="dxa"/>
              <w:bottom w:w="0" w:type="dxa"/>
              <w:right w:w="0" w:type="dxa"/>
            </w:tcMar>
            <w:vAlign w:val="center"/>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center"/>
              <w:rPr>
                <w:rFonts w:hint="default" w:ascii="Times New Roman" w:hAnsi="Times New Roman" w:eastAsia="Times New Roman" w:cs="Times New Roman"/>
                <w:b/>
                <w:i w:val="0"/>
                <w:strike w:val="0"/>
                <w:color w:val="000000"/>
                <w:sz w:val="20"/>
                <w:szCs w:val="20"/>
                <w:u w:val="none"/>
              </w:rPr>
            </w:pPr>
            <w:r>
              <w:rPr>
                <w:rFonts w:hint="default" w:ascii="Times New Roman" w:hAnsi="Times New Roman" w:eastAsia="Times New Roman" w:cs="Times New Roman"/>
                <w:b/>
                <w:i w:val="0"/>
                <w:strike w:val="0"/>
                <w:color w:val="000000"/>
                <w:sz w:val="20"/>
                <w:szCs w:val="20"/>
                <w:u w:val="none"/>
              </w:rPr>
              <w:t>Patients (</w:t>
            </w:r>
            <w:r>
              <w:rPr>
                <w:rFonts w:hint="default" w:ascii="Times New Roman" w:hAnsi="Times New Roman" w:eastAsia="宋体" w:cs="Times New Roman"/>
                <w:b/>
                <w:i/>
                <w:iCs/>
                <w:strike w:val="0"/>
                <w:color w:val="000000"/>
                <w:sz w:val="20"/>
                <w:szCs w:val="20"/>
                <w:u w:val="none"/>
                <w:lang w:val="en-US" w:eastAsia="zh-CN"/>
              </w:rPr>
              <w:t>n</w:t>
            </w:r>
            <w:r>
              <w:rPr>
                <w:rFonts w:hint="default" w:ascii="Times New Roman" w:hAnsi="Times New Roman" w:eastAsia="Times New Roman" w:cs="Times New Roman"/>
                <w:b/>
                <w:i w:val="0"/>
                <w:strike w:val="0"/>
                <w:color w:val="000000"/>
                <w:sz w:val="20"/>
                <w:szCs w:val="20"/>
                <w:u w:val="none"/>
              </w:rPr>
              <w:t>)</w:t>
            </w:r>
          </w:p>
        </w:tc>
        <w:tc>
          <w:tcPr>
            <w:tcW w:w="2181" w:type="dxa"/>
            <w:tcBorders>
              <w:top w:val="single" w:color="000000" w:sz="12" w:space="0"/>
              <w:left w:val="nil"/>
              <w:bottom w:val="single" w:color="000000" w:sz="8" w:space="0"/>
              <w:right w:val="nil"/>
            </w:tcBorders>
            <w:shd w:val="clear" w:color="auto" w:fill="FFFFFF"/>
            <w:tcMar>
              <w:top w:w="0" w:type="dxa"/>
              <w:left w:w="0" w:type="dxa"/>
              <w:bottom w:w="0" w:type="dxa"/>
              <w:right w:w="0" w:type="dxa"/>
            </w:tcMar>
            <w:vAlign w:val="center"/>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center"/>
              <w:rPr>
                <w:rFonts w:hint="default" w:ascii="Times New Roman" w:hAnsi="Times New Roman" w:eastAsia="Times New Roman" w:cs="Times New Roman"/>
                <w:b/>
                <w:i w:val="0"/>
                <w:strike w:val="0"/>
                <w:color w:val="000000"/>
                <w:sz w:val="20"/>
                <w:szCs w:val="20"/>
                <w:u w:val="none"/>
              </w:rPr>
            </w:pPr>
            <w:r>
              <w:rPr>
                <w:rFonts w:hint="default" w:ascii="Times New Roman" w:hAnsi="Times New Roman" w:eastAsia="Times New Roman" w:cs="Times New Roman"/>
                <w:b/>
                <w:i w:val="0"/>
                <w:strike w:val="0"/>
                <w:color w:val="000000"/>
                <w:sz w:val="20"/>
                <w:szCs w:val="20"/>
                <w:u w:val="none"/>
              </w:rPr>
              <w:t>Pooled HR (95% CI)</w:t>
            </w:r>
          </w:p>
        </w:tc>
        <w:tc>
          <w:tcPr>
            <w:tcW w:w="1188" w:type="dxa"/>
            <w:tcBorders>
              <w:top w:val="single" w:color="000000" w:sz="12" w:space="0"/>
              <w:left w:val="nil"/>
              <w:bottom w:val="single" w:color="000000" w:sz="8" w:space="0"/>
              <w:right w:val="nil"/>
            </w:tcBorders>
            <w:shd w:val="clear" w:color="auto" w:fill="FFFFFF"/>
            <w:tcMar>
              <w:top w:w="0" w:type="dxa"/>
              <w:left w:w="0" w:type="dxa"/>
              <w:bottom w:w="0" w:type="dxa"/>
              <w:right w:w="0" w:type="dxa"/>
            </w:tcMar>
            <w:vAlign w:val="center"/>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center"/>
              <w:rPr>
                <w:rFonts w:hint="default" w:ascii="Times New Roman" w:hAnsi="Times New Roman" w:eastAsia="Times New Roman" w:cs="Times New Roman"/>
                <w:b/>
                <w:i w:val="0"/>
                <w:strike w:val="0"/>
                <w:color w:val="000000"/>
                <w:sz w:val="20"/>
                <w:szCs w:val="20"/>
                <w:u w:val="none"/>
              </w:rPr>
            </w:pPr>
            <w:r>
              <w:rPr>
                <w:rFonts w:hint="default" w:ascii="Times New Roman" w:hAnsi="Times New Roman" w:eastAsia="宋体" w:cs="Times New Roman"/>
                <w:b/>
                <w:i/>
                <w:iCs/>
                <w:strike w:val="0"/>
                <w:color w:val="000000"/>
                <w:sz w:val="20"/>
                <w:szCs w:val="20"/>
                <w:u w:val="none"/>
                <w:lang w:val="en-US" w:eastAsia="zh-CN"/>
              </w:rPr>
              <w:t>p</w:t>
            </w:r>
            <w:r>
              <w:rPr>
                <w:rFonts w:hint="default" w:ascii="Times New Roman" w:hAnsi="Times New Roman" w:eastAsia="Times New Roman" w:cs="Times New Roman"/>
                <w:b/>
                <w:i w:val="0"/>
                <w:strike w:val="0"/>
                <w:color w:val="000000"/>
                <w:sz w:val="20"/>
                <w:szCs w:val="20"/>
                <w:u w:val="none"/>
              </w:rPr>
              <w:t xml:space="preserve"> value</w:t>
            </w:r>
          </w:p>
        </w:tc>
        <w:tc>
          <w:tcPr>
            <w:tcW w:w="1118" w:type="dxa"/>
            <w:tcBorders>
              <w:top w:val="single" w:color="000000" w:sz="12" w:space="0"/>
              <w:left w:val="nil"/>
              <w:bottom w:val="single" w:color="000000" w:sz="8" w:space="0"/>
              <w:right w:val="nil"/>
            </w:tcBorders>
            <w:shd w:val="clear" w:color="auto" w:fill="FFFFFF"/>
            <w:tcMar>
              <w:top w:w="0" w:type="dxa"/>
              <w:left w:w="0" w:type="dxa"/>
              <w:bottom w:w="0" w:type="dxa"/>
              <w:right w:w="0" w:type="dxa"/>
            </w:tcMar>
            <w:vAlign w:val="center"/>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center"/>
              <w:rPr>
                <w:rFonts w:hint="default" w:ascii="Times New Roman" w:hAnsi="Times New Roman" w:eastAsia="Times New Roman" w:cs="Times New Roman"/>
                <w:b/>
                <w:i w:val="0"/>
                <w:strike w:val="0"/>
                <w:color w:val="000000"/>
                <w:sz w:val="20"/>
                <w:szCs w:val="20"/>
                <w:u w:val="none"/>
              </w:rPr>
            </w:pPr>
            <w:r>
              <w:rPr>
                <w:rFonts w:hint="default" w:ascii="Times New Roman" w:hAnsi="Times New Roman" w:eastAsia="Times New Roman" w:cs="Times New Roman"/>
                <w:b/>
                <w:i/>
                <w:iCs/>
                <w:strike w:val="0"/>
                <w:color w:val="000000"/>
                <w:sz w:val="20"/>
                <w:szCs w:val="20"/>
                <w:u w:val="none"/>
              </w:rPr>
              <w:t>I</w:t>
            </w:r>
            <w:r>
              <w:rPr>
                <w:rFonts w:hint="default" w:ascii="Times New Roman" w:hAnsi="Times New Roman" w:eastAsia="Times New Roman" w:cs="Times New Roman"/>
                <w:b/>
                <w:i w:val="0"/>
                <w:strike w:val="0"/>
                <w:color w:val="000000"/>
                <w:sz w:val="20"/>
                <w:szCs w:val="20"/>
                <w:u w:val="none"/>
              </w:rPr>
              <w:t>² (%)</w:t>
            </w:r>
          </w:p>
        </w:tc>
        <w:tc>
          <w:tcPr>
            <w:tcW w:w="1012" w:type="dxa"/>
            <w:tcBorders>
              <w:top w:val="single" w:color="000000" w:sz="12" w:space="0"/>
              <w:left w:val="nil"/>
              <w:bottom w:val="single" w:color="000000" w:sz="8" w:space="0"/>
              <w:right w:val="nil"/>
            </w:tcBorders>
            <w:shd w:val="clear" w:color="auto" w:fill="FFFFFF"/>
            <w:tcMar>
              <w:top w:w="0" w:type="dxa"/>
              <w:left w:w="0" w:type="dxa"/>
              <w:bottom w:w="0" w:type="dxa"/>
              <w:right w:w="0" w:type="dxa"/>
            </w:tcMar>
            <w:vAlign w:val="center"/>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center"/>
              <w:rPr>
                <w:rFonts w:hint="default" w:ascii="Times New Roman" w:hAnsi="Times New Roman" w:eastAsia="Times New Roman" w:cs="Times New Roman"/>
                <w:b/>
                <w:i w:val="0"/>
                <w:strike w:val="0"/>
                <w:color w:val="000000"/>
                <w:sz w:val="20"/>
                <w:szCs w:val="20"/>
                <w:u w:val="none"/>
              </w:rPr>
            </w:pPr>
            <w:r>
              <w:rPr>
                <w:rFonts w:hint="default" w:ascii="Times New Roman" w:hAnsi="Times New Roman" w:eastAsia="宋体" w:cs="Times New Roman"/>
                <w:b/>
                <w:i/>
                <w:iCs/>
                <w:strike w:val="0"/>
                <w:color w:val="000000"/>
                <w:sz w:val="20"/>
                <w:szCs w:val="20"/>
                <w:u w:val="none"/>
                <w:lang w:val="en-US" w:eastAsia="zh-CN"/>
              </w:rPr>
              <w:t>p</w:t>
            </w:r>
            <w:r>
              <w:rPr>
                <w:rFonts w:hint="default" w:ascii="Times New Roman" w:hAnsi="Times New Roman" w:eastAsia="Times New Roman" w:cs="Times New Roman"/>
                <w:b/>
                <w:i w:val="0"/>
                <w:strike w:val="0"/>
                <w:color w:val="000000"/>
                <w:sz w:val="20"/>
                <w:szCs w:val="20"/>
                <w:u w:val="none"/>
                <w:vertAlign w:val="subscript"/>
              </w:rPr>
              <w:t>h</w:t>
            </w:r>
            <w:r>
              <w:rPr>
                <w:rFonts w:hint="default" w:ascii="Times New Roman" w:hAnsi="Times New Roman" w:eastAsia="宋体" w:cs="Times New Roman"/>
                <w:b/>
                <w:i w:val="0"/>
                <w:strike w:val="0"/>
                <w:color w:val="000000"/>
                <w:sz w:val="20"/>
                <w:szCs w:val="20"/>
                <w:u w:val="none"/>
                <w:vertAlign w:val="subscript"/>
                <w:lang w:val="en-US" w:eastAsia="zh-CN"/>
              </w:rPr>
              <w:t>et</w:t>
            </w:r>
          </w:p>
        </w:tc>
        <w:tc>
          <w:tcPr>
            <w:tcW w:w="1766" w:type="dxa"/>
            <w:tcBorders>
              <w:top w:val="single" w:color="000000" w:sz="12" w:space="0"/>
              <w:left w:val="nil"/>
              <w:bottom w:val="single" w:color="000000" w:sz="8" w:space="0"/>
              <w:right w:val="nil"/>
            </w:tcBorders>
            <w:shd w:val="clear" w:color="auto" w:fill="FFFFFF"/>
            <w:tcMar>
              <w:top w:w="0" w:type="dxa"/>
              <w:left w:w="0" w:type="dxa"/>
              <w:bottom w:w="0" w:type="dxa"/>
              <w:right w:w="0" w:type="dxa"/>
            </w:tcMar>
            <w:vAlign w:val="center"/>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center"/>
              <w:rPr>
                <w:rFonts w:hint="default" w:ascii="Times New Roman" w:hAnsi="Times New Roman" w:eastAsia="Times New Roman" w:cs="Times New Roman"/>
                <w:b/>
                <w:i w:val="0"/>
                <w:strike w:val="0"/>
                <w:color w:val="000000"/>
                <w:sz w:val="20"/>
                <w:szCs w:val="20"/>
                <w:u w:val="none"/>
              </w:rPr>
            </w:pPr>
            <w:r>
              <w:rPr>
                <w:rFonts w:hint="default" w:ascii="Times New Roman" w:hAnsi="Times New Roman" w:eastAsia="宋体" w:cs="Times New Roman"/>
                <w:b/>
                <w:i/>
                <w:iCs/>
                <w:strike w:val="0"/>
                <w:color w:val="000000"/>
                <w:sz w:val="20"/>
                <w:szCs w:val="20"/>
                <w:u w:val="none"/>
                <w:lang w:val="en-US" w:eastAsia="zh-CN"/>
              </w:rPr>
              <w:t>p</w:t>
            </w:r>
            <w:r>
              <w:rPr>
                <w:rFonts w:hint="default" w:ascii="Times New Roman" w:hAnsi="Times New Roman" w:eastAsia="Times New Roman" w:cs="Times New Roman"/>
                <w:b/>
                <w:i w:val="0"/>
                <w:strike w:val="0"/>
                <w:color w:val="000000"/>
                <w:sz w:val="20"/>
                <w:szCs w:val="20"/>
                <w:u w:val="none"/>
                <w:vertAlign w:val="subscript"/>
              </w:rPr>
              <w:t>interaction</w:t>
            </w:r>
          </w:p>
        </w:tc>
      </w:tr>
      <w:tr>
        <w:tblPrEx>
          <w:tblCellMar>
            <w:top w:w="0" w:type="dxa"/>
            <w:left w:w="108" w:type="dxa"/>
            <w:bottom w:w="0" w:type="dxa"/>
            <w:right w:w="108" w:type="dxa"/>
          </w:tblCellMar>
        </w:tblPrEx>
        <w:trPr>
          <w:trHeight w:val="23" w:hRule="atLeast"/>
        </w:trPr>
        <w:tc>
          <w:tcPr>
            <w:tcW w:w="1887" w:type="dxa"/>
            <w:vMerge w:val="restart"/>
            <w:tcBorders>
              <w:top w:val="single" w:color="000000" w:sz="8" w:space="0"/>
              <w:left w:val="nil"/>
              <w:bottom w:val="nil"/>
              <w:right w:val="nil"/>
            </w:tcBorders>
            <w:shd w:val="clear" w:color="auto" w:fill="FFFFFF"/>
            <w:tcMar>
              <w:top w:w="0" w:type="dxa"/>
              <w:left w:w="0" w:type="dxa"/>
              <w:bottom w:w="0" w:type="dxa"/>
              <w:right w:w="0" w:type="dxa"/>
            </w:tcMar>
            <w:vAlign w:val="top"/>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Region</w:t>
            </w:r>
          </w:p>
        </w:tc>
        <w:tc>
          <w:tcPr>
            <w:tcW w:w="1979" w:type="dxa"/>
            <w:tcBorders>
              <w:top w:val="single" w:color="000000" w:sz="8" w:space="0"/>
              <w:left w:val="nil"/>
              <w:bottom w:val="nil"/>
              <w:right w:val="nil"/>
            </w:tcBorders>
            <w:shd w:val="clear" w:color="auto" w:fill="FFFFFF"/>
            <w:tcMar>
              <w:top w:w="0" w:type="dxa"/>
              <w:left w:w="0" w:type="dxa"/>
              <w:bottom w:w="0" w:type="dxa"/>
              <w:right w:w="0" w:type="dxa"/>
            </w:tcMar>
            <w:vAlign w:val="center"/>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val="0"/>
                <w:i w:val="0"/>
                <w:strike w:val="0"/>
                <w:color w:val="000000"/>
                <w:sz w:val="20"/>
                <w:szCs w:val="20"/>
                <w:u w:val="none"/>
                <w:lang w:val="en-US" w:eastAsia="en-US" w:bidi="ar-SA"/>
              </w:rPr>
            </w:pPr>
            <w:r>
              <w:rPr>
                <w:rFonts w:hint="default" w:ascii="Times New Roman" w:hAnsi="Times New Roman" w:eastAsia="等线" w:cs="Times New Roman"/>
                <w:b w:val="0"/>
                <w:bCs w:val="0"/>
                <w:color w:val="auto"/>
                <w:sz w:val="22"/>
                <w:szCs w:val="22"/>
                <w:highlight w:val="none"/>
                <w:lang w:bidi="ar"/>
              </w:rPr>
              <w:t>Western</w:t>
            </w:r>
          </w:p>
        </w:tc>
        <w:tc>
          <w:tcPr>
            <w:tcW w:w="516" w:type="pct"/>
            <w:tcBorders>
              <w:top w:val="single" w:color="000000" w:sz="8" w:space="0"/>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6</w:t>
            </w:r>
          </w:p>
        </w:tc>
        <w:tc>
          <w:tcPr>
            <w:tcW w:w="496" w:type="pct"/>
            <w:tcBorders>
              <w:top w:val="single" w:color="000000" w:sz="8" w:space="0"/>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3,636</w:t>
            </w:r>
          </w:p>
        </w:tc>
        <w:tc>
          <w:tcPr>
            <w:tcW w:w="781" w:type="pct"/>
            <w:tcBorders>
              <w:top w:val="single" w:color="000000" w:sz="8" w:space="0"/>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1.61 (1.20-2.15)</w:t>
            </w:r>
          </w:p>
        </w:tc>
        <w:tc>
          <w:tcPr>
            <w:tcW w:w="425" w:type="pct"/>
            <w:tcBorders>
              <w:top w:val="single" w:color="000000" w:sz="8" w:space="0"/>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0.008</w:t>
            </w:r>
          </w:p>
        </w:tc>
        <w:tc>
          <w:tcPr>
            <w:tcW w:w="400" w:type="pct"/>
            <w:tcBorders>
              <w:top w:val="single" w:color="000000" w:sz="8" w:space="0"/>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52.4%</w:t>
            </w:r>
          </w:p>
        </w:tc>
        <w:tc>
          <w:tcPr>
            <w:tcW w:w="362" w:type="pct"/>
            <w:tcBorders>
              <w:top w:val="single" w:color="000000" w:sz="8" w:space="0"/>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0.062</w:t>
            </w:r>
          </w:p>
        </w:tc>
        <w:tc>
          <w:tcPr>
            <w:tcW w:w="632" w:type="pct"/>
            <w:tcBorders>
              <w:top w:val="single" w:color="000000" w:sz="8" w:space="0"/>
              <w:left w:val="nil"/>
              <w:bottom w:val="nil"/>
              <w:right w:val="nil"/>
            </w:tcBorders>
            <w:shd w:val="clear" w:color="auto" w:fill="FFFFFF"/>
            <w:tcMar>
              <w:top w:w="0" w:type="dxa"/>
              <w:left w:w="0" w:type="dxa"/>
              <w:bottom w:w="0" w:type="dxa"/>
              <w:right w:w="0" w:type="dxa"/>
            </w:tcMar>
            <w:vAlign w:val="top"/>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0.862</w:t>
            </w:r>
          </w:p>
        </w:tc>
      </w:tr>
      <w:tr>
        <w:tblPrEx>
          <w:tblCellMar>
            <w:top w:w="0" w:type="dxa"/>
            <w:left w:w="108" w:type="dxa"/>
            <w:bottom w:w="0" w:type="dxa"/>
            <w:right w:w="108" w:type="dxa"/>
          </w:tblCellMar>
        </w:tblPrEx>
        <w:trPr>
          <w:trHeight w:val="23" w:hRule="atLeast"/>
        </w:trPr>
        <w:tc>
          <w:tcPr>
            <w:tcW w:w="1887" w:type="dxa"/>
            <w:vMerge w:val="continue"/>
            <w:tcBorders>
              <w:top w:val="nil"/>
              <w:left w:val="nil"/>
              <w:bottom w:val="nil"/>
              <w:right w:val="nil"/>
            </w:tcBorders>
            <w:shd w:val="clear" w:color="auto" w:fill="FFFFFF"/>
            <w:tcMar>
              <w:top w:w="0" w:type="dxa"/>
              <w:left w:w="0" w:type="dxa"/>
              <w:bottom w:w="0" w:type="dxa"/>
              <w:right w:w="0" w:type="dxa"/>
            </w:tcMar>
            <w:vAlign w:val="top"/>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val="0"/>
                <w:i w:val="0"/>
                <w:strike w:val="0"/>
                <w:color w:val="000000"/>
                <w:sz w:val="20"/>
                <w:szCs w:val="20"/>
                <w:u w:val="none"/>
              </w:rPr>
            </w:pPr>
          </w:p>
        </w:tc>
        <w:tc>
          <w:tcPr>
            <w:tcW w:w="1979" w:type="dxa"/>
            <w:tcBorders>
              <w:top w:val="nil"/>
              <w:left w:val="nil"/>
              <w:bottom w:val="nil"/>
              <w:right w:val="nil"/>
            </w:tcBorders>
            <w:shd w:val="clear" w:color="auto" w:fill="FFFFFF"/>
            <w:tcMar>
              <w:top w:w="0" w:type="dxa"/>
              <w:left w:w="0" w:type="dxa"/>
              <w:bottom w:w="0" w:type="dxa"/>
              <w:right w:w="0" w:type="dxa"/>
            </w:tcMar>
            <w:vAlign w:val="center"/>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val="0"/>
                <w:i w:val="0"/>
                <w:strike w:val="0"/>
                <w:color w:val="000000"/>
                <w:sz w:val="20"/>
                <w:szCs w:val="20"/>
                <w:u w:val="none"/>
                <w:lang w:val="en-US" w:eastAsia="en-US" w:bidi="ar-SA"/>
              </w:rPr>
            </w:pPr>
            <w:r>
              <w:rPr>
                <w:rFonts w:hint="default" w:ascii="Times New Roman" w:hAnsi="Times New Roman" w:eastAsia="Times New Roman" w:cs="Times New Roman"/>
                <w:b w:val="0"/>
                <w:i w:val="0"/>
                <w:strike w:val="0"/>
                <w:color w:val="000000"/>
                <w:sz w:val="20"/>
                <w:szCs w:val="20"/>
                <w:u w:val="none"/>
              </w:rPr>
              <w:t>Asia</w:t>
            </w:r>
          </w:p>
        </w:tc>
        <w:tc>
          <w:tcPr>
            <w:tcW w:w="516"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5</w:t>
            </w:r>
          </w:p>
        </w:tc>
        <w:tc>
          <w:tcPr>
            <w:tcW w:w="496"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1,087</w:t>
            </w:r>
          </w:p>
        </w:tc>
        <w:tc>
          <w:tcPr>
            <w:tcW w:w="781"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1.65 (1.33-2.03)</w:t>
            </w:r>
          </w:p>
        </w:tc>
        <w:tc>
          <w:tcPr>
            <w:tcW w:w="425"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0.003</w:t>
            </w:r>
          </w:p>
        </w:tc>
        <w:tc>
          <w:tcPr>
            <w:tcW w:w="400"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w:t>
            </w:r>
          </w:p>
        </w:tc>
        <w:tc>
          <w:tcPr>
            <w:tcW w:w="362"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0.789</w:t>
            </w:r>
          </w:p>
        </w:tc>
        <w:tc>
          <w:tcPr>
            <w:tcW w:w="632" w:type="pct"/>
            <w:tcBorders>
              <w:top w:val="nil"/>
              <w:left w:val="nil"/>
              <w:bottom w:val="nil"/>
              <w:right w:val="nil"/>
            </w:tcBorders>
            <w:shd w:val="clear" w:color="auto" w:fill="FFFFFF"/>
            <w:tcMar>
              <w:top w:w="0" w:type="dxa"/>
              <w:left w:w="0" w:type="dxa"/>
              <w:bottom w:w="0" w:type="dxa"/>
              <w:right w:w="0" w:type="dxa"/>
            </w:tcMar>
            <w:vAlign w:val="top"/>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p>
        </w:tc>
      </w:tr>
      <w:tr>
        <w:tblPrEx>
          <w:tblCellMar>
            <w:top w:w="0" w:type="dxa"/>
            <w:left w:w="108" w:type="dxa"/>
            <w:bottom w:w="0" w:type="dxa"/>
            <w:right w:w="108" w:type="dxa"/>
          </w:tblCellMar>
        </w:tblPrEx>
        <w:trPr>
          <w:trHeight w:val="23" w:hRule="atLeast"/>
        </w:trPr>
        <w:tc>
          <w:tcPr>
            <w:tcW w:w="1887" w:type="dxa"/>
            <w:vMerge w:val="restart"/>
            <w:tcBorders>
              <w:top w:val="nil"/>
              <w:left w:val="nil"/>
              <w:bottom w:val="nil"/>
              <w:right w:val="nil"/>
            </w:tcBorders>
            <w:shd w:val="clear" w:color="auto" w:fill="FFFFFF"/>
            <w:tcMar>
              <w:top w:w="0" w:type="dxa"/>
              <w:left w:w="0" w:type="dxa"/>
              <w:bottom w:w="0" w:type="dxa"/>
              <w:right w:w="0" w:type="dxa"/>
            </w:tcMar>
            <w:vAlign w:val="top"/>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Year</w:t>
            </w:r>
          </w:p>
        </w:tc>
        <w:tc>
          <w:tcPr>
            <w:tcW w:w="1979" w:type="dxa"/>
            <w:tcBorders>
              <w:top w:val="nil"/>
              <w:left w:val="nil"/>
              <w:bottom w:val="nil"/>
              <w:right w:val="nil"/>
            </w:tcBorders>
            <w:shd w:val="clear" w:color="auto" w:fill="FFFFFF"/>
            <w:tcMar>
              <w:top w:w="0" w:type="dxa"/>
              <w:left w:w="0" w:type="dxa"/>
              <w:bottom w:w="0" w:type="dxa"/>
              <w:right w:w="0" w:type="dxa"/>
            </w:tcMar>
            <w:vAlign w:val="center"/>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val="0"/>
                <w:i w:val="0"/>
                <w:strike w:val="0"/>
                <w:color w:val="000000"/>
                <w:sz w:val="20"/>
                <w:szCs w:val="20"/>
                <w:u w:val="none"/>
                <w:lang w:val="en-US" w:eastAsia="en-US" w:bidi="ar-SA"/>
              </w:rPr>
            </w:pPr>
            <w:r>
              <w:rPr>
                <w:rFonts w:hint="default" w:ascii="Times New Roman" w:hAnsi="Times New Roman" w:eastAsia="宋体" w:cs="Times New Roman"/>
                <w:b w:val="0"/>
                <w:i w:val="0"/>
                <w:strike w:val="0"/>
                <w:color w:val="000000"/>
                <w:sz w:val="20"/>
                <w:szCs w:val="20"/>
                <w:u w:val="none"/>
                <w:lang w:val="en-US" w:eastAsia="zh-CN"/>
              </w:rPr>
              <w:t>≤</w:t>
            </w:r>
            <w:r>
              <w:rPr>
                <w:rFonts w:hint="default" w:ascii="Times New Roman" w:hAnsi="Times New Roman" w:eastAsia="Times New Roman" w:cs="Times New Roman"/>
                <w:b w:val="0"/>
                <w:i w:val="0"/>
                <w:strike w:val="0"/>
                <w:color w:val="000000"/>
                <w:sz w:val="20"/>
                <w:szCs w:val="20"/>
                <w:u w:val="none"/>
              </w:rPr>
              <w:t>2021</w:t>
            </w:r>
          </w:p>
        </w:tc>
        <w:tc>
          <w:tcPr>
            <w:tcW w:w="516"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6</w:t>
            </w:r>
          </w:p>
        </w:tc>
        <w:tc>
          <w:tcPr>
            <w:tcW w:w="496"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2,712</w:t>
            </w:r>
          </w:p>
        </w:tc>
        <w:tc>
          <w:tcPr>
            <w:tcW w:w="781"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1.80 (1.27-2.56)</w:t>
            </w:r>
          </w:p>
        </w:tc>
        <w:tc>
          <w:tcPr>
            <w:tcW w:w="425"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0.008</w:t>
            </w:r>
          </w:p>
        </w:tc>
        <w:tc>
          <w:tcPr>
            <w:tcW w:w="400"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42.5%</w:t>
            </w:r>
          </w:p>
        </w:tc>
        <w:tc>
          <w:tcPr>
            <w:tcW w:w="362"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0.122</w:t>
            </w:r>
          </w:p>
        </w:tc>
        <w:tc>
          <w:tcPr>
            <w:tcW w:w="632" w:type="pct"/>
            <w:tcBorders>
              <w:top w:val="nil"/>
              <w:left w:val="nil"/>
              <w:bottom w:val="nil"/>
              <w:right w:val="nil"/>
            </w:tcBorders>
            <w:shd w:val="clear" w:color="auto" w:fill="FFFFFF"/>
            <w:tcMar>
              <w:top w:w="0" w:type="dxa"/>
              <w:left w:w="0" w:type="dxa"/>
              <w:bottom w:w="0" w:type="dxa"/>
              <w:right w:w="0" w:type="dxa"/>
            </w:tcMar>
            <w:vAlign w:val="top"/>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0.076</w:t>
            </w:r>
          </w:p>
        </w:tc>
      </w:tr>
      <w:tr>
        <w:tblPrEx>
          <w:tblCellMar>
            <w:top w:w="0" w:type="dxa"/>
            <w:left w:w="108" w:type="dxa"/>
            <w:bottom w:w="0" w:type="dxa"/>
            <w:right w:w="108" w:type="dxa"/>
          </w:tblCellMar>
        </w:tblPrEx>
        <w:trPr>
          <w:trHeight w:val="23" w:hRule="atLeast"/>
        </w:trPr>
        <w:tc>
          <w:tcPr>
            <w:tcW w:w="1887" w:type="dxa"/>
            <w:vMerge w:val="continue"/>
            <w:tcBorders>
              <w:top w:val="nil"/>
              <w:left w:val="nil"/>
              <w:bottom w:val="nil"/>
              <w:right w:val="nil"/>
            </w:tcBorders>
            <w:shd w:val="clear" w:color="auto" w:fill="FFFFFF"/>
            <w:tcMar>
              <w:top w:w="0" w:type="dxa"/>
              <w:left w:w="0" w:type="dxa"/>
              <w:bottom w:w="0" w:type="dxa"/>
              <w:right w:w="0" w:type="dxa"/>
            </w:tcMar>
            <w:vAlign w:val="top"/>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val="0"/>
                <w:i w:val="0"/>
                <w:strike w:val="0"/>
                <w:color w:val="000000"/>
                <w:sz w:val="20"/>
                <w:szCs w:val="20"/>
                <w:u w:val="none"/>
              </w:rPr>
            </w:pPr>
          </w:p>
        </w:tc>
        <w:tc>
          <w:tcPr>
            <w:tcW w:w="1979" w:type="dxa"/>
            <w:tcBorders>
              <w:top w:val="nil"/>
              <w:left w:val="nil"/>
              <w:bottom w:val="nil"/>
              <w:right w:val="nil"/>
            </w:tcBorders>
            <w:shd w:val="clear" w:color="auto" w:fill="FFFFFF"/>
            <w:tcMar>
              <w:top w:w="0" w:type="dxa"/>
              <w:left w:w="0" w:type="dxa"/>
              <w:bottom w:w="0" w:type="dxa"/>
              <w:right w:w="0" w:type="dxa"/>
            </w:tcMar>
            <w:vAlign w:val="center"/>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val="0"/>
                <w:i w:val="0"/>
                <w:strike w:val="0"/>
                <w:color w:val="000000"/>
                <w:sz w:val="20"/>
                <w:szCs w:val="20"/>
                <w:u w:val="none"/>
                <w:lang w:val="en-US" w:eastAsia="en-US" w:bidi="ar-SA"/>
              </w:rPr>
            </w:pPr>
            <w:r>
              <w:rPr>
                <w:rFonts w:hint="default" w:ascii="Times New Roman" w:hAnsi="Times New Roman" w:eastAsia="Times New Roman" w:cs="Times New Roman"/>
                <w:b w:val="0"/>
                <w:i w:val="0"/>
                <w:strike w:val="0"/>
                <w:color w:val="000000"/>
                <w:sz w:val="20"/>
                <w:szCs w:val="20"/>
                <w:u w:val="none"/>
              </w:rPr>
              <w:t>&gt;2021</w:t>
            </w:r>
          </w:p>
        </w:tc>
        <w:tc>
          <w:tcPr>
            <w:tcW w:w="516"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5</w:t>
            </w:r>
          </w:p>
        </w:tc>
        <w:tc>
          <w:tcPr>
            <w:tcW w:w="496"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2,011</w:t>
            </w:r>
          </w:p>
        </w:tc>
        <w:tc>
          <w:tcPr>
            <w:tcW w:w="781"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1.41 (1.34-1.48)</w:t>
            </w:r>
          </w:p>
        </w:tc>
        <w:tc>
          <w:tcPr>
            <w:tcW w:w="425"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&lt;0.001</w:t>
            </w:r>
          </w:p>
        </w:tc>
        <w:tc>
          <w:tcPr>
            <w:tcW w:w="400"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w:t>
            </w:r>
          </w:p>
        </w:tc>
        <w:tc>
          <w:tcPr>
            <w:tcW w:w="362"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0.772</w:t>
            </w:r>
          </w:p>
        </w:tc>
        <w:tc>
          <w:tcPr>
            <w:tcW w:w="632" w:type="pct"/>
            <w:tcBorders>
              <w:top w:val="nil"/>
              <w:left w:val="nil"/>
              <w:bottom w:val="nil"/>
              <w:right w:val="nil"/>
            </w:tcBorders>
            <w:shd w:val="clear" w:color="auto" w:fill="FFFFFF"/>
            <w:tcMar>
              <w:top w:w="0" w:type="dxa"/>
              <w:left w:w="0" w:type="dxa"/>
              <w:bottom w:w="0" w:type="dxa"/>
              <w:right w:w="0" w:type="dxa"/>
            </w:tcMar>
            <w:vAlign w:val="top"/>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p>
        </w:tc>
      </w:tr>
      <w:tr>
        <w:tblPrEx>
          <w:tblCellMar>
            <w:top w:w="0" w:type="dxa"/>
            <w:left w:w="108" w:type="dxa"/>
            <w:bottom w:w="0" w:type="dxa"/>
            <w:right w:w="108" w:type="dxa"/>
          </w:tblCellMar>
        </w:tblPrEx>
        <w:trPr>
          <w:trHeight w:val="23" w:hRule="atLeast"/>
        </w:trPr>
        <w:tc>
          <w:tcPr>
            <w:tcW w:w="1887" w:type="dxa"/>
            <w:vMerge w:val="restart"/>
            <w:tcBorders>
              <w:top w:val="nil"/>
              <w:left w:val="nil"/>
              <w:bottom w:val="nil"/>
              <w:right w:val="nil"/>
            </w:tcBorders>
            <w:shd w:val="clear" w:color="auto" w:fill="FFFFFF"/>
            <w:tcMar>
              <w:top w:w="0" w:type="dxa"/>
              <w:left w:w="0" w:type="dxa"/>
              <w:bottom w:w="0" w:type="dxa"/>
              <w:right w:w="0" w:type="dxa"/>
            </w:tcMar>
            <w:vAlign w:val="top"/>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Size</w:t>
            </w:r>
          </w:p>
        </w:tc>
        <w:tc>
          <w:tcPr>
            <w:tcW w:w="1979" w:type="dxa"/>
            <w:tcBorders>
              <w:top w:val="nil"/>
              <w:left w:val="nil"/>
              <w:bottom w:val="nil"/>
              <w:right w:val="nil"/>
            </w:tcBorders>
            <w:shd w:val="clear" w:color="auto" w:fill="FFFFFF"/>
            <w:tcMar>
              <w:top w:w="0" w:type="dxa"/>
              <w:left w:w="0" w:type="dxa"/>
              <w:bottom w:w="0" w:type="dxa"/>
              <w:right w:w="0" w:type="dxa"/>
            </w:tcMar>
            <w:vAlign w:val="center"/>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val="0"/>
                <w:i w:val="0"/>
                <w:strike w:val="0"/>
                <w:color w:val="000000"/>
                <w:sz w:val="20"/>
                <w:szCs w:val="20"/>
                <w:u w:val="none"/>
                <w:lang w:val="en-US" w:eastAsia="en-US" w:bidi="ar-SA"/>
              </w:rPr>
            </w:pPr>
            <w:r>
              <w:rPr>
                <w:rFonts w:hint="default" w:ascii="Times New Roman" w:hAnsi="Times New Roman" w:eastAsia="Times New Roman" w:cs="Times New Roman"/>
                <w:b w:val="0"/>
                <w:i w:val="0"/>
                <w:strike w:val="0"/>
                <w:color w:val="000000"/>
                <w:sz w:val="20"/>
                <w:szCs w:val="20"/>
                <w:u w:val="none"/>
              </w:rPr>
              <w:t>&gt;400</w:t>
            </w:r>
          </w:p>
        </w:tc>
        <w:tc>
          <w:tcPr>
            <w:tcW w:w="516"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4</w:t>
            </w:r>
          </w:p>
        </w:tc>
        <w:tc>
          <w:tcPr>
            <w:tcW w:w="496"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3,314</w:t>
            </w:r>
          </w:p>
        </w:tc>
        <w:tc>
          <w:tcPr>
            <w:tcW w:w="781"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1.45 (1.17-1.79)</w:t>
            </w:r>
          </w:p>
        </w:tc>
        <w:tc>
          <w:tcPr>
            <w:tcW w:w="425"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0.012</w:t>
            </w:r>
          </w:p>
        </w:tc>
        <w:tc>
          <w:tcPr>
            <w:tcW w:w="400"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47.1%</w:t>
            </w:r>
          </w:p>
        </w:tc>
        <w:tc>
          <w:tcPr>
            <w:tcW w:w="362"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0.129</w:t>
            </w:r>
          </w:p>
        </w:tc>
        <w:tc>
          <w:tcPr>
            <w:tcW w:w="632" w:type="pct"/>
            <w:tcBorders>
              <w:top w:val="nil"/>
              <w:left w:val="nil"/>
              <w:bottom w:val="nil"/>
              <w:right w:val="nil"/>
            </w:tcBorders>
            <w:shd w:val="clear" w:color="auto" w:fill="FFFFFF"/>
            <w:tcMar>
              <w:top w:w="0" w:type="dxa"/>
              <w:left w:w="0" w:type="dxa"/>
              <w:bottom w:w="0" w:type="dxa"/>
              <w:right w:w="0" w:type="dxa"/>
            </w:tcMar>
            <w:vAlign w:val="top"/>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0.123</w:t>
            </w:r>
          </w:p>
        </w:tc>
      </w:tr>
      <w:tr>
        <w:tblPrEx>
          <w:tblCellMar>
            <w:top w:w="0" w:type="dxa"/>
            <w:left w:w="108" w:type="dxa"/>
            <w:bottom w:w="0" w:type="dxa"/>
            <w:right w:w="108" w:type="dxa"/>
          </w:tblCellMar>
        </w:tblPrEx>
        <w:trPr>
          <w:trHeight w:val="23" w:hRule="atLeast"/>
        </w:trPr>
        <w:tc>
          <w:tcPr>
            <w:tcW w:w="1887" w:type="dxa"/>
            <w:vMerge w:val="continue"/>
            <w:tcBorders>
              <w:top w:val="nil"/>
              <w:left w:val="nil"/>
              <w:bottom w:val="nil"/>
              <w:right w:val="nil"/>
            </w:tcBorders>
            <w:shd w:val="clear" w:color="auto" w:fill="FFFFFF"/>
            <w:tcMar>
              <w:top w:w="0" w:type="dxa"/>
              <w:left w:w="0" w:type="dxa"/>
              <w:bottom w:w="0" w:type="dxa"/>
              <w:right w:w="0" w:type="dxa"/>
            </w:tcMar>
            <w:vAlign w:val="top"/>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val="0"/>
                <w:i w:val="0"/>
                <w:strike w:val="0"/>
                <w:color w:val="000000"/>
                <w:sz w:val="20"/>
                <w:szCs w:val="20"/>
                <w:u w:val="none"/>
              </w:rPr>
            </w:pPr>
          </w:p>
        </w:tc>
        <w:tc>
          <w:tcPr>
            <w:tcW w:w="1979" w:type="dxa"/>
            <w:tcBorders>
              <w:top w:val="nil"/>
              <w:left w:val="nil"/>
              <w:bottom w:val="nil"/>
              <w:right w:val="nil"/>
            </w:tcBorders>
            <w:shd w:val="clear" w:color="auto" w:fill="FFFFFF"/>
            <w:tcMar>
              <w:top w:w="0" w:type="dxa"/>
              <w:left w:w="0" w:type="dxa"/>
              <w:bottom w:w="0" w:type="dxa"/>
              <w:right w:w="0" w:type="dxa"/>
            </w:tcMar>
            <w:vAlign w:val="center"/>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val="0"/>
                <w:i w:val="0"/>
                <w:strike w:val="0"/>
                <w:color w:val="000000"/>
                <w:sz w:val="20"/>
                <w:szCs w:val="20"/>
                <w:u w:val="none"/>
                <w:lang w:val="en-US" w:eastAsia="en-US" w:bidi="ar-SA"/>
              </w:rPr>
            </w:pPr>
            <w:r>
              <w:rPr>
                <w:rFonts w:hint="default" w:ascii="Times New Roman" w:hAnsi="Times New Roman" w:eastAsia="宋体" w:cs="Times New Roman"/>
                <w:b w:val="0"/>
                <w:i w:val="0"/>
                <w:strike w:val="0"/>
                <w:color w:val="000000"/>
                <w:sz w:val="20"/>
                <w:szCs w:val="20"/>
                <w:u w:val="none"/>
                <w:lang w:val="en-US" w:eastAsia="zh-CN"/>
              </w:rPr>
              <w:t>≤</w:t>
            </w:r>
            <w:r>
              <w:rPr>
                <w:rFonts w:hint="default" w:ascii="Times New Roman" w:hAnsi="Times New Roman" w:eastAsia="Times New Roman" w:cs="Times New Roman"/>
                <w:b w:val="0"/>
                <w:i w:val="0"/>
                <w:strike w:val="0"/>
                <w:color w:val="000000"/>
                <w:sz w:val="20"/>
                <w:szCs w:val="20"/>
                <w:u w:val="none"/>
              </w:rPr>
              <w:t>400</w:t>
            </w:r>
          </w:p>
        </w:tc>
        <w:tc>
          <w:tcPr>
            <w:tcW w:w="516"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7</w:t>
            </w:r>
          </w:p>
        </w:tc>
        <w:tc>
          <w:tcPr>
            <w:tcW w:w="496"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1,409</w:t>
            </w:r>
          </w:p>
        </w:tc>
        <w:tc>
          <w:tcPr>
            <w:tcW w:w="781"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1.73 (1.37-2.17)</w:t>
            </w:r>
          </w:p>
        </w:tc>
        <w:tc>
          <w:tcPr>
            <w:tcW w:w="425"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0.001</w:t>
            </w:r>
          </w:p>
        </w:tc>
        <w:tc>
          <w:tcPr>
            <w:tcW w:w="400"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w:t>
            </w:r>
          </w:p>
        </w:tc>
        <w:tc>
          <w:tcPr>
            <w:tcW w:w="362"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0.583</w:t>
            </w:r>
          </w:p>
        </w:tc>
        <w:tc>
          <w:tcPr>
            <w:tcW w:w="632" w:type="pct"/>
            <w:tcBorders>
              <w:top w:val="nil"/>
              <w:left w:val="nil"/>
              <w:bottom w:val="nil"/>
              <w:right w:val="nil"/>
            </w:tcBorders>
            <w:shd w:val="clear" w:color="auto" w:fill="FFFFFF"/>
            <w:tcMar>
              <w:top w:w="0" w:type="dxa"/>
              <w:left w:w="0" w:type="dxa"/>
              <w:bottom w:w="0" w:type="dxa"/>
              <w:right w:w="0" w:type="dxa"/>
            </w:tcMar>
            <w:vAlign w:val="top"/>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p>
        </w:tc>
      </w:tr>
      <w:tr>
        <w:tblPrEx>
          <w:tblCellMar>
            <w:top w:w="0" w:type="dxa"/>
            <w:left w:w="108" w:type="dxa"/>
            <w:bottom w:w="0" w:type="dxa"/>
            <w:right w:w="108" w:type="dxa"/>
          </w:tblCellMar>
        </w:tblPrEx>
        <w:trPr>
          <w:trHeight w:val="23" w:hRule="atLeast"/>
        </w:trPr>
        <w:tc>
          <w:tcPr>
            <w:tcW w:w="1887" w:type="dxa"/>
            <w:vMerge w:val="restart"/>
            <w:tcBorders>
              <w:top w:val="nil"/>
              <w:left w:val="nil"/>
              <w:bottom w:val="nil"/>
              <w:right w:val="nil"/>
            </w:tcBorders>
            <w:shd w:val="clear" w:color="auto" w:fill="FFFFFF"/>
            <w:tcMar>
              <w:top w:w="0" w:type="dxa"/>
              <w:left w:w="0" w:type="dxa"/>
              <w:bottom w:w="0" w:type="dxa"/>
              <w:right w:w="0" w:type="dxa"/>
            </w:tcMar>
            <w:vAlign w:val="top"/>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Design</w:t>
            </w:r>
          </w:p>
        </w:tc>
        <w:tc>
          <w:tcPr>
            <w:tcW w:w="1979" w:type="dxa"/>
            <w:tcBorders>
              <w:top w:val="nil"/>
              <w:left w:val="nil"/>
              <w:bottom w:val="nil"/>
              <w:right w:val="nil"/>
            </w:tcBorders>
            <w:shd w:val="clear" w:color="auto" w:fill="FFFFFF"/>
            <w:tcMar>
              <w:top w:w="0" w:type="dxa"/>
              <w:left w:w="0" w:type="dxa"/>
              <w:bottom w:w="0" w:type="dxa"/>
              <w:right w:w="0" w:type="dxa"/>
            </w:tcMar>
            <w:vAlign w:val="center"/>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val="0"/>
                <w:i w:val="0"/>
                <w:strike w:val="0"/>
                <w:color w:val="000000"/>
                <w:sz w:val="20"/>
                <w:szCs w:val="20"/>
                <w:u w:val="none"/>
                <w:lang w:val="en-US" w:eastAsia="en-US" w:bidi="ar-SA"/>
              </w:rPr>
            </w:pPr>
            <w:r>
              <w:rPr>
                <w:rFonts w:hint="default" w:ascii="Times New Roman" w:hAnsi="Times New Roman" w:eastAsia="Times New Roman" w:cs="Times New Roman"/>
                <w:b w:val="0"/>
                <w:i w:val="0"/>
                <w:strike w:val="0"/>
                <w:color w:val="000000"/>
                <w:sz w:val="20"/>
                <w:szCs w:val="20"/>
                <w:u w:val="none"/>
              </w:rPr>
              <w:t>Single-center</w:t>
            </w:r>
          </w:p>
        </w:tc>
        <w:tc>
          <w:tcPr>
            <w:tcW w:w="516"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9</w:t>
            </w:r>
          </w:p>
        </w:tc>
        <w:tc>
          <w:tcPr>
            <w:tcW w:w="496"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2,534</w:t>
            </w:r>
          </w:p>
        </w:tc>
        <w:tc>
          <w:tcPr>
            <w:tcW w:w="781"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1.67 (1.36-2.05)</w:t>
            </w:r>
          </w:p>
        </w:tc>
        <w:tc>
          <w:tcPr>
            <w:tcW w:w="425"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&lt;0.001</w:t>
            </w:r>
          </w:p>
        </w:tc>
        <w:tc>
          <w:tcPr>
            <w:tcW w:w="400"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39.8%</w:t>
            </w:r>
          </w:p>
        </w:tc>
        <w:tc>
          <w:tcPr>
            <w:tcW w:w="362"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0.103</w:t>
            </w:r>
          </w:p>
        </w:tc>
        <w:tc>
          <w:tcPr>
            <w:tcW w:w="632" w:type="pct"/>
            <w:tcBorders>
              <w:top w:val="nil"/>
              <w:left w:val="nil"/>
              <w:bottom w:val="nil"/>
              <w:right w:val="nil"/>
            </w:tcBorders>
            <w:shd w:val="clear" w:color="auto" w:fill="FFFFFF"/>
            <w:tcMar>
              <w:top w:w="0" w:type="dxa"/>
              <w:left w:w="0" w:type="dxa"/>
              <w:bottom w:w="0" w:type="dxa"/>
              <w:right w:w="0" w:type="dxa"/>
            </w:tcMar>
            <w:vAlign w:val="top"/>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0.257</w:t>
            </w:r>
          </w:p>
        </w:tc>
      </w:tr>
      <w:tr>
        <w:tblPrEx>
          <w:tblCellMar>
            <w:top w:w="0" w:type="dxa"/>
            <w:left w:w="108" w:type="dxa"/>
            <w:bottom w:w="0" w:type="dxa"/>
            <w:right w:w="108" w:type="dxa"/>
          </w:tblCellMar>
        </w:tblPrEx>
        <w:trPr>
          <w:trHeight w:val="23" w:hRule="atLeast"/>
        </w:trPr>
        <w:tc>
          <w:tcPr>
            <w:tcW w:w="1887" w:type="dxa"/>
            <w:vMerge w:val="continue"/>
            <w:tcBorders>
              <w:top w:val="nil"/>
              <w:left w:val="nil"/>
              <w:bottom w:val="nil"/>
              <w:right w:val="nil"/>
            </w:tcBorders>
            <w:shd w:val="clear" w:color="auto" w:fill="FFFFFF"/>
            <w:tcMar>
              <w:top w:w="0" w:type="dxa"/>
              <w:left w:w="0" w:type="dxa"/>
              <w:bottom w:w="0" w:type="dxa"/>
              <w:right w:w="0" w:type="dxa"/>
            </w:tcMar>
            <w:vAlign w:val="top"/>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val="0"/>
                <w:i w:val="0"/>
                <w:strike w:val="0"/>
                <w:color w:val="000000"/>
                <w:sz w:val="20"/>
                <w:szCs w:val="20"/>
                <w:u w:val="none"/>
              </w:rPr>
            </w:pPr>
          </w:p>
        </w:tc>
        <w:tc>
          <w:tcPr>
            <w:tcW w:w="1979" w:type="dxa"/>
            <w:tcBorders>
              <w:top w:val="nil"/>
              <w:left w:val="nil"/>
              <w:bottom w:val="nil"/>
              <w:right w:val="nil"/>
            </w:tcBorders>
            <w:shd w:val="clear" w:color="auto" w:fill="FFFFFF"/>
            <w:tcMar>
              <w:top w:w="0" w:type="dxa"/>
              <w:left w:w="0" w:type="dxa"/>
              <w:bottom w:w="0" w:type="dxa"/>
              <w:right w:w="0" w:type="dxa"/>
            </w:tcMar>
            <w:vAlign w:val="center"/>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val="0"/>
                <w:i w:val="0"/>
                <w:strike w:val="0"/>
                <w:color w:val="000000"/>
                <w:sz w:val="20"/>
                <w:szCs w:val="20"/>
                <w:u w:val="none"/>
                <w:lang w:val="en-US" w:eastAsia="en-US" w:bidi="ar-SA"/>
              </w:rPr>
            </w:pPr>
            <w:r>
              <w:rPr>
                <w:rFonts w:hint="default" w:ascii="Times New Roman" w:hAnsi="Times New Roman" w:eastAsia="Times New Roman" w:cs="Times New Roman"/>
                <w:b w:val="0"/>
                <w:i w:val="0"/>
                <w:strike w:val="0"/>
                <w:color w:val="000000"/>
                <w:sz w:val="20"/>
                <w:szCs w:val="20"/>
                <w:u w:val="none"/>
              </w:rPr>
              <w:t>Multi-center</w:t>
            </w:r>
          </w:p>
        </w:tc>
        <w:tc>
          <w:tcPr>
            <w:tcW w:w="516"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2</w:t>
            </w:r>
          </w:p>
        </w:tc>
        <w:tc>
          <w:tcPr>
            <w:tcW w:w="496"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2,189</w:t>
            </w:r>
          </w:p>
        </w:tc>
        <w:tc>
          <w:tcPr>
            <w:tcW w:w="781"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1.47 (0.61-3.51)</w:t>
            </w:r>
          </w:p>
        </w:tc>
        <w:tc>
          <w:tcPr>
            <w:tcW w:w="425"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0.112</w:t>
            </w:r>
          </w:p>
        </w:tc>
        <w:tc>
          <w:tcPr>
            <w:tcW w:w="400"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w:t>
            </w:r>
          </w:p>
        </w:tc>
        <w:tc>
          <w:tcPr>
            <w:tcW w:w="362"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0.512</w:t>
            </w:r>
          </w:p>
        </w:tc>
        <w:tc>
          <w:tcPr>
            <w:tcW w:w="632" w:type="pct"/>
            <w:tcBorders>
              <w:top w:val="nil"/>
              <w:left w:val="nil"/>
              <w:bottom w:val="nil"/>
              <w:right w:val="nil"/>
            </w:tcBorders>
            <w:shd w:val="clear" w:color="auto" w:fill="FFFFFF"/>
            <w:tcMar>
              <w:top w:w="0" w:type="dxa"/>
              <w:left w:w="0" w:type="dxa"/>
              <w:bottom w:w="0" w:type="dxa"/>
              <w:right w:w="0" w:type="dxa"/>
            </w:tcMar>
            <w:vAlign w:val="top"/>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p>
        </w:tc>
      </w:tr>
      <w:tr>
        <w:tblPrEx>
          <w:tblCellMar>
            <w:top w:w="0" w:type="dxa"/>
            <w:left w:w="108" w:type="dxa"/>
            <w:bottom w:w="0" w:type="dxa"/>
            <w:right w:w="108" w:type="dxa"/>
          </w:tblCellMar>
        </w:tblPrEx>
        <w:trPr>
          <w:trHeight w:val="23" w:hRule="atLeast"/>
        </w:trPr>
        <w:tc>
          <w:tcPr>
            <w:tcW w:w="1887" w:type="dxa"/>
            <w:vMerge w:val="restart"/>
            <w:tcBorders>
              <w:top w:val="nil"/>
              <w:left w:val="nil"/>
              <w:bottom w:val="nil"/>
              <w:right w:val="nil"/>
            </w:tcBorders>
            <w:shd w:val="clear" w:color="auto" w:fill="FFFFFF"/>
            <w:tcMar>
              <w:top w:w="0" w:type="dxa"/>
              <w:left w:w="0" w:type="dxa"/>
              <w:bottom w:w="0" w:type="dxa"/>
              <w:right w:w="0" w:type="dxa"/>
            </w:tcMar>
            <w:vAlign w:val="top"/>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Type</w:t>
            </w:r>
          </w:p>
        </w:tc>
        <w:tc>
          <w:tcPr>
            <w:tcW w:w="1979" w:type="dxa"/>
            <w:tcBorders>
              <w:top w:val="nil"/>
              <w:left w:val="nil"/>
              <w:bottom w:val="nil"/>
              <w:right w:val="nil"/>
            </w:tcBorders>
            <w:shd w:val="clear" w:color="auto" w:fill="FFFFFF"/>
            <w:tcMar>
              <w:top w:w="0" w:type="dxa"/>
              <w:left w:w="0" w:type="dxa"/>
              <w:bottom w:w="0" w:type="dxa"/>
              <w:right w:w="0" w:type="dxa"/>
            </w:tcMar>
            <w:vAlign w:val="center"/>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val="0"/>
                <w:i w:val="0"/>
                <w:strike w:val="0"/>
                <w:color w:val="000000"/>
                <w:sz w:val="20"/>
                <w:szCs w:val="20"/>
                <w:u w:val="none"/>
                <w:lang w:val="en-US" w:eastAsia="en-US" w:bidi="ar-SA"/>
              </w:rPr>
            </w:pPr>
            <w:r>
              <w:rPr>
                <w:rFonts w:hint="default" w:ascii="Times New Roman" w:hAnsi="Times New Roman" w:eastAsia="Times New Roman" w:cs="Times New Roman"/>
                <w:b w:val="0"/>
                <w:i w:val="0"/>
                <w:strike w:val="0"/>
                <w:color w:val="000000"/>
                <w:sz w:val="20"/>
                <w:szCs w:val="20"/>
                <w:u w:val="none"/>
              </w:rPr>
              <w:t>Multivariate</w:t>
            </w:r>
          </w:p>
        </w:tc>
        <w:tc>
          <w:tcPr>
            <w:tcW w:w="516"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9</w:t>
            </w:r>
          </w:p>
        </w:tc>
        <w:tc>
          <w:tcPr>
            <w:tcW w:w="496"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4,431</w:t>
            </w:r>
          </w:p>
        </w:tc>
        <w:tc>
          <w:tcPr>
            <w:tcW w:w="781"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1.54 (1.35-1.76)</w:t>
            </w:r>
          </w:p>
        </w:tc>
        <w:tc>
          <w:tcPr>
            <w:tcW w:w="425"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&lt;0.001</w:t>
            </w:r>
          </w:p>
        </w:tc>
        <w:tc>
          <w:tcPr>
            <w:tcW w:w="400"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16.0%</w:t>
            </w:r>
          </w:p>
        </w:tc>
        <w:tc>
          <w:tcPr>
            <w:tcW w:w="362"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0.300</w:t>
            </w:r>
          </w:p>
        </w:tc>
        <w:tc>
          <w:tcPr>
            <w:tcW w:w="632" w:type="pct"/>
            <w:tcBorders>
              <w:top w:val="nil"/>
              <w:left w:val="nil"/>
              <w:bottom w:val="nil"/>
              <w:right w:val="nil"/>
            </w:tcBorders>
            <w:shd w:val="clear" w:color="auto" w:fill="FFFFFF"/>
            <w:tcMar>
              <w:top w:w="0" w:type="dxa"/>
              <w:left w:w="0" w:type="dxa"/>
              <w:bottom w:w="0" w:type="dxa"/>
              <w:right w:w="0" w:type="dxa"/>
            </w:tcMar>
            <w:vAlign w:val="top"/>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0.551</w:t>
            </w:r>
          </w:p>
        </w:tc>
      </w:tr>
      <w:tr>
        <w:tblPrEx>
          <w:tblCellMar>
            <w:top w:w="0" w:type="dxa"/>
            <w:left w:w="108" w:type="dxa"/>
            <w:bottom w:w="0" w:type="dxa"/>
            <w:right w:w="108" w:type="dxa"/>
          </w:tblCellMar>
        </w:tblPrEx>
        <w:trPr>
          <w:trHeight w:val="23" w:hRule="atLeast"/>
        </w:trPr>
        <w:tc>
          <w:tcPr>
            <w:tcW w:w="1887" w:type="dxa"/>
            <w:vMerge w:val="continue"/>
            <w:tcBorders>
              <w:top w:val="nil"/>
              <w:left w:val="nil"/>
              <w:bottom w:val="nil"/>
              <w:right w:val="nil"/>
            </w:tcBorders>
            <w:shd w:val="clear" w:color="auto" w:fill="FFFFFF"/>
            <w:tcMar>
              <w:top w:w="0" w:type="dxa"/>
              <w:left w:w="0" w:type="dxa"/>
              <w:bottom w:w="0" w:type="dxa"/>
              <w:right w:w="0" w:type="dxa"/>
            </w:tcMar>
            <w:vAlign w:val="top"/>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val="0"/>
                <w:i w:val="0"/>
                <w:strike w:val="0"/>
                <w:color w:val="000000"/>
                <w:sz w:val="20"/>
                <w:szCs w:val="20"/>
                <w:u w:val="none"/>
              </w:rPr>
            </w:pPr>
          </w:p>
        </w:tc>
        <w:tc>
          <w:tcPr>
            <w:tcW w:w="1979" w:type="dxa"/>
            <w:tcBorders>
              <w:top w:val="nil"/>
              <w:left w:val="nil"/>
              <w:bottom w:val="nil"/>
              <w:right w:val="nil"/>
            </w:tcBorders>
            <w:shd w:val="clear" w:color="auto" w:fill="FFFFFF"/>
            <w:tcMar>
              <w:top w:w="0" w:type="dxa"/>
              <w:left w:w="0" w:type="dxa"/>
              <w:bottom w:w="0" w:type="dxa"/>
              <w:right w:w="0" w:type="dxa"/>
            </w:tcMar>
            <w:vAlign w:val="center"/>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val="0"/>
                <w:i w:val="0"/>
                <w:strike w:val="0"/>
                <w:color w:val="000000"/>
                <w:sz w:val="20"/>
                <w:szCs w:val="20"/>
                <w:u w:val="none"/>
                <w:lang w:val="en-US" w:eastAsia="en-US" w:bidi="ar-SA"/>
              </w:rPr>
            </w:pPr>
            <w:r>
              <w:rPr>
                <w:rFonts w:hint="default" w:ascii="Times New Roman" w:hAnsi="Times New Roman" w:eastAsia="Times New Roman" w:cs="Times New Roman"/>
                <w:b w:val="0"/>
                <w:i w:val="0"/>
                <w:strike w:val="0"/>
                <w:color w:val="000000"/>
                <w:sz w:val="20"/>
                <w:szCs w:val="20"/>
                <w:u w:val="none"/>
              </w:rPr>
              <w:t>Univariate</w:t>
            </w:r>
          </w:p>
        </w:tc>
        <w:tc>
          <w:tcPr>
            <w:tcW w:w="516"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2</w:t>
            </w:r>
          </w:p>
        </w:tc>
        <w:tc>
          <w:tcPr>
            <w:tcW w:w="496"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292</w:t>
            </w:r>
          </w:p>
        </w:tc>
        <w:tc>
          <w:tcPr>
            <w:tcW w:w="781"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2.16 (0.00-2810.21)</w:t>
            </w:r>
          </w:p>
        </w:tc>
        <w:tc>
          <w:tcPr>
            <w:tcW w:w="425"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0.402</w:t>
            </w:r>
          </w:p>
        </w:tc>
        <w:tc>
          <w:tcPr>
            <w:tcW w:w="400"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71.3%</w:t>
            </w:r>
          </w:p>
        </w:tc>
        <w:tc>
          <w:tcPr>
            <w:tcW w:w="362"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0.062</w:t>
            </w:r>
          </w:p>
        </w:tc>
        <w:tc>
          <w:tcPr>
            <w:tcW w:w="632" w:type="pct"/>
            <w:tcBorders>
              <w:top w:val="nil"/>
              <w:left w:val="nil"/>
              <w:bottom w:val="nil"/>
              <w:right w:val="nil"/>
            </w:tcBorders>
            <w:shd w:val="clear" w:color="auto" w:fill="FFFFFF"/>
            <w:tcMar>
              <w:top w:w="0" w:type="dxa"/>
              <w:left w:w="0" w:type="dxa"/>
              <w:bottom w:w="0" w:type="dxa"/>
              <w:right w:w="0" w:type="dxa"/>
            </w:tcMar>
            <w:vAlign w:val="top"/>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p>
        </w:tc>
      </w:tr>
      <w:tr>
        <w:tblPrEx>
          <w:tblCellMar>
            <w:top w:w="0" w:type="dxa"/>
            <w:left w:w="108" w:type="dxa"/>
            <w:bottom w:w="0" w:type="dxa"/>
            <w:right w:w="108" w:type="dxa"/>
          </w:tblCellMar>
        </w:tblPrEx>
        <w:trPr>
          <w:trHeight w:val="23" w:hRule="atLeast"/>
        </w:trPr>
        <w:tc>
          <w:tcPr>
            <w:tcW w:w="1887" w:type="dxa"/>
            <w:vMerge w:val="restart"/>
            <w:tcBorders>
              <w:top w:val="nil"/>
              <w:left w:val="nil"/>
              <w:bottom w:val="nil"/>
              <w:right w:val="nil"/>
            </w:tcBorders>
            <w:shd w:val="clear" w:color="auto" w:fill="FFFFFF"/>
            <w:tcMar>
              <w:top w:w="0" w:type="dxa"/>
              <w:left w:w="0" w:type="dxa"/>
              <w:bottom w:w="0" w:type="dxa"/>
              <w:right w:w="0" w:type="dxa"/>
            </w:tcMar>
            <w:vAlign w:val="top"/>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宋体" w:cs="Times New Roman"/>
                <w:b w:val="0"/>
                <w:i w:val="0"/>
                <w:strike w:val="0"/>
                <w:color w:val="000000"/>
                <w:sz w:val="20"/>
                <w:szCs w:val="20"/>
                <w:u w:val="none"/>
                <w:lang w:val="en-US" w:eastAsia="zh-CN"/>
              </w:rPr>
            </w:pPr>
            <w:r>
              <w:rPr>
                <w:rFonts w:hint="default" w:ascii="Times New Roman" w:hAnsi="Times New Roman" w:eastAsia="宋体" w:cs="Times New Roman"/>
                <w:b w:val="0"/>
                <w:i w:val="0"/>
                <w:strike w:val="0"/>
                <w:color w:val="000000"/>
                <w:sz w:val="20"/>
                <w:szCs w:val="20"/>
                <w:u w:val="none"/>
                <w:lang w:val="en-US" w:eastAsia="zh-CN"/>
              </w:rPr>
              <w:t>Time s</w:t>
            </w:r>
            <w:r>
              <w:rPr>
                <w:rFonts w:hint="default" w:ascii="Times New Roman" w:hAnsi="Times New Roman" w:eastAsia="Times New Roman" w:cs="Times New Roman"/>
                <w:b w:val="0"/>
                <w:i w:val="0"/>
                <w:strike w:val="0"/>
                <w:color w:val="000000"/>
                <w:sz w:val="20"/>
                <w:szCs w:val="20"/>
                <w:u w:val="none"/>
              </w:rPr>
              <w:t>pan</w:t>
            </w:r>
            <w:r>
              <w:rPr>
                <w:rFonts w:hint="default" w:ascii="Times New Roman" w:hAnsi="Times New Roman" w:eastAsia="宋体" w:cs="Times New Roman"/>
                <w:b w:val="0"/>
                <w:i w:val="0"/>
                <w:strike w:val="0"/>
                <w:color w:val="000000"/>
                <w:sz w:val="20"/>
                <w:szCs w:val="20"/>
                <w:u w:val="none"/>
                <w:lang w:val="en-US" w:eastAsia="zh-CN"/>
              </w:rPr>
              <w:t>(</w:t>
            </w:r>
            <w:r>
              <w:rPr>
                <w:rFonts w:hint="default" w:ascii="Times New Roman" w:hAnsi="Times New Roman" w:eastAsia="Times New Roman" w:cs="Times New Roman"/>
                <w:b w:val="0"/>
                <w:i w:val="0"/>
                <w:strike w:val="0"/>
                <w:color w:val="000000"/>
                <w:sz w:val="20"/>
                <w:szCs w:val="20"/>
                <w:u w:val="none"/>
              </w:rPr>
              <w:t>2021</w:t>
            </w:r>
            <w:r>
              <w:rPr>
                <w:rFonts w:hint="default" w:ascii="Times New Roman" w:hAnsi="Times New Roman" w:eastAsia="宋体" w:cs="Times New Roman"/>
                <w:b w:val="0"/>
                <w:i w:val="0"/>
                <w:strike w:val="0"/>
                <w:color w:val="000000"/>
                <w:sz w:val="20"/>
                <w:szCs w:val="20"/>
                <w:u w:val="none"/>
                <w:lang w:val="en-US" w:eastAsia="zh-CN"/>
              </w:rPr>
              <w:t>)</w:t>
            </w:r>
          </w:p>
        </w:tc>
        <w:tc>
          <w:tcPr>
            <w:tcW w:w="1979" w:type="dxa"/>
            <w:tcBorders>
              <w:top w:val="nil"/>
              <w:left w:val="nil"/>
              <w:bottom w:val="nil"/>
              <w:right w:val="nil"/>
            </w:tcBorders>
            <w:shd w:val="clear" w:color="auto" w:fill="FFFFFF"/>
            <w:tcMar>
              <w:top w:w="0" w:type="dxa"/>
              <w:left w:w="0" w:type="dxa"/>
              <w:bottom w:w="0" w:type="dxa"/>
              <w:right w:w="0" w:type="dxa"/>
            </w:tcMar>
            <w:vAlign w:val="center"/>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val="0"/>
                <w:i w:val="0"/>
                <w:strike w:val="0"/>
                <w:color w:val="000000"/>
                <w:sz w:val="20"/>
                <w:szCs w:val="20"/>
                <w:u w:val="none"/>
                <w:lang w:val="en-US" w:eastAsia="en-US" w:bidi="ar-SA"/>
              </w:rPr>
            </w:pPr>
            <w:r>
              <w:rPr>
                <w:rFonts w:hint="default" w:ascii="Times New Roman" w:hAnsi="Times New Roman" w:eastAsia="Times New Roman" w:cs="Times New Roman"/>
                <w:b w:val="0"/>
                <w:i w:val="0"/>
                <w:strike w:val="0"/>
                <w:color w:val="000000"/>
                <w:sz w:val="20"/>
                <w:szCs w:val="20"/>
                <w:u w:val="none"/>
              </w:rPr>
              <w:t>No</w:t>
            </w:r>
          </w:p>
        </w:tc>
        <w:tc>
          <w:tcPr>
            <w:tcW w:w="516"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8</w:t>
            </w:r>
          </w:p>
        </w:tc>
        <w:tc>
          <w:tcPr>
            <w:tcW w:w="496"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3,845</w:t>
            </w:r>
          </w:p>
        </w:tc>
        <w:tc>
          <w:tcPr>
            <w:tcW w:w="781"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1.68 (1.36-2.08)</w:t>
            </w:r>
          </w:p>
        </w:tc>
        <w:tc>
          <w:tcPr>
            <w:tcW w:w="425"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&lt;0.001</w:t>
            </w:r>
          </w:p>
        </w:tc>
        <w:tc>
          <w:tcPr>
            <w:tcW w:w="400"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20.2%</w:t>
            </w:r>
          </w:p>
        </w:tc>
        <w:tc>
          <w:tcPr>
            <w:tcW w:w="362"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0.269</w:t>
            </w:r>
          </w:p>
        </w:tc>
        <w:tc>
          <w:tcPr>
            <w:tcW w:w="632" w:type="pct"/>
            <w:tcBorders>
              <w:top w:val="nil"/>
              <w:left w:val="nil"/>
              <w:bottom w:val="nil"/>
              <w:right w:val="nil"/>
            </w:tcBorders>
            <w:shd w:val="clear" w:color="auto" w:fill="FFFFFF"/>
            <w:tcMar>
              <w:top w:w="0" w:type="dxa"/>
              <w:left w:w="0" w:type="dxa"/>
              <w:bottom w:w="0" w:type="dxa"/>
              <w:right w:w="0" w:type="dxa"/>
            </w:tcMar>
            <w:vAlign w:val="top"/>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0.047</w:t>
            </w:r>
          </w:p>
        </w:tc>
      </w:tr>
      <w:tr>
        <w:tblPrEx>
          <w:tblCellMar>
            <w:top w:w="0" w:type="dxa"/>
            <w:left w:w="108" w:type="dxa"/>
            <w:bottom w:w="0" w:type="dxa"/>
            <w:right w:w="108" w:type="dxa"/>
          </w:tblCellMar>
        </w:tblPrEx>
        <w:trPr>
          <w:trHeight w:val="23" w:hRule="atLeast"/>
        </w:trPr>
        <w:tc>
          <w:tcPr>
            <w:tcW w:w="1887" w:type="dxa"/>
            <w:vMerge w:val="continue"/>
            <w:tcBorders>
              <w:top w:val="nil"/>
              <w:left w:val="nil"/>
              <w:bottom w:val="nil"/>
              <w:right w:val="nil"/>
            </w:tcBorders>
            <w:shd w:val="clear" w:color="auto" w:fill="FFFFFF"/>
            <w:tcMar>
              <w:top w:w="0" w:type="dxa"/>
              <w:left w:w="0" w:type="dxa"/>
              <w:bottom w:w="0" w:type="dxa"/>
              <w:right w:w="0" w:type="dxa"/>
            </w:tcMar>
            <w:vAlign w:val="top"/>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val="0"/>
                <w:i w:val="0"/>
                <w:strike w:val="0"/>
                <w:color w:val="000000"/>
                <w:sz w:val="20"/>
                <w:szCs w:val="20"/>
                <w:u w:val="none"/>
              </w:rPr>
            </w:pPr>
          </w:p>
        </w:tc>
        <w:tc>
          <w:tcPr>
            <w:tcW w:w="1979" w:type="dxa"/>
            <w:tcBorders>
              <w:top w:val="nil"/>
              <w:left w:val="nil"/>
              <w:bottom w:val="nil"/>
              <w:right w:val="nil"/>
            </w:tcBorders>
            <w:shd w:val="clear" w:color="auto" w:fill="FFFFFF"/>
            <w:tcMar>
              <w:top w:w="0" w:type="dxa"/>
              <w:left w:w="0" w:type="dxa"/>
              <w:bottom w:w="0" w:type="dxa"/>
              <w:right w:w="0" w:type="dxa"/>
            </w:tcMar>
            <w:vAlign w:val="center"/>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val="0"/>
                <w:i w:val="0"/>
                <w:strike w:val="0"/>
                <w:color w:val="000000"/>
                <w:sz w:val="20"/>
                <w:szCs w:val="20"/>
                <w:u w:val="none"/>
                <w:lang w:val="en-US" w:eastAsia="en-US" w:bidi="ar-SA"/>
              </w:rPr>
            </w:pPr>
            <w:r>
              <w:rPr>
                <w:rFonts w:hint="default" w:ascii="Times New Roman" w:hAnsi="Times New Roman" w:eastAsia="Times New Roman" w:cs="Times New Roman"/>
                <w:b w:val="0"/>
                <w:i w:val="0"/>
                <w:strike w:val="0"/>
                <w:color w:val="000000"/>
                <w:sz w:val="20"/>
                <w:szCs w:val="20"/>
                <w:u w:val="none"/>
              </w:rPr>
              <w:t>Yes</w:t>
            </w:r>
          </w:p>
        </w:tc>
        <w:tc>
          <w:tcPr>
            <w:tcW w:w="516"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3</w:t>
            </w:r>
          </w:p>
        </w:tc>
        <w:tc>
          <w:tcPr>
            <w:tcW w:w="496"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878</w:t>
            </w:r>
          </w:p>
        </w:tc>
        <w:tc>
          <w:tcPr>
            <w:tcW w:w="781"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1.40 (1.29-1.52)</w:t>
            </w:r>
          </w:p>
        </w:tc>
        <w:tc>
          <w:tcPr>
            <w:tcW w:w="425"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0.003</w:t>
            </w:r>
          </w:p>
        </w:tc>
        <w:tc>
          <w:tcPr>
            <w:tcW w:w="400"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w:t>
            </w:r>
          </w:p>
        </w:tc>
        <w:tc>
          <w:tcPr>
            <w:tcW w:w="362"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0.628</w:t>
            </w:r>
          </w:p>
        </w:tc>
        <w:tc>
          <w:tcPr>
            <w:tcW w:w="632" w:type="pct"/>
            <w:tcBorders>
              <w:top w:val="nil"/>
              <w:left w:val="nil"/>
              <w:bottom w:val="nil"/>
              <w:right w:val="nil"/>
            </w:tcBorders>
            <w:shd w:val="clear" w:color="auto" w:fill="FFFFFF"/>
            <w:tcMar>
              <w:top w:w="0" w:type="dxa"/>
              <w:left w:w="0" w:type="dxa"/>
              <w:bottom w:w="0" w:type="dxa"/>
              <w:right w:w="0" w:type="dxa"/>
            </w:tcMar>
            <w:vAlign w:val="top"/>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p>
        </w:tc>
      </w:tr>
      <w:tr>
        <w:tblPrEx>
          <w:tblCellMar>
            <w:top w:w="0" w:type="dxa"/>
            <w:left w:w="108" w:type="dxa"/>
            <w:bottom w:w="0" w:type="dxa"/>
            <w:right w:w="108" w:type="dxa"/>
          </w:tblCellMar>
        </w:tblPrEx>
        <w:trPr>
          <w:trHeight w:val="23" w:hRule="atLeast"/>
        </w:trPr>
        <w:tc>
          <w:tcPr>
            <w:tcW w:w="1887" w:type="dxa"/>
            <w:vMerge w:val="restart"/>
            <w:tcBorders>
              <w:top w:val="nil"/>
              <w:left w:val="nil"/>
              <w:bottom w:val="single" w:color="000000" w:sz="12" w:space="0"/>
              <w:right w:val="nil"/>
            </w:tcBorders>
            <w:shd w:val="clear" w:color="auto" w:fill="FFFFFF"/>
            <w:tcMar>
              <w:top w:w="0" w:type="dxa"/>
              <w:left w:w="0" w:type="dxa"/>
              <w:bottom w:w="0" w:type="dxa"/>
              <w:right w:w="0" w:type="dxa"/>
            </w:tcMar>
            <w:vAlign w:val="top"/>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Cutoff</w:t>
            </w:r>
          </w:p>
        </w:tc>
        <w:tc>
          <w:tcPr>
            <w:tcW w:w="1979" w:type="dxa"/>
            <w:tcBorders>
              <w:top w:val="nil"/>
              <w:left w:val="nil"/>
              <w:bottom w:val="nil"/>
              <w:right w:val="nil"/>
            </w:tcBorders>
            <w:shd w:val="clear" w:color="auto" w:fill="FFFFFF"/>
            <w:tcMar>
              <w:top w:w="0" w:type="dxa"/>
              <w:left w:w="0" w:type="dxa"/>
              <w:bottom w:w="0" w:type="dxa"/>
              <w:right w:w="0" w:type="dxa"/>
            </w:tcMar>
            <w:vAlign w:val="center"/>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val="0"/>
                <w:i w:val="0"/>
                <w:strike w:val="0"/>
                <w:color w:val="000000"/>
                <w:sz w:val="20"/>
                <w:szCs w:val="20"/>
                <w:u w:val="none"/>
                <w:lang w:val="en-US" w:eastAsia="en-US" w:bidi="ar-SA"/>
              </w:rPr>
            </w:pPr>
            <w:r>
              <w:rPr>
                <w:rFonts w:hint="default" w:ascii="Times New Roman" w:hAnsi="Times New Roman" w:eastAsia="宋体" w:cs="Times New Roman"/>
                <w:b w:val="0"/>
                <w:i w:val="0"/>
                <w:strike w:val="0"/>
                <w:color w:val="000000"/>
                <w:sz w:val="20"/>
                <w:szCs w:val="20"/>
                <w:u w:val="none"/>
                <w:lang w:val="en-US" w:eastAsia="zh-CN"/>
              </w:rPr>
              <w:t>≤</w:t>
            </w:r>
            <w:r>
              <w:rPr>
                <w:rFonts w:hint="default" w:ascii="Times New Roman" w:hAnsi="Times New Roman" w:eastAsia="Times New Roman" w:cs="Times New Roman"/>
                <w:b w:val="0"/>
                <w:i w:val="0"/>
                <w:strike w:val="0"/>
                <w:color w:val="000000"/>
                <w:sz w:val="20"/>
                <w:szCs w:val="20"/>
                <w:u w:val="none"/>
              </w:rPr>
              <w:t>4</w:t>
            </w:r>
          </w:p>
        </w:tc>
        <w:tc>
          <w:tcPr>
            <w:tcW w:w="516"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宋体" w:cs="Times New Roman"/>
                <w:b w:val="0"/>
                <w:i w:val="0"/>
                <w:strike w:val="0"/>
                <w:color w:val="000000"/>
                <w:sz w:val="20"/>
                <w:szCs w:val="20"/>
                <w:u w:val="none"/>
                <w:lang w:val="en-US" w:eastAsia="zh-CN"/>
              </w:rPr>
            </w:pPr>
            <w:r>
              <w:rPr>
                <w:rFonts w:hint="default" w:ascii="Times New Roman" w:hAnsi="Times New Roman" w:eastAsia="宋体" w:cs="Times New Roman"/>
                <w:b w:val="0"/>
                <w:i w:val="0"/>
                <w:strike w:val="0"/>
                <w:color w:val="000000"/>
                <w:sz w:val="20"/>
                <w:szCs w:val="20"/>
                <w:u w:val="none"/>
                <w:lang w:val="en-US" w:eastAsia="zh-CN"/>
              </w:rPr>
              <w:t>4</w:t>
            </w:r>
          </w:p>
        </w:tc>
        <w:tc>
          <w:tcPr>
            <w:tcW w:w="496"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宋体" w:cs="Times New Roman"/>
                <w:b w:val="0"/>
                <w:i w:val="0"/>
                <w:strike w:val="0"/>
                <w:color w:val="000000"/>
                <w:sz w:val="20"/>
                <w:szCs w:val="20"/>
                <w:u w:val="none"/>
                <w:lang w:val="en-US" w:eastAsia="zh-CN"/>
              </w:rPr>
              <w:t>1</w:t>
            </w:r>
            <w:r>
              <w:rPr>
                <w:rFonts w:hint="default" w:ascii="Times New Roman" w:hAnsi="Times New Roman" w:eastAsia="Times New Roman" w:cs="Times New Roman"/>
                <w:b w:val="0"/>
                <w:i w:val="0"/>
                <w:strike w:val="0"/>
                <w:color w:val="000000"/>
                <w:sz w:val="20"/>
                <w:szCs w:val="20"/>
                <w:u w:val="none"/>
              </w:rPr>
              <w:t>,</w:t>
            </w:r>
            <w:r>
              <w:rPr>
                <w:rFonts w:hint="default" w:ascii="Times New Roman" w:hAnsi="Times New Roman" w:eastAsia="宋体" w:cs="Times New Roman"/>
                <w:b w:val="0"/>
                <w:i w:val="0"/>
                <w:strike w:val="0"/>
                <w:color w:val="000000"/>
                <w:sz w:val="20"/>
                <w:szCs w:val="20"/>
                <w:u w:val="none"/>
                <w:lang w:val="en-US" w:eastAsia="zh-CN"/>
              </w:rPr>
              <w:t>452</w:t>
            </w:r>
          </w:p>
        </w:tc>
        <w:tc>
          <w:tcPr>
            <w:tcW w:w="781"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w:t>
            </w:r>
            <w:r>
              <w:rPr>
                <w:rFonts w:hint="default" w:ascii="Times New Roman" w:hAnsi="Times New Roman" w:eastAsia="宋体" w:cs="Times New Roman"/>
                <w:b w:val="0"/>
                <w:i w:val="0"/>
                <w:strike w:val="0"/>
                <w:color w:val="000000"/>
                <w:sz w:val="20"/>
                <w:szCs w:val="20"/>
                <w:u w:val="none"/>
                <w:lang w:val="en-US" w:eastAsia="zh-CN"/>
              </w:rPr>
              <w:t>62</w:t>
            </w:r>
            <w:r>
              <w:rPr>
                <w:rFonts w:hint="default" w:ascii="Times New Roman" w:hAnsi="Times New Roman" w:eastAsia="Times New Roman" w:cs="Times New Roman"/>
                <w:b w:val="0"/>
                <w:i w:val="0"/>
                <w:strike w:val="0"/>
                <w:color w:val="000000"/>
                <w:sz w:val="20"/>
                <w:szCs w:val="20"/>
                <w:u w:val="none"/>
              </w:rPr>
              <w:t xml:space="preserve"> (1.26-</w:t>
            </w:r>
            <w:r>
              <w:rPr>
                <w:rFonts w:hint="default" w:ascii="Times New Roman" w:hAnsi="Times New Roman" w:eastAsia="宋体" w:cs="Times New Roman"/>
                <w:b w:val="0"/>
                <w:i w:val="0"/>
                <w:strike w:val="0"/>
                <w:color w:val="000000"/>
                <w:sz w:val="20"/>
                <w:szCs w:val="20"/>
                <w:u w:val="none"/>
                <w:lang w:val="en-US" w:eastAsia="zh-CN"/>
              </w:rPr>
              <w:t>2</w:t>
            </w:r>
            <w:r>
              <w:rPr>
                <w:rFonts w:hint="default" w:ascii="Times New Roman" w:hAnsi="Times New Roman" w:eastAsia="Times New Roman" w:cs="Times New Roman"/>
                <w:b w:val="0"/>
                <w:i w:val="0"/>
                <w:strike w:val="0"/>
                <w:color w:val="000000"/>
                <w:sz w:val="20"/>
                <w:szCs w:val="20"/>
                <w:u w:val="none"/>
              </w:rPr>
              <w:t>.</w:t>
            </w:r>
            <w:r>
              <w:rPr>
                <w:rFonts w:hint="default" w:ascii="Times New Roman" w:hAnsi="Times New Roman" w:eastAsia="宋体" w:cs="Times New Roman"/>
                <w:b w:val="0"/>
                <w:i w:val="0"/>
                <w:strike w:val="0"/>
                <w:color w:val="000000"/>
                <w:sz w:val="20"/>
                <w:szCs w:val="20"/>
                <w:u w:val="none"/>
                <w:lang w:val="en-US" w:eastAsia="zh-CN"/>
              </w:rPr>
              <w:t>09</w:t>
            </w:r>
            <w:r>
              <w:rPr>
                <w:rFonts w:hint="default" w:ascii="Times New Roman" w:hAnsi="Times New Roman" w:eastAsia="Times New Roman" w:cs="Times New Roman"/>
                <w:b w:val="0"/>
                <w:i w:val="0"/>
                <w:strike w:val="0"/>
                <w:color w:val="000000"/>
                <w:sz w:val="20"/>
                <w:szCs w:val="20"/>
                <w:u w:val="none"/>
              </w:rPr>
              <w:t>)</w:t>
            </w:r>
          </w:p>
        </w:tc>
        <w:tc>
          <w:tcPr>
            <w:tcW w:w="425"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0.00</w:t>
            </w:r>
            <w:r>
              <w:rPr>
                <w:rFonts w:hint="default" w:ascii="Times New Roman" w:hAnsi="Times New Roman" w:eastAsia="宋体" w:cs="Times New Roman"/>
                <w:b w:val="0"/>
                <w:i w:val="0"/>
                <w:strike w:val="0"/>
                <w:color w:val="000000"/>
                <w:sz w:val="20"/>
                <w:szCs w:val="20"/>
                <w:u w:val="none"/>
                <w:lang w:val="en-US" w:eastAsia="zh-CN"/>
              </w:rPr>
              <w:t>9</w:t>
            </w:r>
          </w:p>
        </w:tc>
        <w:tc>
          <w:tcPr>
            <w:tcW w:w="400"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宋体" w:cs="Times New Roman"/>
                <w:b w:val="0"/>
                <w:i w:val="0"/>
                <w:strike w:val="0"/>
                <w:color w:val="000000"/>
                <w:sz w:val="20"/>
                <w:szCs w:val="20"/>
                <w:u w:val="none"/>
                <w:lang w:val="en-US" w:eastAsia="zh-CN"/>
              </w:rPr>
              <w:t>0.0</w:t>
            </w:r>
            <w:r>
              <w:rPr>
                <w:rFonts w:hint="default" w:ascii="Times New Roman" w:hAnsi="Times New Roman" w:eastAsia="Times New Roman" w:cs="Times New Roman"/>
                <w:b w:val="0"/>
                <w:i w:val="0"/>
                <w:strike w:val="0"/>
                <w:color w:val="000000"/>
                <w:sz w:val="20"/>
                <w:szCs w:val="20"/>
                <w:u w:val="none"/>
              </w:rPr>
              <w:t>%</w:t>
            </w:r>
          </w:p>
        </w:tc>
        <w:tc>
          <w:tcPr>
            <w:tcW w:w="362" w:type="pct"/>
            <w:tcBorders>
              <w:top w:val="nil"/>
              <w:left w:val="nil"/>
              <w:bottom w:val="nil"/>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w:t>
            </w:r>
            <w:r>
              <w:rPr>
                <w:rFonts w:hint="default" w:ascii="Times New Roman" w:hAnsi="Times New Roman" w:eastAsia="宋体" w:cs="Times New Roman"/>
                <w:b w:val="0"/>
                <w:i w:val="0"/>
                <w:strike w:val="0"/>
                <w:color w:val="000000"/>
                <w:sz w:val="20"/>
                <w:szCs w:val="20"/>
                <w:u w:val="none"/>
                <w:lang w:val="en-US" w:eastAsia="zh-CN"/>
              </w:rPr>
              <w:t>697</w:t>
            </w:r>
          </w:p>
        </w:tc>
        <w:tc>
          <w:tcPr>
            <w:tcW w:w="632" w:type="pct"/>
            <w:tcBorders>
              <w:top w:val="nil"/>
              <w:left w:val="nil"/>
              <w:bottom w:val="nil"/>
              <w:right w:val="nil"/>
            </w:tcBorders>
            <w:shd w:val="clear" w:color="auto" w:fill="FFFFFF"/>
            <w:tcMar>
              <w:top w:w="0" w:type="dxa"/>
              <w:left w:w="0" w:type="dxa"/>
              <w:bottom w:w="0" w:type="dxa"/>
              <w:right w:w="0" w:type="dxa"/>
            </w:tcMar>
            <w:vAlign w:val="top"/>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w:t>
            </w:r>
            <w:r>
              <w:rPr>
                <w:rFonts w:hint="default" w:ascii="Times New Roman" w:hAnsi="Times New Roman" w:eastAsia="宋体" w:cs="Times New Roman"/>
                <w:b w:val="0"/>
                <w:i w:val="0"/>
                <w:strike w:val="0"/>
                <w:color w:val="000000"/>
                <w:sz w:val="20"/>
                <w:szCs w:val="20"/>
                <w:u w:val="none"/>
                <w:lang w:val="en-US" w:eastAsia="zh-CN"/>
              </w:rPr>
              <w:t>79</w:t>
            </w:r>
          </w:p>
        </w:tc>
      </w:tr>
      <w:tr>
        <w:tblPrEx>
          <w:tblCellMar>
            <w:top w:w="0" w:type="dxa"/>
            <w:left w:w="108" w:type="dxa"/>
            <w:bottom w:w="0" w:type="dxa"/>
            <w:right w:w="108" w:type="dxa"/>
          </w:tblCellMar>
        </w:tblPrEx>
        <w:trPr>
          <w:trHeight w:val="23" w:hRule="atLeast"/>
        </w:trPr>
        <w:tc>
          <w:tcPr>
            <w:tcW w:w="1887" w:type="dxa"/>
            <w:vMerge w:val="continue"/>
            <w:tcBorders>
              <w:top w:val="single" w:color="000000" w:sz="12" w:space="0"/>
              <w:left w:val="nil"/>
              <w:bottom w:val="single" w:color="000000" w:sz="12" w:space="0"/>
              <w:right w:val="nil"/>
            </w:tcBorders>
            <w:shd w:val="clear" w:color="auto" w:fill="FFFFFF"/>
            <w:tcMar>
              <w:top w:w="0" w:type="dxa"/>
              <w:left w:w="0" w:type="dxa"/>
              <w:bottom w:w="0" w:type="dxa"/>
              <w:right w:w="0" w:type="dxa"/>
            </w:tcMar>
            <w:vAlign w:val="top"/>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val="0"/>
                <w:i w:val="0"/>
                <w:strike w:val="0"/>
                <w:color w:val="000000"/>
                <w:sz w:val="20"/>
                <w:szCs w:val="20"/>
                <w:u w:val="none"/>
              </w:rPr>
            </w:pPr>
          </w:p>
        </w:tc>
        <w:tc>
          <w:tcPr>
            <w:tcW w:w="1979" w:type="dxa"/>
            <w:tcBorders>
              <w:top w:val="nil"/>
              <w:left w:val="nil"/>
              <w:bottom w:val="single" w:color="000000" w:sz="12" w:space="0"/>
              <w:right w:val="nil"/>
            </w:tcBorders>
            <w:shd w:val="clear" w:color="auto" w:fill="FFFFFF"/>
            <w:tcMar>
              <w:top w:w="0" w:type="dxa"/>
              <w:left w:w="0" w:type="dxa"/>
              <w:bottom w:w="0" w:type="dxa"/>
              <w:right w:w="0" w:type="dxa"/>
            </w:tcMar>
            <w:vAlign w:val="center"/>
          </w:tcPr>
          <w:p>
            <w:pPr>
              <w:pBdr>
                <w:top w:val="none" w:color="000000" w:sz="0" w:space="0"/>
                <w:left w:val="none" w:color="000000" w:sz="0" w:space="0"/>
                <w:bottom w:val="none" w:color="000000" w:sz="0" w:space="0"/>
                <w:right w:val="none" w:color="000000" w:sz="0" w:space="0"/>
              </w:pBdr>
              <w:spacing w:before="100" w:after="100" w:line="240" w:lineRule="auto"/>
              <w:ind w:left="100" w:leftChars="0" w:right="100" w:rightChars="0" w:firstLine="0" w:firstLineChars="0"/>
              <w:jc w:val="left"/>
              <w:rPr>
                <w:rFonts w:hint="default" w:ascii="Times New Roman" w:hAnsi="Times New Roman" w:eastAsia="Times New Roman" w:cs="Times New Roman"/>
                <w:b w:val="0"/>
                <w:i w:val="0"/>
                <w:strike w:val="0"/>
                <w:color w:val="000000"/>
                <w:sz w:val="20"/>
                <w:szCs w:val="20"/>
                <w:u w:val="none"/>
                <w:lang w:val="en-US" w:eastAsia="en-US" w:bidi="ar-SA"/>
              </w:rPr>
            </w:pPr>
            <w:r>
              <w:rPr>
                <w:rFonts w:hint="default" w:ascii="Times New Roman" w:hAnsi="Times New Roman" w:eastAsia="Times New Roman" w:cs="Times New Roman"/>
                <w:b w:val="0"/>
                <w:i w:val="0"/>
                <w:strike w:val="0"/>
                <w:color w:val="000000"/>
                <w:sz w:val="20"/>
                <w:szCs w:val="20"/>
                <w:u w:val="none"/>
              </w:rPr>
              <w:t>&gt;4</w:t>
            </w:r>
          </w:p>
        </w:tc>
        <w:tc>
          <w:tcPr>
            <w:tcW w:w="516" w:type="pct"/>
            <w:tcBorders>
              <w:top w:val="nil"/>
              <w:left w:val="nil"/>
              <w:bottom w:val="single" w:color="000000" w:sz="12" w:space="0"/>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宋体" w:cs="Times New Roman"/>
                <w:b w:val="0"/>
                <w:i w:val="0"/>
                <w:strike w:val="0"/>
                <w:color w:val="000000"/>
                <w:sz w:val="20"/>
                <w:szCs w:val="20"/>
                <w:u w:val="none"/>
                <w:lang w:val="en-US" w:eastAsia="zh-CN"/>
              </w:rPr>
            </w:pPr>
            <w:r>
              <w:rPr>
                <w:rFonts w:hint="default" w:ascii="Times New Roman" w:hAnsi="Times New Roman" w:eastAsia="宋体" w:cs="Times New Roman"/>
                <w:b w:val="0"/>
                <w:i w:val="0"/>
                <w:strike w:val="0"/>
                <w:color w:val="000000"/>
                <w:sz w:val="20"/>
                <w:szCs w:val="20"/>
                <w:u w:val="none"/>
                <w:lang w:val="en-US" w:eastAsia="zh-CN"/>
              </w:rPr>
              <w:t>7</w:t>
            </w:r>
          </w:p>
        </w:tc>
        <w:tc>
          <w:tcPr>
            <w:tcW w:w="496" w:type="pct"/>
            <w:tcBorders>
              <w:top w:val="nil"/>
              <w:left w:val="nil"/>
              <w:bottom w:val="single" w:color="000000" w:sz="12" w:space="0"/>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宋体" w:cs="Times New Roman"/>
                <w:b w:val="0"/>
                <w:i w:val="0"/>
                <w:strike w:val="0"/>
                <w:color w:val="000000"/>
                <w:sz w:val="20"/>
                <w:szCs w:val="20"/>
                <w:u w:val="none"/>
                <w:lang w:val="en-US" w:eastAsia="zh-CN"/>
              </w:rPr>
              <w:t>3</w:t>
            </w:r>
            <w:r>
              <w:rPr>
                <w:rFonts w:hint="default" w:ascii="Times New Roman" w:hAnsi="Times New Roman" w:eastAsia="Times New Roman" w:cs="Times New Roman"/>
                <w:b w:val="0"/>
                <w:i w:val="0"/>
                <w:strike w:val="0"/>
                <w:color w:val="000000"/>
                <w:sz w:val="20"/>
                <w:szCs w:val="20"/>
                <w:u w:val="none"/>
              </w:rPr>
              <w:t>,</w:t>
            </w:r>
            <w:r>
              <w:rPr>
                <w:rFonts w:hint="default" w:ascii="Times New Roman" w:hAnsi="Times New Roman" w:eastAsia="宋体" w:cs="Times New Roman"/>
                <w:b w:val="0"/>
                <w:i w:val="0"/>
                <w:strike w:val="0"/>
                <w:color w:val="000000"/>
                <w:sz w:val="20"/>
                <w:szCs w:val="20"/>
                <w:u w:val="none"/>
                <w:lang w:val="en-US" w:eastAsia="zh-CN"/>
              </w:rPr>
              <w:t>27</w:t>
            </w:r>
            <w:r>
              <w:rPr>
                <w:rFonts w:hint="default" w:ascii="Times New Roman" w:hAnsi="Times New Roman" w:eastAsia="Times New Roman" w:cs="Times New Roman"/>
                <w:b w:val="0"/>
                <w:i w:val="0"/>
                <w:strike w:val="0"/>
                <w:color w:val="000000"/>
                <w:sz w:val="20"/>
                <w:szCs w:val="20"/>
                <w:u w:val="none"/>
              </w:rPr>
              <w:t>1</w:t>
            </w:r>
          </w:p>
        </w:tc>
        <w:tc>
          <w:tcPr>
            <w:tcW w:w="781" w:type="pct"/>
            <w:tcBorders>
              <w:top w:val="nil"/>
              <w:left w:val="nil"/>
              <w:bottom w:val="single" w:color="000000" w:sz="12" w:space="0"/>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w:t>
            </w:r>
            <w:r>
              <w:rPr>
                <w:rFonts w:hint="default" w:ascii="Times New Roman" w:hAnsi="Times New Roman" w:eastAsia="宋体" w:cs="Times New Roman"/>
                <w:b w:val="0"/>
                <w:i w:val="0"/>
                <w:strike w:val="0"/>
                <w:color w:val="000000"/>
                <w:sz w:val="20"/>
                <w:szCs w:val="20"/>
                <w:u w:val="none"/>
                <w:lang w:val="en-US" w:eastAsia="zh-CN"/>
              </w:rPr>
              <w:t>63</w:t>
            </w:r>
            <w:r>
              <w:rPr>
                <w:rFonts w:hint="default" w:ascii="Times New Roman" w:hAnsi="Times New Roman" w:eastAsia="Times New Roman" w:cs="Times New Roman"/>
                <w:b w:val="0"/>
                <w:i w:val="0"/>
                <w:strike w:val="0"/>
                <w:color w:val="000000"/>
                <w:sz w:val="20"/>
                <w:szCs w:val="20"/>
                <w:u w:val="none"/>
              </w:rPr>
              <w:t xml:space="preserve"> (1.</w:t>
            </w:r>
            <w:r>
              <w:rPr>
                <w:rFonts w:hint="default" w:ascii="Times New Roman" w:hAnsi="Times New Roman" w:eastAsia="宋体" w:cs="Times New Roman"/>
                <w:b w:val="0"/>
                <w:i w:val="0"/>
                <w:strike w:val="0"/>
                <w:color w:val="000000"/>
                <w:sz w:val="20"/>
                <w:szCs w:val="20"/>
                <w:u w:val="none"/>
                <w:lang w:val="en-US" w:eastAsia="zh-CN"/>
              </w:rPr>
              <w:t>2</w:t>
            </w:r>
            <w:r>
              <w:rPr>
                <w:rFonts w:hint="default" w:ascii="Times New Roman" w:hAnsi="Times New Roman" w:eastAsia="Times New Roman" w:cs="Times New Roman"/>
                <w:b w:val="0"/>
                <w:i w:val="0"/>
                <w:strike w:val="0"/>
                <w:color w:val="000000"/>
                <w:sz w:val="20"/>
                <w:szCs w:val="20"/>
                <w:u w:val="none"/>
              </w:rPr>
              <w:t>6-2.1</w:t>
            </w:r>
            <w:r>
              <w:rPr>
                <w:rFonts w:hint="default" w:ascii="Times New Roman" w:hAnsi="Times New Roman" w:eastAsia="宋体" w:cs="Times New Roman"/>
                <w:b w:val="0"/>
                <w:i w:val="0"/>
                <w:strike w:val="0"/>
                <w:color w:val="000000"/>
                <w:sz w:val="20"/>
                <w:szCs w:val="20"/>
                <w:u w:val="none"/>
                <w:lang w:val="en-US" w:eastAsia="zh-CN"/>
              </w:rPr>
              <w:t>0</w:t>
            </w:r>
            <w:r>
              <w:rPr>
                <w:rFonts w:hint="default" w:ascii="Times New Roman" w:hAnsi="Times New Roman" w:eastAsia="Times New Roman" w:cs="Times New Roman"/>
                <w:b w:val="0"/>
                <w:i w:val="0"/>
                <w:strike w:val="0"/>
                <w:color w:val="000000"/>
                <w:sz w:val="20"/>
                <w:szCs w:val="20"/>
                <w:u w:val="none"/>
              </w:rPr>
              <w:t>)</w:t>
            </w:r>
          </w:p>
        </w:tc>
        <w:tc>
          <w:tcPr>
            <w:tcW w:w="425" w:type="pct"/>
            <w:tcBorders>
              <w:top w:val="nil"/>
              <w:left w:val="nil"/>
              <w:bottom w:val="single" w:color="000000" w:sz="12" w:space="0"/>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w:t>
            </w:r>
            <w:r>
              <w:rPr>
                <w:rFonts w:hint="default" w:ascii="Times New Roman" w:hAnsi="Times New Roman" w:eastAsia="宋体" w:cs="Times New Roman"/>
                <w:b w:val="0"/>
                <w:i w:val="0"/>
                <w:strike w:val="0"/>
                <w:color w:val="000000"/>
                <w:sz w:val="20"/>
                <w:szCs w:val="20"/>
                <w:u w:val="none"/>
                <w:lang w:val="en-US" w:eastAsia="zh-CN"/>
              </w:rPr>
              <w:t>03</w:t>
            </w:r>
          </w:p>
        </w:tc>
        <w:tc>
          <w:tcPr>
            <w:tcW w:w="400" w:type="pct"/>
            <w:tcBorders>
              <w:top w:val="nil"/>
              <w:left w:val="nil"/>
              <w:bottom w:val="single" w:color="000000" w:sz="12" w:space="0"/>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宋体" w:cs="Times New Roman"/>
                <w:b w:val="0"/>
                <w:i w:val="0"/>
                <w:strike w:val="0"/>
                <w:color w:val="000000"/>
                <w:sz w:val="20"/>
                <w:szCs w:val="20"/>
                <w:u w:val="none"/>
                <w:lang w:val="en-US" w:eastAsia="zh-CN"/>
              </w:rPr>
              <w:t>45</w:t>
            </w:r>
            <w:r>
              <w:rPr>
                <w:rFonts w:hint="default" w:ascii="Times New Roman" w:hAnsi="Times New Roman" w:eastAsia="Times New Roman" w:cs="Times New Roman"/>
                <w:b w:val="0"/>
                <w:i w:val="0"/>
                <w:strike w:val="0"/>
                <w:color w:val="000000"/>
                <w:sz w:val="20"/>
                <w:szCs w:val="20"/>
                <w:u w:val="none"/>
              </w:rPr>
              <w:t>.</w:t>
            </w:r>
            <w:r>
              <w:rPr>
                <w:rFonts w:hint="default" w:ascii="Times New Roman" w:hAnsi="Times New Roman" w:eastAsia="宋体" w:cs="Times New Roman"/>
                <w:b w:val="0"/>
                <w:i w:val="0"/>
                <w:strike w:val="0"/>
                <w:color w:val="000000"/>
                <w:sz w:val="20"/>
                <w:szCs w:val="20"/>
                <w:u w:val="none"/>
                <w:lang w:val="en-US" w:eastAsia="zh-CN"/>
              </w:rPr>
              <w:t>8</w:t>
            </w:r>
            <w:r>
              <w:rPr>
                <w:rFonts w:hint="default" w:ascii="Times New Roman" w:hAnsi="Times New Roman" w:eastAsia="Times New Roman" w:cs="Times New Roman"/>
                <w:b w:val="0"/>
                <w:i w:val="0"/>
                <w:strike w:val="0"/>
                <w:color w:val="000000"/>
                <w:sz w:val="20"/>
                <w:szCs w:val="20"/>
                <w:u w:val="none"/>
              </w:rPr>
              <w:t>%</w:t>
            </w:r>
          </w:p>
        </w:tc>
        <w:tc>
          <w:tcPr>
            <w:tcW w:w="362" w:type="pct"/>
            <w:tcBorders>
              <w:top w:val="nil"/>
              <w:left w:val="nil"/>
              <w:bottom w:val="single" w:color="000000" w:sz="12" w:space="0"/>
              <w:right w:val="nil"/>
            </w:tcBorders>
            <w:shd w:val="clear" w:color="auto" w:fill="FFFFFF"/>
            <w:tcMar>
              <w:top w:w="0" w:type="dxa"/>
              <w:left w:w="0" w:type="dxa"/>
              <w:bottom w:w="0" w:type="dxa"/>
              <w:right w:w="0" w:type="dxa"/>
            </w:tcMar>
            <w:vAlign w:val="center"/>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w:t>
            </w:r>
            <w:r>
              <w:rPr>
                <w:rFonts w:hint="default" w:ascii="Times New Roman" w:hAnsi="Times New Roman" w:eastAsia="宋体" w:cs="Times New Roman"/>
                <w:b w:val="0"/>
                <w:i w:val="0"/>
                <w:strike w:val="0"/>
                <w:color w:val="000000"/>
                <w:sz w:val="20"/>
                <w:szCs w:val="20"/>
                <w:u w:val="none"/>
                <w:lang w:val="en-US" w:eastAsia="zh-CN"/>
              </w:rPr>
              <w:t>086</w:t>
            </w:r>
          </w:p>
        </w:tc>
        <w:tc>
          <w:tcPr>
            <w:tcW w:w="632" w:type="pct"/>
            <w:tcBorders>
              <w:top w:val="nil"/>
              <w:left w:val="nil"/>
              <w:bottom w:val="single" w:color="000000" w:sz="12" w:space="0"/>
              <w:right w:val="nil"/>
            </w:tcBorders>
            <w:shd w:val="clear" w:color="auto" w:fill="FFFFFF"/>
            <w:tcMar>
              <w:top w:w="0" w:type="dxa"/>
              <w:left w:w="0" w:type="dxa"/>
              <w:bottom w:w="0" w:type="dxa"/>
              <w:right w:w="0" w:type="dxa"/>
            </w:tcMar>
            <w:vAlign w:val="top"/>
          </w:tcPr>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after="100" w:line="240" w:lineRule="auto"/>
              <w:ind w:left="102" w:right="102" w:firstLine="0" w:firstLineChars="0"/>
              <w:jc w:val="center"/>
              <w:textAlignment w:val="auto"/>
              <w:rPr>
                <w:rFonts w:hint="default" w:ascii="Times New Roman" w:hAnsi="Times New Roman" w:eastAsia="Times New Roman" w:cs="Times New Roman"/>
                <w:b w:val="0"/>
                <w:i w:val="0"/>
                <w:strike w:val="0"/>
                <w:color w:val="000000"/>
                <w:sz w:val="20"/>
                <w:szCs w:val="20"/>
                <w:u w:val="none"/>
              </w:rPr>
            </w:pPr>
          </w:p>
        </w:tc>
      </w:tr>
    </w:tbl>
    <w:p>
      <w:pPr>
        <w:keepNext w:val="0"/>
        <w:keepLines w:val="0"/>
        <w:pageBreakBefore w:val="0"/>
        <w:kinsoku/>
        <w:wordWrap/>
        <w:overflowPunct/>
        <w:topLinePunct w:val="0"/>
        <w:autoSpaceDE/>
        <w:autoSpaceDN/>
        <w:bidi w:val="0"/>
        <w:adjustRightInd/>
        <w:snapToGrid/>
        <w:spacing w:after="0" w:afterAutospacing="0" w:line="240" w:lineRule="auto"/>
        <w:ind w:firstLine="0" w:firstLineChars="0"/>
        <w:jc w:val="left"/>
        <w:rPr>
          <w:rFonts w:hint="default" w:ascii="Times New Roman" w:hAnsi="Times New Roman" w:eastAsia="等线" w:cs="Times New Roman"/>
          <w:b w:val="0"/>
          <w:bCs w:val="0"/>
          <w:color w:val="auto"/>
          <w:sz w:val="22"/>
          <w:szCs w:val="22"/>
          <w:highlight w:val="none"/>
          <w:lang w:bidi="ar"/>
        </w:rPr>
      </w:pPr>
      <w:r>
        <w:rPr>
          <w:rFonts w:hint="default" w:ascii="Times New Roman" w:hAnsi="Times New Roman" w:eastAsia="等线" w:cs="Times New Roman"/>
          <w:b/>
          <w:bCs/>
          <w:color w:val="auto"/>
          <w:sz w:val="22"/>
          <w:szCs w:val="22"/>
          <w:highlight w:val="none"/>
          <w:lang w:bidi="ar"/>
        </w:rPr>
        <w:t xml:space="preserve">Note: a. </w:t>
      </w:r>
      <w:r>
        <w:rPr>
          <w:rFonts w:hint="default" w:ascii="Times New Roman" w:hAnsi="Times New Roman" w:eastAsia="等线" w:cs="Times New Roman"/>
          <w:b w:val="0"/>
          <w:bCs w:val="0"/>
          <w:color w:val="auto"/>
          <w:sz w:val="22"/>
          <w:szCs w:val="22"/>
          <w:highlight w:val="none"/>
          <w:lang w:bidi="ar"/>
        </w:rPr>
        <w:t xml:space="preserve">HR, Hazard Ratio; CI, Confidence Interval; OS, Overall Survival. </w:t>
      </w:r>
    </w:p>
    <w:p>
      <w:pPr>
        <w:keepNext w:val="0"/>
        <w:keepLines w:val="0"/>
        <w:pageBreakBefore w:val="0"/>
        <w:kinsoku/>
        <w:wordWrap/>
        <w:overflowPunct/>
        <w:topLinePunct w:val="0"/>
        <w:autoSpaceDE/>
        <w:autoSpaceDN/>
        <w:bidi w:val="0"/>
        <w:adjustRightInd/>
        <w:snapToGrid/>
        <w:spacing w:after="0" w:afterAutospacing="0" w:line="240" w:lineRule="auto"/>
        <w:ind w:firstLine="0" w:firstLineChars="0"/>
        <w:jc w:val="left"/>
        <w:rPr>
          <w:rFonts w:hint="default" w:ascii="Times New Roman" w:hAnsi="Times New Roman" w:eastAsia="等线" w:cs="Times New Roman"/>
          <w:b w:val="0"/>
          <w:bCs w:val="0"/>
          <w:color w:val="auto"/>
          <w:sz w:val="22"/>
          <w:szCs w:val="22"/>
          <w:highlight w:val="none"/>
          <w:lang w:bidi="ar"/>
        </w:rPr>
      </w:pPr>
      <w:r>
        <w:rPr>
          <w:rFonts w:hint="default" w:ascii="Times New Roman" w:hAnsi="Times New Roman" w:cs="Times New Roman"/>
          <w:b w:val="0"/>
          <w:bCs w:val="0"/>
          <w:color w:val="auto"/>
          <w:sz w:val="22"/>
          <w:szCs w:val="22"/>
          <w:highlight w:val="none"/>
          <w:lang w:val="en-US" w:eastAsia="zh-CN" w:bidi="ar"/>
        </w:rPr>
        <w:tab/>
      </w:r>
      <w:r>
        <w:rPr>
          <w:rFonts w:hint="default" w:ascii="Times New Roman" w:hAnsi="Times New Roman" w:eastAsia="等线" w:cs="Times New Roman"/>
          <w:b/>
          <w:bCs/>
          <w:color w:val="auto"/>
          <w:sz w:val="22"/>
          <w:szCs w:val="22"/>
          <w:highlight w:val="none"/>
          <w:lang w:bidi="ar"/>
        </w:rPr>
        <w:t>b.</w:t>
      </w:r>
      <w:r>
        <w:rPr>
          <w:rFonts w:hint="default" w:ascii="Times New Roman" w:hAnsi="Times New Roman" w:eastAsia="等线" w:cs="Times New Roman"/>
          <w:b w:val="0"/>
          <w:bCs w:val="0"/>
          <w:color w:val="auto"/>
          <w:sz w:val="22"/>
          <w:szCs w:val="22"/>
          <w:highlight w:val="none"/>
          <w:lang w:bidi="ar"/>
        </w:rPr>
        <w:t xml:space="preserve"> The "Western" subgroup comprises studies conducted in Western Europe and the USA. </w:t>
      </w:r>
    </w:p>
    <w:p>
      <w:pPr>
        <w:keepNext w:val="0"/>
        <w:keepLines w:val="0"/>
        <w:pageBreakBefore w:val="0"/>
        <w:kinsoku/>
        <w:wordWrap/>
        <w:overflowPunct/>
        <w:topLinePunct w:val="0"/>
        <w:autoSpaceDE/>
        <w:autoSpaceDN/>
        <w:bidi w:val="0"/>
        <w:adjustRightInd/>
        <w:snapToGrid/>
        <w:spacing w:after="0" w:afterAutospacing="0" w:line="240" w:lineRule="auto"/>
        <w:ind w:firstLine="0" w:firstLineChars="0"/>
        <w:jc w:val="left"/>
        <w:rPr>
          <w:rFonts w:hint="default" w:ascii="Times New Roman" w:hAnsi="Times New Roman" w:eastAsia="等线" w:cs="Times New Roman"/>
          <w:b w:val="0"/>
          <w:bCs w:val="0"/>
          <w:color w:val="auto"/>
          <w:sz w:val="22"/>
          <w:szCs w:val="22"/>
          <w:highlight w:val="none"/>
          <w:lang w:bidi="ar"/>
        </w:rPr>
      </w:pPr>
      <w:r>
        <w:rPr>
          <w:rFonts w:hint="default" w:ascii="Times New Roman" w:hAnsi="Times New Roman" w:cs="Times New Roman"/>
          <w:b w:val="0"/>
          <w:bCs w:val="0"/>
          <w:color w:val="auto"/>
          <w:sz w:val="22"/>
          <w:szCs w:val="22"/>
          <w:highlight w:val="none"/>
          <w:lang w:val="en-US" w:eastAsia="zh-CN" w:bidi="ar"/>
        </w:rPr>
        <w:tab/>
      </w:r>
      <w:r>
        <w:rPr>
          <w:rFonts w:hint="default" w:ascii="Times New Roman" w:hAnsi="Times New Roman" w:eastAsia="等线" w:cs="Times New Roman"/>
          <w:b/>
          <w:bCs/>
          <w:color w:val="auto"/>
          <w:sz w:val="22"/>
          <w:szCs w:val="22"/>
          <w:highlight w:val="none"/>
          <w:lang w:bidi="ar"/>
        </w:rPr>
        <w:t>c.</w:t>
      </w:r>
      <w:r>
        <w:rPr>
          <w:rFonts w:hint="default" w:ascii="Times New Roman" w:hAnsi="Times New Roman" w:eastAsia="等线" w:cs="Times New Roman"/>
          <w:b w:val="0"/>
          <w:bCs w:val="0"/>
          <w:color w:val="auto"/>
          <w:sz w:val="22"/>
          <w:szCs w:val="22"/>
          <w:highlight w:val="none"/>
          <w:lang w:bidi="ar"/>
        </w:rPr>
        <w:t xml:space="preserve"> </w:t>
      </w:r>
      <w:r>
        <w:rPr>
          <w:rFonts w:hint="default" w:ascii="Times New Roman" w:hAnsi="Times New Roman" w:eastAsia="等线" w:cs="Times New Roman"/>
          <w:b w:val="0"/>
          <w:bCs w:val="0"/>
          <w:i/>
          <w:iCs/>
          <w:color w:val="auto"/>
          <w:sz w:val="22"/>
          <w:szCs w:val="22"/>
          <w:highlight w:val="none"/>
          <w:lang w:bidi="ar"/>
        </w:rPr>
        <w:t>p</w:t>
      </w:r>
      <w:r>
        <w:rPr>
          <w:rFonts w:hint="default" w:ascii="Times New Roman" w:hAnsi="Times New Roman" w:eastAsia="等线" w:cs="Times New Roman"/>
          <w:b w:val="0"/>
          <w:bCs w:val="0"/>
          <w:color w:val="auto"/>
          <w:sz w:val="22"/>
          <w:szCs w:val="22"/>
          <w:highlight w:val="none"/>
          <w:lang w:bidi="ar"/>
        </w:rPr>
        <w:t xml:space="preserve">-value indicates the statistical significance of the hazard ratio within each subgroup. </w:t>
      </w:r>
      <w:r>
        <w:rPr>
          <w:rFonts w:hint="default" w:ascii="Times New Roman" w:hAnsi="Times New Roman" w:eastAsia="等线" w:cs="Times New Roman"/>
          <w:b w:val="0"/>
          <w:bCs w:val="0"/>
          <w:i/>
          <w:iCs/>
          <w:color w:val="auto"/>
          <w:sz w:val="22"/>
          <w:szCs w:val="22"/>
          <w:highlight w:val="none"/>
          <w:lang w:bidi="ar"/>
        </w:rPr>
        <w:t>p</w:t>
      </w:r>
      <w:r>
        <w:rPr>
          <w:rFonts w:hint="default" w:ascii="Times New Roman" w:hAnsi="Times New Roman" w:eastAsia="等线" w:cs="Times New Roman"/>
          <w:b w:val="0"/>
          <w:bCs w:val="0"/>
          <w:color w:val="auto"/>
          <w:sz w:val="22"/>
          <w:szCs w:val="22"/>
          <w:highlight w:val="none"/>
          <w:vertAlign w:val="subscript"/>
          <w:lang w:bidi="ar"/>
        </w:rPr>
        <w:t>interaction</w:t>
      </w:r>
      <w:r>
        <w:rPr>
          <w:rFonts w:hint="default" w:ascii="Times New Roman" w:hAnsi="Times New Roman" w:eastAsia="等线" w:cs="Times New Roman"/>
          <w:b w:val="0"/>
          <w:bCs w:val="0"/>
          <w:color w:val="auto"/>
          <w:sz w:val="22"/>
          <w:szCs w:val="22"/>
          <w:highlight w:val="none"/>
          <w:lang w:bidi="ar"/>
        </w:rPr>
        <w:t xml:space="preserve"> represents the p-value for the test of subgroup differences. </w:t>
      </w:r>
    </w:p>
    <w:p>
      <w:pPr>
        <w:keepNext w:val="0"/>
        <w:keepLines w:val="0"/>
        <w:pageBreakBefore w:val="0"/>
        <w:kinsoku/>
        <w:wordWrap/>
        <w:overflowPunct/>
        <w:topLinePunct w:val="0"/>
        <w:autoSpaceDE/>
        <w:autoSpaceDN/>
        <w:bidi w:val="0"/>
        <w:adjustRightInd/>
        <w:snapToGrid/>
        <w:spacing w:after="0" w:afterAutospacing="0" w:line="240" w:lineRule="auto"/>
        <w:ind w:firstLine="0" w:firstLineChars="0"/>
        <w:jc w:val="left"/>
        <w:rPr>
          <w:rFonts w:hint="default" w:ascii="Times New Roman" w:hAnsi="Times New Roman" w:eastAsia="等线" w:cs="Times New Roman"/>
          <w:b w:val="0"/>
          <w:bCs w:val="0"/>
          <w:color w:val="auto"/>
          <w:sz w:val="22"/>
          <w:szCs w:val="22"/>
          <w:highlight w:val="none"/>
          <w:lang w:bidi="ar"/>
        </w:rPr>
      </w:pPr>
      <w:r>
        <w:rPr>
          <w:rFonts w:hint="default" w:ascii="Times New Roman" w:hAnsi="Times New Roman" w:cs="Times New Roman"/>
          <w:b w:val="0"/>
          <w:bCs w:val="0"/>
          <w:color w:val="auto"/>
          <w:sz w:val="22"/>
          <w:szCs w:val="22"/>
          <w:highlight w:val="none"/>
          <w:lang w:val="en-US" w:eastAsia="zh-CN" w:bidi="ar"/>
        </w:rPr>
        <w:tab/>
      </w:r>
      <w:r>
        <w:rPr>
          <w:rFonts w:hint="default" w:ascii="Times New Roman" w:hAnsi="Times New Roman" w:eastAsia="等线" w:cs="Times New Roman"/>
          <w:b/>
          <w:bCs/>
          <w:color w:val="auto"/>
          <w:sz w:val="22"/>
          <w:szCs w:val="22"/>
          <w:highlight w:val="none"/>
          <w:lang w:bidi="ar"/>
        </w:rPr>
        <w:t>d.</w:t>
      </w:r>
      <w:r>
        <w:rPr>
          <w:rFonts w:hint="default" w:ascii="Times New Roman" w:hAnsi="Times New Roman" w:eastAsia="等线" w:cs="Times New Roman"/>
          <w:b w:val="0"/>
          <w:bCs w:val="0"/>
          <w:color w:val="auto"/>
          <w:sz w:val="22"/>
          <w:szCs w:val="22"/>
          <w:highlight w:val="none"/>
          <w:lang w:bidi="ar"/>
        </w:rPr>
        <w:t xml:space="preserve"> Heterogeneity within each subgroup is assessed by I</w:t>
      </w:r>
      <w:r>
        <w:rPr>
          <w:rFonts w:hint="default" w:ascii="Times New Roman" w:hAnsi="Times New Roman" w:eastAsia="等线" w:cs="Times New Roman"/>
          <w:b w:val="0"/>
          <w:bCs w:val="0"/>
          <w:color w:val="auto"/>
          <w:sz w:val="22"/>
          <w:szCs w:val="22"/>
          <w:highlight w:val="none"/>
          <w:vertAlign w:val="superscript"/>
          <w:lang w:bidi="ar"/>
        </w:rPr>
        <w:t>2</w:t>
      </w:r>
      <w:r>
        <w:rPr>
          <w:rFonts w:hint="default" w:ascii="Times New Roman" w:hAnsi="Times New Roman" w:eastAsia="等线" w:cs="Times New Roman"/>
          <w:b w:val="0"/>
          <w:bCs w:val="0"/>
          <w:color w:val="auto"/>
          <w:sz w:val="22"/>
          <w:szCs w:val="22"/>
          <w:highlight w:val="none"/>
          <w:lang w:bidi="ar"/>
        </w:rPr>
        <w:t xml:space="preserve"> and </w:t>
      </w:r>
      <w:r>
        <w:rPr>
          <w:rFonts w:hint="default" w:ascii="Times New Roman" w:hAnsi="Times New Roman" w:eastAsia="等线" w:cs="Times New Roman"/>
          <w:b w:val="0"/>
          <w:bCs w:val="0"/>
          <w:i/>
          <w:iCs/>
          <w:color w:val="auto"/>
          <w:sz w:val="22"/>
          <w:szCs w:val="22"/>
          <w:highlight w:val="none"/>
          <w:lang w:bidi="ar"/>
        </w:rPr>
        <w:t>p</w:t>
      </w:r>
      <w:r>
        <w:rPr>
          <w:rFonts w:hint="default" w:ascii="Times New Roman" w:hAnsi="Times New Roman" w:eastAsia="等线" w:cs="Times New Roman"/>
          <w:b w:val="0"/>
          <w:bCs w:val="0"/>
          <w:color w:val="auto"/>
          <w:sz w:val="22"/>
          <w:szCs w:val="22"/>
          <w:highlight w:val="none"/>
          <w:vertAlign w:val="subscript"/>
          <w:lang w:bidi="ar"/>
        </w:rPr>
        <w:t>het</w:t>
      </w:r>
      <w:r>
        <w:rPr>
          <w:rFonts w:hint="default" w:ascii="Times New Roman" w:hAnsi="Times New Roman" w:eastAsia="等线" w:cs="Times New Roman"/>
          <w:b w:val="0"/>
          <w:bCs w:val="0"/>
          <w:color w:val="auto"/>
          <w:sz w:val="22"/>
          <w:szCs w:val="22"/>
          <w:highlight w:val="none"/>
          <w:lang w:bidi="ar"/>
        </w:rPr>
        <w:t xml:space="preserve"> (the </w:t>
      </w:r>
      <w:r>
        <w:rPr>
          <w:rFonts w:hint="default" w:ascii="Times New Roman" w:hAnsi="Times New Roman" w:eastAsia="等线" w:cs="Times New Roman"/>
          <w:b w:val="0"/>
          <w:bCs w:val="0"/>
          <w:i/>
          <w:iCs/>
          <w:color w:val="auto"/>
          <w:sz w:val="22"/>
          <w:szCs w:val="22"/>
          <w:highlight w:val="none"/>
          <w:lang w:bidi="ar"/>
        </w:rPr>
        <w:t>p</w:t>
      </w:r>
      <w:r>
        <w:rPr>
          <w:rFonts w:hint="default" w:ascii="Times New Roman" w:hAnsi="Times New Roman" w:eastAsia="等线" w:cs="Times New Roman"/>
          <w:b w:val="0"/>
          <w:bCs w:val="0"/>
          <w:color w:val="auto"/>
          <w:sz w:val="22"/>
          <w:szCs w:val="22"/>
          <w:highlight w:val="none"/>
          <w:lang w:bidi="ar"/>
        </w:rPr>
        <w:t xml:space="preserve">-value derived from Cochran’s Q test). </w:t>
      </w:r>
    </w:p>
    <w:p>
      <w:pPr>
        <w:pStyle w:val="7"/>
        <w:keepNext w:val="0"/>
        <w:keepLines w:val="0"/>
        <w:pageBreakBefore w:val="0"/>
        <w:kinsoku/>
        <w:wordWrap/>
        <w:overflowPunct/>
        <w:topLinePunct w:val="0"/>
        <w:autoSpaceDE/>
        <w:autoSpaceDN/>
        <w:bidi w:val="0"/>
        <w:adjustRightInd/>
        <w:snapToGrid/>
        <w:spacing w:after="313" w:afterLines="100" w:afterAutospacing="0" w:line="480" w:lineRule="auto"/>
        <w:jc w:val="left"/>
        <w:rPr>
          <w:rFonts w:hint="default" w:ascii="Times New Roman" w:hAnsi="Times New Roman" w:eastAsia="宋体" w:cs="Times New Roman"/>
          <w:b w:val="0"/>
          <w:bCs w:val="0"/>
          <w:color w:val="auto"/>
          <w:sz w:val="24"/>
          <w:szCs w:val="24"/>
          <w:highlight w:val="none"/>
          <w:lang w:val="en-US" w:eastAsia="zh-CN"/>
        </w:rPr>
        <w:sectPr>
          <w:pgSz w:w="16838" w:h="11906" w:orient="landscape"/>
          <w:pgMar w:top="1800" w:right="1440" w:bottom="1800" w:left="1440" w:header="851" w:footer="992" w:gutter="0"/>
          <w:lnNumType w:countBy="1" w:restart="continuous"/>
          <w:cols w:space="720" w:num="1"/>
          <w:docGrid w:type="lines" w:linePitch="312" w:charSpace="0"/>
        </w:sectPr>
      </w:pPr>
      <w:r>
        <w:rPr>
          <w:rFonts w:hint="default" w:ascii="Times New Roman" w:hAnsi="Times New Roman" w:cs="Times New Roman"/>
          <w:b w:val="0"/>
          <w:bCs w:val="0"/>
          <w:color w:val="auto"/>
          <w:sz w:val="22"/>
          <w:szCs w:val="22"/>
          <w:highlight w:val="none"/>
          <w:lang w:val="en-US" w:eastAsia="zh-CN" w:bidi="ar"/>
        </w:rPr>
        <w:tab/>
      </w:r>
      <w:r>
        <w:rPr>
          <w:rFonts w:hint="default" w:ascii="Times New Roman" w:hAnsi="Times New Roman" w:eastAsia="等线" w:cs="Times New Roman"/>
          <w:b/>
          <w:bCs/>
          <w:color w:val="auto"/>
          <w:sz w:val="22"/>
          <w:szCs w:val="22"/>
          <w:highlight w:val="none"/>
          <w:lang w:bidi="ar"/>
        </w:rPr>
        <w:t>e.</w:t>
      </w:r>
      <w:r>
        <w:rPr>
          <w:rFonts w:hint="default" w:ascii="Times New Roman" w:hAnsi="Times New Roman" w:eastAsia="等线" w:cs="Times New Roman"/>
          <w:b w:val="0"/>
          <w:bCs w:val="0"/>
          <w:color w:val="auto"/>
          <w:sz w:val="22"/>
          <w:szCs w:val="22"/>
          <w:highlight w:val="none"/>
          <w:lang w:bidi="ar"/>
        </w:rPr>
        <w:t xml:space="preserve"> All pooled estimates were calculated using a random-effects model with Hartung</w:t>
      </w:r>
      <w:r>
        <w:rPr>
          <w:rFonts w:hint="default" w:ascii="Times New Roman" w:hAnsi="Times New Roman" w:eastAsia="等线" w:cs="Times New Roman"/>
          <w:color w:val="auto"/>
          <w:kern w:val="0"/>
          <w:sz w:val="22"/>
          <w:szCs w:val="22"/>
          <w:highlight w:val="none"/>
          <w:lang w:bidi="ar"/>
        </w:rPr>
        <w:t>–</w:t>
      </w:r>
      <w:r>
        <w:rPr>
          <w:rFonts w:hint="default" w:ascii="Times New Roman" w:hAnsi="Times New Roman" w:eastAsia="等线" w:cs="Times New Roman"/>
          <w:b w:val="0"/>
          <w:bCs w:val="0"/>
          <w:color w:val="auto"/>
          <w:sz w:val="22"/>
          <w:szCs w:val="22"/>
          <w:highlight w:val="none"/>
          <w:lang w:bidi="ar"/>
        </w:rPr>
        <w:t>Knapp adjustmen</w:t>
      </w:r>
      <w:r>
        <w:rPr>
          <w:rFonts w:hint="default" w:ascii="Times New Roman" w:hAnsi="Times New Roman" w:cs="Times New Roman"/>
          <w:b w:val="0"/>
          <w:bCs w:val="0"/>
          <w:color w:val="auto"/>
          <w:sz w:val="22"/>
          <w:szCs w:val="22"/>
          <w:highlight w:val="none"/>
          <w:lang w:val="en-US" w:eastAsia="zh-CN" w:bidi="ar"/>
        </w:rPr>
        <w:t>t</w:t>
      </w:r>
      <w:r>
        <w:rPr>
          <w:rFonts w:hint="eastAsia" w:cs="Times New Roman"/>
          <w:b w:val="0"/>
          <w:bCs w:val="0"/>
          <w:color w:val="auto"/>
          <w:sz w:val="22"/>
          <w:szCs w:val="22"/>
          <w:highlight w:val="none"/>
          <w:lang w:val="en-US" w:eastAsia="zh-CN" w:bidi="ar"/>
        </w:rPr>
        <w:t>.</w:t>
      </w:r>
    </w:p>
    <w:p>
      <w:pPr>
        <w:pStyle w:val="2"/>
        <w:keepNext w:val="0"/>
        <w:keepLines w:val="0"/>
        <w:widowControl/>
        <w:suppressLineNumbers w:val="0"/>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Table S5. GRADE Summary and rationale for certainty assessment</w:t>
      </w:r>
    </w:p>
    <w:p>
      <w:pPr>
        <w:pStyle w:val="2"/>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b/>
          <w:bCs/>
          <w:sz w:val="24"/>
          <w:szCs w:val="24"/>
        </w:rPr>
        <w:t xml:space="preserve">1. GRADE </w:t>
      </w:r>
      <w:r>
        <w:rPr>
          <w:rFonts w:hint="eastAsia" w:cs="Times New Roman"/>
          <w:b/>
          <w:bCs/>
          <w:sz w:val="24"/>
          <w:szCs w:val="24"/>
          <w:lang w:val="en-US" w:eastAsia="zh-CN"/>
        </w:rPr>
        <w:t>as</w:t>
      </w:r>
      <w:r>
        <w:rPr>
          <w:rFonts w:hint="default" w:ascii="Times New Roman" w:hAnsi="Times New Roman" w:cs="Times New Roman"/>
          <w:b/>
          <w:bCs/>
          <w:sz w:val="24"/>
          <w:szCs w:val="24"/>
        </w:rPr>
        <w:t xml:space="preserve">sessment </w:t>
      </w:r>
      <w:r>
        <w:rPr>
          <w:rFonts w:hint="eastAsia" w:cs="Times New Roman"/>
          <w:b/>
          <w:bCs/>
          <w:sz w:val="24"/>
          <w:szCs w:val="24"/>
          <w:lang w:val="en-US" w:eastAsia="zh-CN"/>
        </w:rPr>
        <w:t>r</w:t>
      </w:r>
      <w:r>
        <w:rPr>
          <w:rFonts w:hint="default" w:ascii="Times New Roman" w:hAnsi="Times New Roman" w:cs="Times New Roman"/>
          <w:b/>
          <w:bCs/>
          <w:sz w:val="24"/>
          <w:szCs w:val="24"/>
        </w:rPr>
        <w:t>ationale</w:t>
      </w:r>
    </w:p>
    <w:p>
      <w:pPr>
        <w:pStyle w:val="2"/>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The certainty of evidence for the association between high Tumor Burden Score (TBS) and poor Overall Survival (OS) in Colorectal Liver Metastases (CRLM) patients was evaluated using the Grading of Recommendations Assessment, Development and Evaluation (GRADE) methodology.</w:t>
      </w:r>
    </w:p>
    <w:p>
      <w:pPr>
        <w:pStyle w:val="2"/>
        <w:keepNext w:val="0"/>
        <w:keepLines w:val="0"/>
        <w:pageBreakBefore w:val="0"/>
        <w:widowControl/>
        <w:suppressLineNumbers w:val="0"/>
        <w:shd w:val="clear" w:color="auto" w:fill="FFFFFF"/>
        <w:kinsoku/>
        <w:wordWrap/>
        <w:overflowPunct/>
        <w:topLinePunct w:val="0"/>
        <w:autoSpaceDE/>
        <w:autoSpaceDN/>
        <w:bidi w:val="0"/>
        <w:adjustRightInd/>
        <w:snapToGrid/>
        <w:spacing w:before="192" w:beforeAutospacing="0" w:after="0" w:afterAutospacing="0" w:line="300" w:lineRule="exact"/>
        <w:ind w:left="0" w:right="0" w:firstLine="0" w:firstLineChars="0"/>
        <w:jc w:val="left"/>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Starting Point:</w:t>
      </w:r>
      <w:r>
        <w:rPr>
          <w:rFonts w:hint="default" w:ascii="Times New Roman" w:hAnsi="Times New Roman" w:eastAsia="宋体" w:cs="Times New Roman"/>
          <w:b w:val="0"/>
          <w:bCs w:val="0"/>
          <w:color w:val="auto"/>
          <w:sz w:val="24"/>
          <w:szCs w:val="24"/>
          <w:highlight w:val="none"/>
          <w:lang w:val="en-US" w:eastAsia="zh-CN"/>
        </w:rPr>
        <w:t xml:space="preserve"> Observational studies (retrospective cohorts) inherently start at Low certainty of evidence.</w:t>
      </w:r>
      <w:r>
        <w:rPr>
          <w:rFonts w:hint="eastAsia"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lang w:val="en-US" w:eastAsia="zh-CN"/>
        </w:rPr>
        <w:t>Final Rating</w:t>
      </w:r>
      <w:r>
        <w:rPr>
          <w:rFonts w:hint="default" w:ascii="Times New Roman" w:hAnsi="Times New Roman" w:eastAsia="宋体" w:cs="Times New Roman"/>
          <w:b w:val="0"/>
          <w:bCs w:val="0"/>
          <w:color w:val="auto"/>
          <w:sz w:val="24"/>
          <w:szCs w:val="24"/>
          <w:highlight w:val="none"/>
          <w:lang w:val="en-US" w:eastAsia="zh-CN"/>
        </w:rPr>
        <w:t>: Moderate certainty of evidence.</w:t>
      </w:r>
      <w:r>
        <w:rPr>
          <w:rFonts w:hint="eastAsia"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lang w:val="en-US" w:eastAsia="zh-CN"/>
        </w:rPr>
        <w:t>Detailed Appraisal</w:t>
      </w:r>
      <w:r>
        <w:rPr>
          <w:rFonts w:hint="default" w:ascii="Times New Roman" w:hAnsi="Times New Roman" w:eastAsia="宋体" w:cs="Times New Roman"/>
          <w:b w:val="0"/>
          <w:bCs w:val="0"/>
          <w:color w:val="auto"/>
          <w:sz w:val="24"/>
          <w:szCs w:val="24"/>
          <w:highlight w:val="none"/>
          <w:lang w:val="en-US" w:eastAsia="zh-CN"/>
        </w:rPr>
        <w:t>: The initial evidence certainty was modified through the following criteria:</w:t>
      </w:r>
    </w:p>
    <w:tbl>
      <w:tblPr>
        <w:tblStyle w:val="3"/>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98"/>
        <w:gridCol w:w="1420"/>
        <w:gridCol w:w="1042"/>
        <w:gridCol w:w="4462"/>
      </w:tblGrid>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0" w:type="auto"/>
            <w:tcBorders>
              <w:bottom w:val="single" w:color="000000" w:sz="8" w:space="0"/>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Factor</w:t>
            </w:r>
          </w:p>
        </w:tc>
        <w:tc>
          <w:tcPr>
            <w:tcW w:w="0" w:type="auto"/>
            <w:tcBorders>
              <w:bottom w:val="single" w:color="000000" w:sz="8" w:space="0"/>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Criterion Met</w:t>
            </w:r>
          </w:p>
        </w:tc>
        <w:tc>
          <w:tcPr>
            <w:tcW w:w="1042" w:type="dxa"/>
            <w:tcBorders>
              <w:bottom w:val="single" w:color="000000" w:sz="8" w:space="0"/>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Direction</w:t>
            </w:r>
          </w:p>
        </w:tc>
        <w:tc>
          <w:tcPr>
            <w:tcW w:w="4462" w:type="dxa"/>
            <w:tcBorders>
              <w:bottom w:val="single" w:color="000000" w:sz="8" w:space="0"/>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Rationale</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tcBorders>
              <w:top w:val="single" w:color="000000" w:sz="8" w:space="0"/>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Risk of Bias</w:t>
            </w:r>
          </w:p>
        </w:tc>
        <w:tc>
          <w:tcPr>
            <w:tcW w:w="0" w:type="auto"/>
            <w:tcBorders>
              <w:top w:val="single" w:color="000000" w:sz="8" w:space="0"/>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 serious limitations</w:t>
            </w:r>
          </w:p>
        </w:tc>
        <w:tc>
          <w:tcPr>
            <w:tcW w:w="1042" w:type="dxa"/>
            <w:tcBorders>
              <w:top w:val="single" w:color="000000" w:sz="8" w:space="0"/>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 Change</w:t>
            </w:r>
          </w:p>
        </w:tc>
        <w:tc>
          <w:tcPr>
            <w:tcW w:w="4462" w:type="dxa"/>
            <w:tcBorders>
              <w:top w:val="single" w:color="000000" w:sz="8" w:space="0"/>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Included studies were of high methodological quality (NOS score ≥ 7). Inherent confounding in retrospective designs is already accounted for by the initial "Low" starting point.</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Inconsistency</w:t>
            </w:r>
          </w:p>
        </w:tc>
        <w:tc>
          <w:tcPr>
            <w:tcW w:w="0" w:type="auto"/>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 serious inconsistency</w:t>
            </w:r>
          </w:p>
        </w:tc>
        <w:tc>
          <w:tcPr>
            <w:tcW w:w="1042" w:type="dxa"/>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 Change</w:t>
            </w:r>
          </w:p>
        </w:tc>
        <w:tc>
          <w:tcPr>
            <w:tcW w:w="4462" w:type="dxa"/>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After rigorous diagnostic procedures and the exclusion of one biologically implausible outlier, the statistical heterogeneity in the refined cohort was fundamentally resolved (I² = 3.5%).</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Indirectness</w:t>
            </w:r>
          </w:p>
        </w:tc>
        <w:tc>
          <w:tcPr>
            <w:tcW w:w="0" w:type="auto"/>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 serious indirectness</w:t>
            </w:r>
          </w:p>
        </w:tc>
        <w:tc>
          <w:tcPr>
            <w:tcW w:w="1042" w:type="dxa"/>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 Change</w:t>
            </w:r>
          </w:p>
        </w:tc>
        <w:tc>
          <w:tcPr>
            <w:tcW w:w="4462" w:type="dxa"/>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All included studies directly addressed the predefined PICO elements (CRLM / preoperative TBS / OS) within real-world clinical settings.</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Imprecision</w:t>
            </w:r>
          </w:p>
        </w:tc>
        <w:tc>
          <w:tcPr>
            <w:tcW w:w="0" w:type="auto"/>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 serious imprecision</w:t>
            </w:r>
          </w:p>
        </w:tc>
        <w:tc>
          <w:tcPr>
            <w:tcW w:w="1042" w:type="dxa"/>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 Change</w:t>
            </w:r>
          </w:p>
        </w:tc>
        <w:tc>
          <w:tcPr>
            <w:tcW w:w="4462" w:type="dxa"/>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The pooled analysis achieved a robust sample size (Refined OS cohort N=4,202) and yielded a sufficiently narrow 95% confidence interval (HR: 1.40–1.96) entirely above the null value.</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PrEx>
        <w:trPr>
          <w:trHeight w:val="23" w:hRule="atLeast"/>
        </w:trPr>
        <w:tc>
          <w:tcPr>
            <w:tcW w:w="0" w:type="auto"/>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Publication Bias</w:t>
            </w:r>
          </w:p>
        </w:tc>
        <w:tc>
          <w:tcPr>
            <w:tcW w:w="0" w:type="auto"/>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Unlikely</w:t>
            </w:r>
          </w:p>
        </w:tc>
        <w:tc>
          <w:tcPr>
            <w:tcW w:w="1042" w:type="dxa"/>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 Change</w:t>
            </w:r>
          </w:p>
        </w:tc>
        <w:tc>
          <w:tcPr>
            <w:tcW w:w="4462" w:type="dxa"/>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Although Egger's test suggested asymmetry, the extremely robust Fail-Safe N (N=440) and the persistence of a highly significant risk penalty after Trim-and-Fill correction (Adjusted HR = 1.41, P &lt; 0.001) confirm that unpublished studies would not alter the qualitative conclusion.</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Magnitude of Effect</w:t>
            </w:r>
          </w:p>
        </w:tc>
        <w:tc>
          <w:tcPr>
            <w:tcW w:w="0" w:type="auto"/>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Moderate (HR &lt; 2.0)</w:t>
            </w:r>
          </w:p>
        </w:tc>
        <w:tc>
          <w:tcPr>
            <w:tcW w:w="1042" w:type="dxa"/>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 Change</w:t>
            </w:r>
          </w:p>
        </w:tc>
        <w:tc>
          <w:tcPr>
            <w:tcW w:w="4462" w:type="dxa"/>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The pooled HR of 1.65 is clinically important but does not meet the strict GRADE threshold (HR &gt; 2.0) required for an automatic magnitude upgrade.</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0" w:type="auto"/>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Dose-Response Gradient</w:t>
            </w:r>
          </w:p>
        </w:tc>
        <w:tc>
          <w:tcPr>
            <w:tcW w:w="0" w:type="auto"/>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Present</w:t>
            </w:r>
          </w:p>
        </w:tc>
        <w:tc>
          <w:tcPr>
            <w:tcW w:w="1042" w:type="dxa"/>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 Upgrade</w:t>
            </w:r>
          </w:p>
        </w:tc>
        <w:tc>
          <w:tcPr>
            <w:tcW w:w="4462" w:type="dxa"/>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Subgroup analyses confirmed a consistent prognostic penalty across different numerical cut-offs (&lt; 4 vs. ≥ 4). Furthermore, primary data from key studies modeled TBS as a continuous scalar, demonstrating a step-wise gradient where mortality risk progressively escalates per unit increase in morphologic burden.</w:t>
            </w:r>
          </w:p>
        </w:tc>
      </w:tr>
    </w:tbl>
    <w:p>
      <w:pPr>
        <w:pStyle w:val="2"/>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b/>
          <w:bCs/>
          <w:sz w:val="24"/>
          <w:szCs w:val="24"/>
        </w:rPr>
        <w:t>Final Calculation:</w:t>
      </w:r>
      <w:r>
        <w:rPr>
          <w:rFonts w:hint="default" w:ascii="Times New Roman" w:hAnsi="Times New Roman" w:cs="Times New Roman"/>
          <w:sz w:val="24"/>
          <w:szCs w:val="24"/>
        </w:rPr>
        <w:t xml:space="preserve"> Starting at </w:t>
      </w:r>
      <w:r>
        <w:rPr>
          <w:rFonts w:hint="default" w:ascii="Times New Roman" w:hAnsi="Times New Roman" w:cs="Times New Roman"/>
          <w:b/>
          <w:bCs/>
          <w:sz w:val="24"/>
          <w:szCs w:val="24"/>
        </w:rPr>
        <w:t>Low</w:t>
      </w:r>
      <w:r>
        <w:rPr>
          <w:rFonts w:hint="default" w:ascii="Times New Roman" w:hAnsi="Times New Roman" w:cs="Times New Roman"/>
          <w:sz w:val="24"/>
          <w:szCs w:val="24"/>
        </w:rPr>
        <w:t xml:space="preserve"> → No downgrades → Upgrade by </w:t>
      </w:r>
      <w:r>
        <w:rPr>
          <w:rFonts w:hint="default" w:ascii="Times New Roman" w:hAnsi="Times New Roman" w:cs="Times New Roman"/>
          <w:b/>
          <w:bCs/>
          <w:sz w:val="24"/>
          <w:szCs w:val="24"/>
        </w:rPr>
        <w:t>+1</w:t>
      </w:r>
      <w:r>
        <w:rPr>
          <w:rFonts w:hint="default" w:ascii="Times New Roman" w:hAnsi="Times New Roman" w:cs="Times New Roman"/>
          <w:sz w:val="24"/>
          <w:szCs w:val="24"/>
        </w:rPr>
        <w:t xml:space="preserve"> (Dose-Response Gradient) → Final Rating: </w:t>
      </w:r>
      <w:r>
        <w:rPr>
          <w:rFonts w:hint="default" w:ascii="Times New Roman" w:hAnsi="Times New Roman" w:cs="Times New Roman"/>
          <w:b/>
          <w:bCs/>
          <w:sz w:val="24"/>
          <w:szCs w:val="24"/>
        </w:rPr>
        <w:t>Moderate Certainty</w:t>
      </w:r>
      <w:r>
        <w:rPr>
          <w:rFonts w:hint="default" w:ascii="Times New Roman" w:hAnsi="Times New Roman" w:cs="Times New Roman"/>
          <w:sz w:val="24"/>
          <w:szCs w:val="24"/>
        </w:rPr>
        <w:t>.</w:t>
      </w:r>
    </w:p>
    <w:p>
      <w:pPr>
        <w:pStyle w:val="2"/>
        <w:keepNext w:val="0"/>
        <w:keepLines w:val="0"/>
        <w:pageBreakBefore w:val="0"/>
        <w:widowControl/>
        <w:suppressLineNumbers w:val="0"/>
        <w:shd w:val="clear" w:color="auto" w:fill="FFFFFF"/>
        <w:kinsoku/>
        <w:wordWrap/>
        <w:overflowPunct/>
        <w:topLinePunct w:val="0"/>
        <w:autoSpaceDE/>
        <w:autoSpaceDN/>
        <w:bidi w:val="0"/>
        <w:adjustRightInd/>
        <w:snapToGrid/>
        <w:spacing w:before="192" w:beforeAutospacing="0" w:after="0" w:afterAutospacing="0" w:line="300" w:lineRule="exact"/>
        <w:ind w:left="0" w:right="0" w:firstLine="0" w:firstLineChars="0"/>
        <w:jc w:val="left"/>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2. Summary of Findings</w:t>
      </w:r>
    </w:p>
    <w:tbl>
      <w:tblPr>
        <w:tblStyle w:val="3"/>
        <w:tblW w:w="4998" w:type="pct"/>
        <w:jc w:val="center"/>
        <w:tblBorders>
          <w:top w:val="none" w:color="auto" w:sz="0" w:space="0"/>
          <w:left w:val="none" w:color="auto" w:sz="0" w:space="0"/>
          <w:bottom w:val="single" w:color="000000" w:sz="8"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5"/>
        <w:gridCol w:w="1281"/>
        <w:gridCol w:w="1961"/>
        <w:gridCol w:w="1121"/>
        <w:gridCol w:w="1167"/>
        <w:gridCol w:w="1874"/>
      </w:tblGrid>
      <w:tr>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654" w:type="pct"/>
            <w:tcBorders>
              <w:top w:val="single" w:color="000000" w:sz="8" w:space="0"/>
              <w:bottom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1F1F1F"/>
                <w:sz w:val="20"/>
                <w:szCs w:val="20"/>
                <w:u w:val="none"/>
              </w:rPr>
            </w:pPr>
            <w:r>
              <w:rPr>
                <w:rFonts w:hint="default" w:ascii="Times New Roman" w:hAnsi="Times New Roman" w:eastAsia="宋体" w:cs="Times New Roman"/>
                <w:b/>
                <w:bCs/>
                <w:i w:val="0"/>
                <w:iCs w:val="0"/>
                <w:color w:val="1F1F1F"/>
                <w:kern w:val="0"/>
                <w:sz w:val="20"/>
                <w:szCs w:val="20"/>
                <w:u w:val="none"/>
                <w:lang w:val="en-US" w:eastAsia="zh-CN" w:bidi="ar"/>
              </w:rPr>
              <w:t>Outcome</w:t>
            </w:r>
          </w:p>
        </w:tc>
        <w:tc>
          <w:tcPr>
            <w:tcW w:w="751" w:type="pct"/>
            <w:tcBorders>
              <w:top w:val="single" w:color="000000" w:sz="8" w:space="0"/>
              <w:bottom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1F1F1F"/>
                <w:sz w:val="20"/>
                <w:szCs w:val="20"/>
                <w:u w:val="none"/>
              </w:rPr>
            </w:pPr>
            <w:r>
              <w:rPr>
                <w:rFonts w:hint="default" w:ascii="Times New Roman" w:hAnsi="Times New Roman" w:eastAsia="宋体" w:cs="Times New Roman"/>
                <w:b/>
                <w:bCs/>
                <w:i w:val="0"/>
                <w:iCs w:val="0"/>
                <w:color w:val="1F1F1F"/>
                <w:kern w:val="0"/>
                <w:sz w:val="20"/>
                <w:szCs w:val="20"/>
                <w:u w:val="none"/>
                <w:lang w:val="en-US" w:eastAsia="zh-CN" w:bidi="ar"/>
              </w:rPr>
              <w:t>No. of Studies / Patients</w:t>
            </w:r>
          </w:p>
        </w:tc>
        <w:tc>
          <w:tcPr>
            <w:tcW w:w="1150" w:type="pct"/>
            <w:tcBorders>
              <w:top w:val="single" w:color="000000" w:sz="8" w:space="0"/>
              <w:bottom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1F1F1F"/>
                <w:sz w:val="20"/>
                <w:szCs w:val="20"/>
                <w:u w:val="none"/>
              </w:rPr>
            </w:pPr>
            <w:r>
              <w:rPr>
                <w:rFonts w:hint="default" w:ascii="Times New Roman" w:hAnsi="Times New Roman" w:eastAsia="宋体" w:cs="Times New Roman"/>
                <w:b/>
                <w:bCs/>
                <w:i w:val="0"/>
                <w:iCs w:val="0"/>
                <w:color w:val="1F1F1F"/>
                <w:kern w:val="0"/>
                <w:sz w:val="20"/>
                <w:szCs w:val="20"/>
                <w:u w:val="none"/>
                <w:lang w:val="en-US" w:eastAsia="zh-CN" w:bidi="ar"/>
              </w:rPr>
              <w:t>Risk of Bias / Inconsistency / Indirectness / Imprecision / Publication Bias</w:t>
            </w:r>
          </w:p>
        </w:tc>
        <w:tc>
          <w:tcPr>
            <w:tcW w:w="657" w:type="pct"/>
            <w:tcBorders>
              <w:top w:val="single" w:color="000000" w:sz="8" w:space="0"/>
              <w:bottom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1F1F1F"/>
                <w:sz w:val="20"/>
                <w:szCs w:val="20"/>
                <w:u w:val="none"/>
              </w:rPr>
            </w:pPr>
            <w:r>
              <w:rPr>
                <w:rFonts w:hint="default" w:ascii="Times New Roman" w:hAnsi="Times New Roman" w:eastAsia="宋体" w:cs="Times New Roman"/>
                <w:b/>
                <w:bCs/>
                <w:i w:val="0"/>
                <w:iCs w:val="0"/>
                <w:color w:val="1F1F1F"/>
                <w:kern w:val="0"/>
                <w:sz w:val="20"/>
                <w:szCs w:val="20"/>
                <w:u w:val="none"/>
                <w:lang w:val="en-US" w:eastAsia="zh-CN" w:bidi="ar"/>
              </w:rPr>
              <w:t>Relative Effect (HR [95% CI])</w:t>
            </w:r>
          </w:p>
        </w:tc>
        <w:tc>
          <w:tcPr>
            <w:tcW w:w="684" w:type="pct"/>
            <w:tcBorders>
              <w:top w:val="single" w:color="000000" w:sz="8" w:space="0"/>
              <w:bottom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1F1F1F"/>
                <w:sz w:val="20"/>
                <w:szCs w:val="20"/>
                <w:u w:val="none"/>
              </w:rPr>
            </w:pPr>
            <w:r>
              <w:rPr>
                <w:rFonts w:hint="default" w:ascii="Times New Roman" w:hAnsi="Times New Roman" w:eastAsia="宋体" w:cs="Times New Roman"/>
                <w:b/>
                <w:bCs/>
                <w:i w:val="0"/>
                <w:iCs w:val="0"/>
                <w:color w:val="1F1F1F"/>
                <w:kern w:val="0"/>
                <w:sz w:val="20"/>
                <w:szCs w:val="20"/>
                <w:u w:val="none"/>
                <w:lang w:val="en-US" w:eastAsia="zh-CN" w:bidi="ar"/>
              </w:rPr>
              <w:t>Certainty of Evidence</w:t>
            </w:r>
          </w:p>
        </w:tc>
        <w:tc>
          <w:tcPr>
            <w:tcW w:w="1099" w:type="pct"/>
            <w:tcBorders>
              <w:top w:val="single" w:color="000000" w:sz="8" w:space="0"/>
              <w:bottom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1F1F1F"/>
                <w:sz w:val="20"/>
                <w:szCs w:val="20"/>
                <w:u w:val="none"/>
              </w:rPr>
            </w:pPr>
            <w:r>
              <w:rPr>
                <w:rFonts w:hint="default" w:ascii="Times New Roman" w:hAnsi="Times New Roman" w:eastAsia="宋体" w:cs="Times New Roman"/>
                <w:b/>
                <w:bCs/>
                <w:i w:val="0"/>
                <w:iCs w:val="0"/>
                <w:color w:val="1F1F1F"/>
                <w:kern w:val="0"/>
                <w:sz w:val="20"/>
                <w:szCs w:val="20"/>
                <w:u w:val="none"/>
                <w:lang w:val="en-US" w:eastAsia="zh-CN" w:bidi="ar"/>
              </w:rPr>
              <w:t>Comments / Justification</w:t>
            </w:r>
          </w:p>
        </w:tc>
      </w:tr>
      <w:tr>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8" w:hRule="atLeast"/>
          <w:jc w:val="center"/>
        </w:trPr>
        <w:tc>
          <w:tcPr>
            <w:tcW w:w="654" w:type="pct"/>
            <w:tcBorders>
              <w:top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1F1F1F"/>
                <w:sz w:val="20"/>
                <w:szCs w:val="20"/>
                <w:u w:val="none"/>
              </w:rPr>
            </w:pPr>
            <w:r>
              <w:rPr>
                <w:rFonts w:hint="default" w:ascii="Times New Roman" w:hAnsi="Times New Roman" w:eastAsia="宋体" w:cs="Times New Roman"/>
                <w:b/>
                <w:bCs/>
                <w:i w:val="0"/>
                <w:iCs w:val="0"/>
                <w:color w:val="1F1F1F"/>
                <w:kern w:val="0"/>
                <w:sz w:val="20"/>
                <w:szCs w:val="20"/>
                <w:u w:val="none"/>
                <w:lang w:val="en-US" w:eastAsia="zh-CN" w:bidi="ar"/>
              </w:rPr>
              <w:t>Overall Survival (OS)</w:t>
            </w:r>
          </w:p>
        </w:tc>
        <w:tc>
          <w:tcPr>
            <w:tcW w:w="751" w:type="pct"/>
            <w:tcBorders>
              <w:top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1F1F1F"/>
                <w:sz w:val="20"/>
                <w:szCs w:val="20"/>
                <w:u w:val="none"/>
              </w:rPr>
            </w:pPr>
            <w:r>
              <w:rPr>
                <w:rFonts w:hint="default" w:ascii="Times New Roman" w:hAnsi="Times New Roman" w:eastAsia="宋体" w:cs="Times New Roman"/>
                <w:i w:val="0"/>
                <w:iCs w:val="0"/>
                <w:color w:val="1F1F1F"/>
                <w:kern w:val="0"/>
                <w:sz w:val="20"/>
                <w:szCs w:val="20"/>
                <w:u w:val="none"/>
                <w:lang w:val="en-US" w:eastAsia="zh-CN" w:bidi="ar"/>
              </w:rPr>
              <w:t>10 studies (N=4,202)*</w:t>
            </w:r>
          </w:p>
        </w:tc>
        <w:tc>
          <w:tcPr>
            <w:tcW w:w="1150" w:type="pct"/>
            <w:tcBorders>
              <w:top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1F1F1F"/>
                <w:sz w:val="20"/>
                <w:szCs w:val="20"/>
                <w:u w:val="none"/>
              </w:rPr>
            </w:pPr>
            <w:r>
              <w:rPr>
                <w:rFonts w:hint="default" w:ascii="Times New Roman" w:hAnsi="Times New Roman" w:eastAsia="宋体" w:cs="Times New Roman"/>
                <w:i w:val="0"/>
                <w:iCs w:val="0"/>
                <w:color w:val="1F1F1F"/>
                <w:kern w:val="0"/>
                <w:sz w:val="20"/>
                <w:szCs w:val="20"/>
                <w:u w:val="none"/>
                <w:lang w:val="en-US" w:eastAsia="zh-CN" w:bidi="ar"/>
              </w:rPr>
              <w:t>No Serious limitations across all five domains; I² reduced to 3.5% (Refined Cohort).</w:t>
            </w:r>
          </w:p>
        </w:tc>
        <w:tc>
          <w:tcPr>
            <w:tcW w:w="657" w:type="pct"/>
            <w:tcBorders>
              <w:top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1F1F1F"/>
                <w:sz w:val="20"/>
                <w:szCs w:val="20"/>
                <w:u w:val="none"/>
              </w:rPr>
            </w:pPr>
            <w:r>
              <w:rPr>
                <w:rFonts w:hint="default" w:ascii="Times New Roman" w:hAnsi="Times New Roman" w:eastAsia="宋体" w:cs="Times New Roman"/>
                <w:b/>
                <w:bCs/>
                <w:i w:val="0"/>
                <w:iCs w:val="0"/>
                <w:color w:val="1F1F1F"/>
                <w:kern w:val="0"/>
                <w:sz w:val="20"/>
                <w:szCs w:val="20"/>
                <w:u w:val="none"/>
                <w:lang w:val="en-US" w:eastAsia="zh-CN" w:bidi="ar"/>
              </w:rPr>
              <w:t>1.65</w:t>
            </w:r>
            <w:r>
              <w:rPr>
                <w:rStyle w:val="10"/>
                <w:rFonts w:eastAsia="宋体"/>
                <w:sz w:val="20"/>
                <w:szCs w:val="20"/>
                <w:lang w:val="en-US" w:eastAsia="zh-CN" w:bidi="ar"/>
              </w:rPr>
              <w:t xml:space="preserve"> (1.40 – 1.96)</w:t>
            </w:r>
          </w:p>
        </w:tc>
        <w:tc>
          <w:tcPr>
            <w:tcW w:w="684" w:type="pct"/>
            <w:tcBorders>
              <w:top w:val="single" w:color="000000" w:sz="8"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b/>
                <w:bCs/>
                <w:i w:val="0"/>
                <w:iCs w:val="0"/>
                <w:color w:val="1F1F1F"/>
                <w:kern w:val="2"/>
                <w:sz w:val="20"/>
                <w:szCs w:val="20"/>
                <w:u w:val="none"/>
                <w:lang w:val="en-US" w:eastAsia="zh-CN" w:bidi="ar-SA"/>
              </w:rPr>
            </w:pPr>
            <w:r>
              <w:rPr>
                <w:rFonts w:hint="default" w:ascii="Times New Roman" w:hAnsi="Times New Roman" w:eastAsia="宋体" w:cs="Times New Roman"/>
                <w:b/>
                <w:bCs/>
                <w:i w:val="0"/>
                <w:iCs w:val="0"/>
                <w:color w:val="1F1F1F"/>
                <w:kern w:val="0"/>
                <w:sz w:val="20"/>
                <w:szCs w:val="20"/>
                <w:u w:val="none"/>
                <w:lang w:val="en-US" w:eastAsia="zh-CN" w:bidi="ar"/>
              </w:rPr>
              <w:t>Moderate</w:t>
            </w:r>
          </w:p>
          <w:p>
            <w:pPr>
              <w:keepNext w:val="0"/>
              <w:keepLines w:val="0"/>
              <w:widowControl/>
              <w:suppressLineNumbers w:val="0"/>
              <w:jc w:val="center"/>
              <w:textAlignment w:val="center"/>
              <w:rPr>
                <w:rFonts w:hint="eastAsia" w:ascii="Times New Roman" w:hAnsi="Times New Roman" w:eastAsia="宋体" w:cs="Times New Roman"/>
                <w:i w:val="0"/>
                <w:iCs w:val="0"/>
                <w:color w:val="1F1F1F"/>
                <w:kern w:val="2"/>
                <w:sz w:val="20"/>
                <w:szCs w:val="20"/>
                <w:u w:val="none"/>
                <w:lang w:val="en-US" w:eastAsia="zh-CN" w:bidi="ar-SA"/>
              </w:rPr>
            </w:pPr>
            <w:r>
              <w:rPr>
                <w:rFonts w:hint="default" w:ascii="Times New Roman" w:hAnsi="Times New Roman" w:eastAsia="宋体" w:cs="Times New Roman"/>
                <w:i w:val="0"/>
                <w:iCs w:val="0"/>
                <w:color w:val="1F1F1F"/>
                <w:kern w:val="0"/>
                <w:sz w:val="20"/>
                <w:szCs w:val="20"/>
                <w:u w:val="none"/>
                <w:lang w:val="en-US" w:eastAsia="zh-CN" w:bidi="ar"/>
              </w:rPr>
              <w:t>⊕⊕⊕⊖</w:t>
            </w:r>
          </w:p>
        </w:tc>
        <w:tc>
          <w:tcPr>
            <w:tcW w:w="1099" w:type="pct"/>
            <w:tcBorders>
              <w:top w:val="single" w:color="000000" w:sz="8" w:space="0"/>
            </w:tcBorders>
            <w:shd w:val="clear" w:color="auto" w:fill="auto"/>
            <w:vAlign w:val="center"/>
          </w:tcPr>
          <w:p>
            <w:pPr>
              <w:keepNext w:val="0"/>
              <w:keepLines w:val="0"/>
              <w:widowControl/>
              <w:suppressLineNumbers w:val="0"/>
              <w:jc w:val="center"/>
              <w:textAlignment w:val="center"/>
              <w:rPr>
                <w:rStyle w:val="10"/>
                <w:rFonts w:eastAsia="宋体"/>
                <w:sz w:val="20"/>
                <w:szCs w:val="20"/>
                <w:lang w:val="en-US" w:eastAsia="zh-CN" w:bidi="ar"/>
              </w:rPr>
            </w:pPr>
            <w:r>
              <w:rPr>
                <w:rFonts w:hint="default" w:ascii="Times New Roman" w:hAnsi="Times New Roman" w:eastAsia="宋体" w:cs="Times New Roman"/>
                <w:b/>
                <w:bCs/>
                <w:i w:val="0"/>
                <w:iCs w:val="0"/>
                <w:color w:val="1F1F1F"/>
                <w:kern w:val="0"/>
                <w:sz w:val="20"/>
                <w:szCs w:val="20"/>
                <w:u w:val="none"/>
                <w:lang w:val="en-US" w:eastAsia="zh-CN" w:bidi="ar"/>
              </w:rPr>
              <w:t>Start:</w:t>
            </w:r>
            <w:r>
              <w:rPr>
                <w:rStyle w:val="10"/>
                <w:rFonts w:eastAsia="宋体"/>
                <w:sz w:val="20"/>
                <w:szCs w:val="20"/>
                <w:lang w:val="en-US" w:eastAsia="zh-CN" w:bidi="ar"/>
              </w:rPr>
              <w:t xml:space="preserve"> Low (Observational).</w:t>
            </w:r>
          </w:p>
          <w:p>
            <w:pPr>
              <w:keepNext w:val="0"/>
              <w:keepLines w:val="0"/>
              <w:widowControl/>
              <w:suppressLineNumbers w:val="0"/>
              <w:jc w:val="center"/>
              <w:textAlignment w:val="center"/>
              <w:rPr>
                <w:rStyle w:val="10"/>
                <w:rFonts w:hint="default" w:eastAsia="宋体"/>
                <w:sz w:val="20"/>
                <w:szCs w:val="20"/>
                <w:lang w:val="en-US" w:eastAsia="zh-CN" w:bidi="ar"/>
              </w:rPr>
            </w:pPr>
          </w:p>
          <w:p>
            <w:pPr>
              <w:keepNext w:val="0"/>
              <w:keepLines w:val="0"/>
              <w:widowControl/>
              <w:suppressLineNumbers w:val="0"/>
              <w:jc w:val="center"/>
              <w:textAlignment w:val="center"/>
              <w:rPr>
                <w:rStyle w:val="10"/>
                <w:rFonts w:eastAsia="宋体"/>
                <w:sz w:val="20"/>
                <w:szCs w:val="20"/>
                <w:lang w:val="en-US" w:eastAsia="zh-CN" w:bidi="ar"/>
              </w:rPr>
            </w:pPr>
            <w:r>
              <w:rPr>
                <w:rFonts w:hint="default" w:ascii="Times New Roman" w:hAnsi="Times New Roman" w:eastAsia="宋体" w:cs="Times New Roman"/>
                <w:b/>
                <w:bCs/>
                <w:i w:val="0"/>
                <w:iCs w:val="0"/>
                <w:color w:val="1F1F1F"/>
                <w:kern w:val="0"/>
                <w:sz w:val="20"/>
                <w:szCs w:val="20"/>
                <w:u w:val="none"/>
                <w:lang w:val="en-US" w:eastAsia="zh-CN" w:bidi="ar"/>
              </w:rPr>
              <w:t>Downgrade:</w:t>
            </w:r>
            <w:r>
              <w:rPr>
                <w:rStyle w:val="10"/>
                <w:rFonts w:eastAsia="宋体"/>
                <w:sz w:val="20"/>
                <w:szCs w:val="20"/>
                <w:lang w:val="en-US" w:eastAsia="zh-CN" w:bidi="ar"/>
              </w:rPr>
              <w:t xml:space="preserve"> None (0).</w:t>
            </w:r>
          </w:p>
          <w:p>
            <w:pPr>
              <w:keepNext w:val="0"/>
              <w:keepLines w:val="0"/>
              <w:widowControl/>
              <w:suppressLineNumbers w:val="0"/>
              <w:jc w:val="center"/>
              <w:textAlignment w:val="center"/>
              <w:rPr>
                <w:rStyle w:val="10"/>
                <w:rFonts w:hint="default" w:eastAsia="宋体"/>
                <w:sz w:val="20"/>
                <w:szCs w:val="20"/>
                <w:lang w:val="en-US" w:eastAsia="zh-CN" w:bidi="ar"/>
              </w:rPr>
            </w:pPr>
          </w:p>
          <w:p>
            <w:pPr>
              <w:keepNext w:val="0"/>
              <w:keepLines w:val="0"/>
              <w:widowControl/>
              <w:suppressLineNumbers w:val="0"/>
              <w:jc w:val="center"/>
              <w:textAlignment w:val="center"/>
              <w:rPr>
                <w:rFonts w:hint="default" w:ascii="Times New Roman" w:hAnsi="Times New Roman" w:eastAsia="宋体" w:cs="Times New Roman"/>
                <w:b/>
                <w:bCs/>
                <w:i w:val="0"/>
                <w:iCs w:val="0"/>
                <w:color w:val="1F1F1F"/>
                <w:kern w:val="2"/>
                <w:sz w:val="20"/>
                <w:szCs w:val="20"/>
                <w:u w:val="none"/>
                <w:lang w:val="en-US" w:eastAsia="zh-CN" w:bidi="ar-SA"/>
              </w:rPr>
            </w:pPr>
            <w:r>
              <w:rPr>
                <w:rFonts w:hint="default" w:ascii="Times New Roman" w:hAnsi="Times New Roman" w:eastAsia="宋体" w:cs="Times New Roman"/>
                <w:b/>
                <w:bCs/>
                <w:i w:val="0"/>
                <w:iCs w:val="0"/>
                <w:color w:val="1F1F1F"/>
                <w:kern w:val="0"/>
                <w:sz w:val="20"/>
                <w:szCs w:val="20"/>
                <w:u w:val="none"/>
                <w:lang w:val="en-US" w:eastAsia="zh-CN" w:bidi="ar"/>
              </w:rPr>
              <w:t>Upgrade:</w:t>
            </w:r>
            <w:r>
              <w:rPr>
                <w:rStyle w:val="10"/>
                <w:rFonts w:eastAsia="宋体"/>
                <w:sz w:val="20"/>
                <w:szCs w:val="20"/>
                <w:lang w:val="en-US" w:eastAsia="zh-CN" w:bidi="ar"/>
              </w:rPr>
              <w:t xml:space="preserve"> +1 (Clear dose-response gradient established).</w:t>
            </w:r>
          </w:p>
        </w:tc>
      </w:tr>
    </w:tbl>
    <w:p>
      <w:pPr>
        <w:pStyle w:val="2"/>
        <w:keepNext w:val="0"/>
        <w:keepLines w:val="0"/>
        <w:widowControl/>
        <w:suppressLineNumbers w:val="0"/>
        <w:rPr>
          <w:i w:val="0"/>
          <w:iCs w:val="0"/>
        </w:rPr>
        <w:sectPr>
          <w:pgSz w:w="11906" w:h="16838"/>
          <w:pgMar w:top="1440" w:right="1800" w:bottom="1440" w:left="1800" w:header="851" w:footer="992" w:gutter="0"/>
          <w:lnNumType w:countBy="1" w:restart="continuous"/>
          <w:cols w:space="720" w:num="1"/>
          <w:docGrid w:type="lines" w:linePitch="312" w:charSpace="0"/>
        </w:sectPr>
      </w:pPr>
      <w:r>
        <w:rPr>
          <w:i w:val="0"/>
          <w:iCs w:val="0"/>
        </w:rPr>
        <w:t>*Note: The patient count reflects the refined OS cohort after resolving heterogeneity.</w:t>
      </w:r>
    </w:p>
    <w:p>
      <w:pPr>
        <w:pStyle w:val="7"/>
        <w:keepNext w:val="0"/>
        <w:keepLines w:val="0"/>
        <w:pageBreakBefore w:val="0"/>
        <w:kinsoku/>
        <w:wordWrap/>
        <w:overflowPunct/>
        <w:topLinePunct w:val="0"/>
        <w:autoSpaceDE/>
        <w:autoSpaceDN/>
        <w:bidi w:val="0"/>
        <w:adjustRightInd/>
        <w:snapToGrid/>
        <w:spacing w:after="313" w:afterLines="100" w:afterAutospacing="0" w:line="480" w:lineRule="auto"/>
        <w:ind w:left="0" w:leftChars="0" w:firstLine="0" w:firstLineChars="0"/>
        <w:jc w:val="left"/>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Supplementary Figures</w:t>
      </w:r>
    </w:p>
    <w:p>
      <w:pPr>
        <w:pStyle w:val="7"/>
        <w:keepNext w:val="0"/>
        <w:keepLines w:val="0"/>
        <w:pageBreakBefore w:val="0"/>
        <w:kinsoku/>
        <w:wordWrap/>
        <w:overflowPunct/>
        <w:topLinePunct w:val="0"/>
        <w:autoSpaceDE/>
        <w:autoSpaceDN/>
        <w:bidi w:val="0"/>
        <w:adjustRightInd/>
        <w:snapToGrid/>
        <w:spacing w:after="313" w:afterLines="100" w:afterAutospacing="0" w:line="300" w:lineRule="exact"/>
        <w:jc w:val="left"/>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drawing>
          <wp:anchor distT="0" distB="0" distL="114300" distR="114300" simplePos="0" relativeHeight="251659264" behindDoc="0" locked="0" layoutInCell="1" allowOverlap="1">
            <wp:simplePos x="0" y="0"/>
            <wp:positionH relativeFrom="column">
              <wp:posOffset>2653665</wp:posOffset>
            </wp:positionH>
            <wp:positionV relativeFrom="paragraph">
              <wp:posOffset>-2260600</wp:posOffset>
            </wp:positionV>
            <wp:extent cx="3518535" cy="8825230"/>
            <wp:effectExtent l="0" t="0" r="13970" b="1905"/>
            <wp:wrapTopAndBottom/>
            <wp:docPr id="6" name="图片 6" descr="Risk of bias summary_10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Risk of bias summary_1000dpi"/>
                    <pic:cNvPicPr>
                      <a:picLocks noChangeAspect="1"/>
                    </pic:cNvPicPr>
                  </pic:nvPicPr>
                  <pic:blipFill>
                    <a:blip r:embed="rId6"/>
                    <a:stretch>
                      <a:fillRect/>
                    </a:stretch>
                  </pic:blipFill>
                  <pic:spPr>
                    <a:xfrm rot="5400000">
                      <a:off x="0" y="0"/>
                      <a:ext cx="3518535" cy="8825230"/>
                    </a:xfrm>
                    <a:prstGeom prst="rect">
                      <a:avLst/>
                    </a:prstGeom>
                  </pic:spPr>
                </pic:pic>
              </a:graphicData>
            </a:graphic>
          </wp:anchor>
        </w:drawing>
      </w:r>
      <w:r>
        <w:rPr>
          <w:rFonts w:hint="default" w:ascii="Times New Roman" w:hAnsi="Times New Roman" w:eastAsia="宋体" w:cs="Times New Roman"/>
          <w:b w:val="0"/>
          <w:bCs w:val="0"/>
          <w:color w:val="auto"/>
          <w:sz w:val="24"/>
          <w:szCs w:val="24"/>
          <w:highlight w:val="none"/>
          <w:lang w:val="en-US" w:eastAsia="zh-CN"/>
        </w:rPr>
        <w:t>Figure S1. Methodological quality assessment using the Newcastle-Ottawa Scale (NOS).</w:t>
      </w:r>
    </w:p>
    <w:p>
      <w:pPr>
        <w:pStyle w:val="7"/>
        <w:keepNext w:val="0"/>
        <w:keepLines w:val="0"/>
        <w:pageBreakBefore w:val="0"/>
        <w:kinsoku/>
        <w:wordWrap/>
        <w:overflowPunct/>
        <w:topLinePunct w:val="0"/>
        <w:autoSpaceDE/>
        <w:autoSpaceDN/>
        <w:bidi w:val="0"/>
        <w:adjustRightInd/>
        <w:snapToGrid/>
        <w:spacing w:after="313" w:afterLines="100" w:afterAutospacing="0" w:line="300" w:lineRule="exact"/>
        <w:jc w:val="left"/>
        <w:rPr>
          <w:rFonts w:hint="default" w:ascii="Times New Roman" w:hAnsi="Times New Roman" w:eastAsia="宋体" w:cs="Times New Roman"/>
          <w:b w:val="0"/>
          <w:bCs w:val="0"/>
          <w:color w:val="auto"/>
          <w:sz w:val="24"/>
          <w:szCs w:val="24"/>
          <w:highlight w:val="none"/>
          <w:lang w:val="en-US" w:eastAsia="zh-CN"/>
        </w:rPr>
        <w:sectPr>
          <w:pgSz w:w="16838" w:h="11906" w:orient="landscape"/>
          <w:pgMar w:top="1800" w:right="1440" w:bottom="1800" w:left="1440" w:header="851" w:footer="992" w:gutter="0"/>
          <w:lnNumType w:countBy="1" w:restart="continuous"/>
          <w:cols w:space="720" w:num="1"/>
          <w:docGrid w:type="lines" w:linePitch="312" w:charSpace="0"/>
        </w:sectPr>
      </w:pPr>
    </w:p>
    <w:p>
      <w:pPr>
        <w:pStyle w:val="2"/>
        <w:keepNext w:val="0"/>
        <w:keepLines w:val="0"/>
        <w:pageBreakBefore w:val="0"/>
        <w:widowControl/>
        <w:suppressLineNumbers w:val="0"/>
        <w:shd w:val="clear" w:color="auto" w:fill="FFFFFF"/>
        <w:kinsoku/>
        <w:wordWrap/>
        <w:overflowPunct/>
        <w:topLinePunct w:val="0"/>
        <w:autoSpaceDE/>
        <w:autoSpaceDN/>
        <w:bidi w:val="0"/>
        <w:adjustRightInd/>
        <w:snapToGrid/>
        <w:spacing w:before="192" w:beforeAutospacing="0" w:after="0" w:afterAutospacing="0" w:line="240" w:lineRule="auto"/>
        <w:ind w:left="0" w:right="0" w:firstLine="0" w:firstLineChars="0"/>
        <w:jc w:val="left"/>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drawing>
          <wp:anchor distT="0" distB="0" distL="114300" distR="114300" simplePos="0" relativeHeight="251660288" behindDoc="0" locked="0" layoutInCell="1" allowOverlap="1">
            <wp:simplePos x="0" y="0"/>
            <wp:positionH relativeFrom="column">
              <wp:posOffset>18415</wp:posOffset>
            </wp:positionH>
            <wp:positionV relativeFrom="paragraph">
              <wp:posOffset>401955</wp:posOffset>
            </wp:positionV>
            <wp:extent cx="5197475" cy="2078990"/>
            <wp:effectExtent l="0" t="0" r="14605" b="8890"/>
            <wp:wrapTopAndBottom/>
            <wp:docPr id="7" name="图片 7" descr="Online_Resource4_KRAS_10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Online_Resource4_KRAS_1000dpi"/>
                    <pic:cNvPicPr>
                      <a:picLocks noChangeAspect="1"/>
                    </pic:cNvPicPr>
                  </pic:nvPicPr>
                  <pic:blipFill>
                    <a:blip r:embed="rId7"/>
                    <a:stretch>
                      <a:fillRect/>
                    </a:stretch>
                  </pic:blipFill>
                  <pic:spPr>
                    <a:xfrm>
                      <a:off x="0" y="0"/>
                      <a:ext cx="5197475" cy="2078990"/>
                    </a:xfrm>
                    <a:prstGeom prst="rect">
                      <a:avLst/>
                    </a:prstGeom>
                  </pic:spPr>
                </pic:pic>
              </a:graphicData>
            </a:graphic>
          </wp:anchor>
        </w:drawing>
      </w:r>
      <w:r>
        <w:rPr>
          <w:rFonts w:hint="default" w:ascii="Times New Roman" w:hAnsi="Times New Roman" w:eastAsia="宋体" w:cs="Times New Roman"/>
          <w:b w:val="0"/>
          <w:bCs w:val="0"/>
          <w:color w:val="auto"/>
          <w:sz w:val="24"/>
          <w:szCs w:val="24"/>
          <w:highlight w:val="none"/>
          <w:lang w:val="en-US" w:eastAsia="zh-CN"/>
        </w:rPr>
        <w:t>Figure S</w:t>
      </w:r>
      <w:r>
        <w:rPr>
          <w:rFonts w:hint="eastAsia" w:ascii="Times New Roman" w:hAnsi="Times New Roman" w:eastAsia="宋体" w:cs="Times New Roman"/>
          <w:b w:val="0"/>
          <w:bCs w:val="0"/>
          <w:color w:val="auto"/>
          <w:sz w:val="24"/>
          <w:szCs w:val="24"/>
          <w:highlight w:val="none"/>
          <w:lang w:val="en-US" w:eastAsia="zh-CN"/>
        </w:rPr>
        <w:t>2</w:t>
      </w:r>
      <w:r>
        <w:rPr>
          <w:rFonts w:hint="default" w:ascii="Times New Roman" w:hAnsi="Times New Roman" w:eastAsia="宋体" w:cs="Times New Roman"/>
          <w:b w:val="0"/>
          <w:bCs w:val="0"/>
          <w:color w:val="auto"/>
          <w:sz w:val="24"/>
          <w:szCs w:val="24"/>
          <w:highlight w:val="none"/>
          <w:lang w:val="en-US" w:eastAsia="zh-CN"/>
        </w:rPr>
        <w:t>. Forest plots of overall survival for cohorts adjusted for KRAS mutational status.</w:t>
      </w:r>
    </w:p>
    <w:p>
      <w:pPr>
        <w:pStyle w:val="7"/>
        <w:keepNext w:val="0"/>
        <w:keepLines w:val="0"/>
        <w:pageBreakBefore w:val="0"/>
        <w:kinsoku/>
        <w:wordWrap/>
        <w:overflowPunct/>
        <w:topLinePunct w:val="0"/>
        <w:autoSpaceDE/>
        <w:autoSpaceDN/>
        <w:bidi w:val="0"/>
        <w:adjustRightInd/>
        <w:snapToGrid/>
        <w:spacing w:after="313" w:afterLines="100" w:afterAutospacing="0" w:line="240" w:lineRule="auto"/>
        <w:jc w:val="left"/>
        <w:rPr>
          <w:rFonts w:hint="default" w:ascii="Times New Roman" w:hAnsi="Times New Roman" w:eastAsia="宋体" w:cs="Times New Roman"/>
          <w:b w:val="0"/>
          <w:bCs w:val="0"/>
          <w:color w:val="auto"/>
          <w:sz w:val="24"/>
          <w:szCs w:val="24"/>
          <w:highlight w:val="none"/>
          <w:lang w:val="en-US" w:eastAsia="zh-CN"/>
        </w:rPr>
        <w:sectPr>
          <w:pgSz w:w="11906" w:h="16838"/>
          <w:pgMar w:top="1440" w:right="1800" w:bottom="1440" w:left="1800" w:header="851" w:footer="992" w:gutter="0"/>
          <w:lnNumType w:countBy="1" w:restart="continuous"/>
          <w:cols w:space="720" w:num="1"/>
          <w:docGrid w:type="lines" w:linePitch="312" w:charSpace="0"/>
        </w:sectPr>
      </w:pPr>
    </w:p>
    <w:p>
      <w:pPr>
        <w:pStyle w:val="2"/>
        <w:keepNext w:val="0"/>
        <w:keepLines w:val="0"/>
        <w:pageBreakBefore w:val="0"/>
        <w:widowControl/>
        <w:suppressLineNumbers w:val="0"/>
        <w:shd w:val="clear" w:color="auto" w:fill="FFFFFF"/>
        <w:kinsoku/>
        <w:wordWrap/>
        <w:overflowPunct/>
        <w:topLinePunct w:val="0"/>
        <w:autoSpaceDE/>
        <w:autoSpaceDN/>
        <w:bidi w:val="0"/>
        <w:adjustRightInd/>
        <w:snapToGrid/>
        <w:spacing w:before="192" w:beforeAutospacing="0" w:after="0" w:afterAutospacing="0" w:line="240" w:lineRule="auto"/>
        <w:ind w:left="0" w:right="0" w:firstLine="0" w:firstLineChars="0"/>
        <w:jc w:val="left"/>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drawing>
          <wp:anchor distT="0" distB="0" distL="114300" distR="114300" simplePos="0" relativeHeight="251661312" behindDoc="0" locked="0" layoutInCell="1" allowOverlap="1">
            <wp:simplePos x="0" y="0"/>
            <wp:positionH relativeFrom="column">
              <wp:posOffset>-4445</wp:posOffset>
            </wp:positionH>
            <wp:positionV relativeFrom="paragraph">
              <wp:posOffset>447675</wp:posOffset>
            </wp:positionV>
            <wp:extent cx="5267325" cy="2107565"/>
            <wp:effectExtent l="0" t="0" r="5715" b="10795"/>
            <wp:wrapTopAndBottom/>
            <wp:docPr id="8" name="图片 8" descr="Online_Resource5_forest_EFS_ses_10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Online_Resource5_forest_EFS_ses_1000dpi"/>
                    <pic:cNvPicPr>
                      <a:picLocks noChangeAspect="1"/>
                    </pic:cNvPicPr>
                  </pic:nvPicPr>
                  <pic:blipFill>
                    <a:blip r:embed="rId8"/>
                    <a:stretch>
                      <a:fillRect/>
                    </a:stretch>
                  </pic:blipFill>
                  <pic:spPr>
                    <a:xfrm>
                      <a:off x="0" y="0"/>
                      <a:ext cx="5267325" cy="2107565"/>
                    </a:xfrm>
                    <a:prstGeom prst="rect">
                      <a:avLst/>
                    </a:prstGeom>
                  </pic:spPr>
                </pic:pic>
              </a:graphicData>
            </a:graphic>
          </wp:anchor>
        </w:drawing>
      </w:r>
      <w:r>
        <w:rPr>
          <w:rFonts w:hint="default" w:ascii="Times New Roman" w:hAnsi="Times New Roman" w:eastAsia="宋体" w:cs="Times New Roman"/>
          <w:b w:val="0"/>
          <w:bCs w:val="0"/>
          <w:color w:val="auto"/>
          <w:sz w:val="24"/>
          <w:szCs w:val="24"/>
          <w:highlight w:val="none"/>
          <w:lang w:val="en-US" w:eastAsia="zh-CN"/>
        </w:rPr>
        <w:t>Figure S</w:t>
      </w:r>
      <w:r>
        <w:rPr>
          <w:rFonts w:hint="eastAsia" w:ascii="Times New Roman" w:hAnsi="Times New Roman" w:eastAsia="宋体" w:cs="Times New Roman"/>
          <w:b w:val="0"/>
          <w:bCs w:val="0"/>
          <w:color w:val="auto"/>
          <w:sz w:val="24"/>
          <w:szCs w:val="24"/>
          <w:highlight w:val="none"/>
          <w:lang w:val="en-US" w:eastAsia="zh-CN"/>
        </w:rPr>
        <w:t>3</w:t>
      </w:r>
      <w:r>
        <w:rPr>
          <w:rFonts w:hint="default" w:ascii="Times New Roman" w:hAnsi="Times New Roman" w:eastAsia="宋体" w:cs="Times New Roman"/>
          <w:b w:val="0"/>
          <w:bCs w:val="0"/>
          <w:color w:val="auto"/>
          <w:sz w:val="24"/>
          <w:szCs w:val="24"/>
          <w:highlight w:val="none"/>
          <w:lang w:val="en-US" w:eastAsia="zh-CN"/>
        </w:rPr>
        <w:t>. Forest plot of recurrence-free survival (excluding disease-free survival composite endpoints).</w:t>
      </w:r>
    </w:p>
    <w:p>
      <w:pPr>
        <w:pStyle w:val="7"/>
        <w:keepNext w:val="0"/>
        <w:keepLines w:val="0"/>
        <w:pageBreakBefore w:val="0"/>
        <w:kinsoku/>
        <w:wordWrap/>
        <w:overflowPunct/>
        <w:topLinePunct w:val="0"/>
        <w:autoSpaceDE/>
        <w:autoSpaceDN/>
        <w:bidi w:val="0"/>
        <w:adjustRightInd/>
        <w:snapToGrid/>
        <w:spacing w:after="313" w:afterLines="100" w:afterAutospacing="0" w:line="240" w:lineRule="auto"/>
        <w:ind w:left="0" w:leftChars="0" w:firstLine="0" w:firstLineChars="0"/>
        <w:jc w:val="left"/>
        <w:rPr>
          <w:rFonts w:hint="default" w:ascii="Times New Roman" w:hAnsi="Times New Roman" w:eastAsia="宋体" w:cs="Times New Roman"/>
          <w:b w:val="0"/>
          <w:bCs w:val="0"/>
          <w:color w:val="auto"/>
          <w:sz w:val="24"/>
          <w:szCs w:val="24"/>
          <w:highlight w:val="none"/>
          <w:lang w:val="en-US" w:eastAsia="zh-CN"/>
        </w:rPr>
        <w:sectPr>
          <w:pgSz w:w="11906" w:h="16838"/>
          <w:pgMar w:top="1440" w:right="1800" w:bottom="1440" w:left="1800" w:header="851" w:footer="992" w:gutter="0"/>
          <w:lnNumType w:countBy="1" w:restart="continuous"/>
          <w:cols w:space="720" w:num="1"/>
          <w:docGrid w:type="lines" w:linePitch="312" w:charSpace="0"/>
        </w:sectPr>
      </w:pPr>
    </w:p>
    <w:p>
      <w:pPr>
        <w:pStyle w:val="2"/>
        <w:keepNext w:val="0"/>
        <w:keepLines w:val="0"/>
        <w:pageBreakBefore w:val="0"/>
        <w:widowControl/>
        <w:suppressLineNumbers w:val="0"/>
        <w:shd w:val="clear" w:color="auto" w:fill="FFFFFF"/>
        <w:kinsoku/>
        <w:wordWrap/>
        <w:overflowPunct/>
        <w:topLinePunct w:val="0"/>
        <w:autoSpaceDE/>
        <w:autoSpaceDN/>
        <w:bidi w:val="0"/>
        <w:adjustRightInd/>
        <w:snapToGrid/>
        <w:spacing w:before="192" w:beforeAutospacing="0" w:after="0" w:afterAutospacing="0" w:line="240" w:lineRule="auto"/>
        <w:ind w:left="0" w:right="0" w:firstLine="0" w:firstLineChars="0"/>
        <w:jc w:val="left"/>
        <w:rPr>
          <w:rFonts w:hint="default" w:ascii="Times New Roman" w:hAnsi="Times New Roman" w:eastAsia="宋体" w:cs="Times New Roman"/>
          <w:b w:val="0"/>
          <w:bCs w:val="0"/>
          <w:color w:val="auto"/>
          <w:sz w:val="24"/>
          <w:szCs w:val="24"/>
          <w:highlight w:val="none"/>
          <w:lang w:val="en-US" w:eastAsia="zh-CN"/>
        </w:rPr>
      </w:pPr>
      <w:bookmarkStart w:id="0" w:name="_GoBack"/>
      <w:r>
        <w:rPr>
          <w:rFonts w:hint="default" w:ascii="Times New Roman" w:hAnsi="Times New Roman" w:eastAsia="宋体" w:cs="Times New Roman"/>
          <w:b w:val="0"/>
          <w:bCs w:val="0"/>
          <w:color w:val="auto"/>
          <w:sz w:val="24"/>
          <w:szCs w:val="24"/>
          <w:highlight w:val="none"/>
          <w:lang w:val="en-US" w:eastAsia="zh-CN"/>
        </w:rPr>
        <w:drawing>
          <wp:anchor distT="0" distB="0" distL="114300" distR="114300" simplePos="0" relativeHeight="251662336" behindDoc="0" locked="0" layoutInCell="1" allowOverlap="1">
            <wp:simplePos x="0" y="0"/>
            <wp:positionH relativeFrom="column">
              <wp:posOffset>0</wp:posOffset>
            </wp:positionH>
            <wp:positionV relativeFrom="paragraph">
              <wp:posOffset>444500</wp:posOffset>
            </wp:positionV>
            <wp:extent cx="5272405" cy="3514725"/>
            <wp:effectExtent l="0" t="0" r="635" b="5715"/>
            <wp:wrapTopAndBottom/>
            <wp:docPr id="9" name="图片 9" descr="Online_Resource7_TrimFill_10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Online_Resource7_TrimFill_1000dpi"/>
                    <pic:cNvPicPr>
                      <a:picLocks noChangeAspect="1"/>
                    </pic:cNvPicPr>
                  </pic:nvPicPr>
                  <pic:blipFill>
                    <a:blip r:embed="rId9"/>
                    <a:stretch>
                      <a:fillRect/>
                    </a:stretch>
                  </pic:blipFill>
                  <pic:spPr>
                    <a:xfrm>
                      <a:off x="0" y="0"/>
                      <a:ext cx="5272405" cy="3514725"/>
                    </a:xfrm>
                    <a:prstGeom prst="rect">
                      <a:avLst/>
                    </a:prstGeom>
                  </pic:spPr>
                </pic:pic>
              </a:graphicData>
            </a:graphic>
          </wp:anchor>
        </w:drawing>
      </w:r>
      <w:bookmarkEnd w:id="0"/>
      <w:r>
        <w:rPr>
          <w:rFonts w:hint="default" w:ascii="Times New Roman" w:hAnsi="Times New Roman" w:eastAsia="宋体" w:cs="Times New Roman"/>
          <w:b w:val="0"/>
          <w:bCs w:val="0"/>
          <w:color w:val="auto"/>
          <w:sz w:val="24"/>
          <w:szCs w:val="24"/>
          <w:highlight w:val="none"/>
          <w:lang w:val="en-US" w:eastAsia="zh-CN"/>
        </w:rPr>
        <w:t>Figure S</w:t>
      </w:r>
      <w:r>
        <w:rPr>
          <w:rFonts w:hint="eastAsia" w:ascii="Times New Roman" w:hAnsi="Times New Roman" w:eastAsia="宋体" w:cs="Times New Roman"/>
          <w:b w:val="0"/>
          <w:bCs w:val="0"/>
          <w:color w:val="auto"/>
          <w:sz w:val="24"/>
          <w:szCs w:val="24"/>
          <w:highlight w:val="none"/>
          <w:lang w:val="en-US" w:eastAsia="zh-CN"/>
        </w:rPr>
        <w:t>4</w:t>
      </w:r>
      <w:r>
        <w:rPr>
          <w:rFonts w:hint="default" w:ascii="Times New Roman" w:hAnsi="Times New Roman" w:eastAsia="宋体" w:cs="Times New Roman"/>
          <w:b w:val="0"/>
          <w:bCs w:val="0"/>
          <w:color w:val="auto"/>
          <w:sz w:val="24"/>
          <w:szCs w:val="24"/>
          <w:highlight w:val="none"/>
          <w:lang w:val="en-US" w:eastAsia="zh-CN"/>
        </w:rPr>
        <w:t>. Trim-and-fill funnel plot assessing publication bias and adjusted effect size for overall survival.</w:t>
      </w:r>
    </w:p>
    <w:sectPr>
      <w:pgSz w:w="11906" w:h="16838"/>
      <w:pgMar w:top="1440" w:right="1800" w:bottom="1440" w:left="1800" w:header="851" w:footer="992" w:gutter="0"/>
      <w:lnNumType w:countBy="1" w:restart="continuous"/>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40483"/>
    <w:rsid w:val="01017FB5"/>
    <w:rsid w:val="01C43B17"/>
    <w:rsid w:val="03A965F3"/>
    <w:rsid w:val="0A2128B1"/>
    <w:rsid w:val="0A6902DD"/>
    <w:rsid w:val="101E0E6F"/>
    <w:rsid w:val="123E586B"/>
    <w:rsid w:val="12A6534E"/>
    <w:rsid w:val="15C47445"/>
    <w:rsid w:val="16896386"/>
    <w:rsid w:val="1A4E058D"/>
    <w:rsid w:val="1C3C12E2"/>
    <w:rsid w:val="1E943F89"/>
    <w:rsid w:val="1F8031EB"/>
    <w:rsid w:val="28243AD4"/>
    <w:rsid w:val="29F21453"/>
    <w:rsid w:val="2C7B476C"/>
    <w:rsid w:val="2EA13393"/>
    <w:rsid w:val="2EE04960"/>
    <w:rsid w:val="310E102B"/>
    <w:rsid w:val="34086364"/>
    <w:rsid w:val="340F355F"/>
    <w:rsid w:val="34DC2104"/>
    <w:rsid w:val="3653029E"/>
    <w:rsid w:val="37DC504E"/>
    <w:rsid w:val="3A9C73FA"/>
    <w:rsid w:val="3AF35A2B"/>
    <w:rsid w:val="40266E41"/>
    <w:rsid w:val="4B5F6DAE"/>
    <w:rsid w:val="518A40F8"/>
    <w:rsid w:val="58152644"/>
    <w:rsid w:val="599C4B94"/>
    <w:rsid w:val="5A4646E9"/>
    <w:rsid w:val="5A600155"/>
    <w:rsid w:val="5ABA7BFC"/>
    <w:rsid w:val="5C7133B8"/>
    <w:rsid w:val="5EC24E86"/>
    <w:rsid w:val="61806608"/>
    <w:rsid w:val="6204509B"/>
    <w:rsid w:val="648375B3"/>
    <w:rsid w:val="64FD4878"/>
    <w:rsid w:val="651F7908"/>
    <w:rsid w:val="65C63409"/>
    <w:rsid w:val="662D1B30"/>
    <w:rsid w:val="66581462"/>
    <w:rsid w:val="6709250B"/>
    <w:rsid w:val="67377A0E"/>
    <w:rsid w:val="6844471E"/>
    <w:rsid w:val="6A1D01D7"/>
    <w:rsid w:val="6A682D23"/>
    <w:rsid w:val="6A696346"/>
    <w:rsid w:val="6DBE7A73"/>
    <w:rsid w:val="72924D40"/>
    <w:rsid w:val="77E912C9"/>
    <w:rsid w:val="7944421D"/>
    <w:rsid w:val="7AB1710D"/>
    <w:rsid w:val="7CEE2A0C"/>
    <w:rsid w:val="7D755555"/>
    <w:rsid w:val="7D975441"/>
    <w:rsid w:val="7E590F57"/>
    <w:rsid w:val="7E9E05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Times New Roman" w:hAnsi="Times New Roman" w:eastAsia="等线"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22"/>
    <w:rPr>
      <w:b/>
    </w:rPr>
  </w:style>
  <w:style w:type="character" w:styleId="6">
    <w:name w:val="HTML Code"/>
    <w:basedOn w:val="4"/>
    <w:uiPriority w:val="0"/>
    <w:rPr>
      <w:rFonts w:ascii="Courier New" w:hAnsi="Courier New"/>
      <w:sz w:val="20"/>
    </w:rPr>
  </w:style>
  <w:style w:type="paragraph" w:customStyle="1" w:styleId="7">
    <w:name w:val="Bibliography"/>
    <w:basedOn w:val="1"/>
    <w:qFormat/>
    <w:uiPriority w:val="0"/>
    <w:pPr>
      <w:tabs>
        <w:tab w:val="left" w:pos="384"/>
      </w:tabs>
      <w:spacing w:after="240"/>
      <w:ind w:left="384" w:hanging="384"/>
    </w:pPr>
  </w:style>
  <w:style w:type="character" w:customStyle="1" w:styleId="8">
    <w:name w:val="font11"/>
    <w:basedOn w:val="4"/>
    <w:qFormat/>
    <w:uiPriority w:val="0"/>
    <w:rPr>
      <w:rFonts w:hint="eastAsia" w:ascii="宋体" w:hAnsi="宋体" w:eastAsia="宋体" w:cs="宋体"/>
      <w:color w:val="000000"/>
      <w:sz w:val="20"/>
      <w:szCs w:val="20"/>
      <w:u w:val="none"/>
    </w:rPr>
  </w:style>
  <w:style w:type="character" w:customStyle="1" w:styleId="9">
    <w:name w:val="font21"/>
    <w:basedOn w:val="4"/>
    <w:qFormat/>
    <w:uiPriority w:val="0"/>
    <w:rPr>
      <w:rFonts w:hint="default" w:ascii="Times New Roman" w:hAnsi="Times New Roman" w:cs="Times New Roman"/>
      <w:color w:val="000000"/>
      <w:sz w:val="20"/>
      <w:szCs w:val="20"/>
      <w:u w:val="none"/>
    </w:rPr>
  </w:style>
  <w:style w:type="character" w:customStyle="1" w:styleId="10">
    <w:name w:val="font31"/>
    <w:basedOn w:val="4"/>
    <w:qFormat/>
    <w:uiPriority w:val="0"/>
    <w:rPr>
      <w:rFonts w:hint="default" w:ascii="Times New Roman" w:hAnsi="Times New Roman" w:cs="Times New Roman"/>
      <w:color w:val="1F1F1F"/>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tiff"/><Relationship Id="rId8" Type="http://schemas.openxmlformats.org/officeDocument/2006/relationships/image" Target="media/image3.tiff"/><Relationship Id="rId7" Type="http://schemas.openxmlformats.org/officeDocument/2006/relationships/image" Target="media/image2.tiff"/><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2026-05-24T02:58:00Z</dcterms:created>
  <dc:creator>Thomas.LAPTOP-701L1MOI</dc:creator>
  <cp:lastModifiedBy>Thomas</cp:lastModifiedBy>
  <dcterms:modified xsi:type="dcterms:W3CDTF">2026-05-31T16:35:15Z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7DA30A68C8614604AAABD8AC9571258A</vt:lpwstr>
  </property>
</Properties>
</file>