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FBDE0" w14:textId="681A56EA" w:rsidR="00032A35" w:rsidRPr="000745A1" w:rsidRDefault="00032A35" w:rsidP="000745A1">
      <w:pPr>
        <w:spacing w:after="0" w:line="360" w:lineRule="auto"/>
        <w:jc w:val="center"/>
        <w:outlineLvl w:val="0"/>
        <w:rPr>
          <w:rFonts w:ascii="Times New Roman" w:hAnsi="Times New Roman" w:cs="Times New Roman"/>
          <w:b/>
        </w:rPr>
      </w:pPr>
      <w:bookmarkStart w:id="0" w:name="_GoBack"/>
      <w:bookmarkEnd w:id="0"/>
      <w:r w:rsidRPr="000745A1">
        <w:rPr>
          <w:rFonts w:ascii="Times New Roman" w:hAnsi="Times New Roman" w:cs="Times New Roman"/>
          <w:b/>
        </w:rPr>
        <w:t xml:space="preserve">Supplementary </w:t>
      </w:r>
      <w:r w:rsidR="00884790">
        <w:rPr>
          <w:rFonts w:ascii="Times New Roman" w:hAnsi="Times New Roman" w:cs="Times New Roman"/>
          <w:b/>
        </w:rPr>
        <w:t>m</w:t>
      </w:r>
      <w:r w:rsidR="000745A1">
        <w:rPr>
          <w:rFonts w:ascii="Times New Roman" w:hAnsi="Times New Roman" w:cs="Times New Roman"/>
          <w:b/>
        </w:rPr>
        <w:t>aterial</w:t>
      </w:r>
    </w:p>
    <w:p w14:paraId="31E3EB4E" w14:textId="77777777" w:rsidR="00032A35" w:rsidRPr="000745A1" w:rsidRDefault="00032A35" w:rsidP="0025395C">
      <w:pPr>
        <w:spacing w:after="0" w:line="360" w:lineRule="auto"/>
        <w:jc w:val="both"/>
        <w:rPr>
          <w:rFonts w:ascii="Times New Roman" w:hAnsi="Times New Roman" w:cs="Times New Roman"/>
          <w:b/>
        </w:rPr>
      </w:pPr>
    </w:p>
    <w:p w14:paraId="26F3FEE8" w14:textId="29F2167F" w:rsidR="0025395C" w:rsidRPr="000745A1" w:rsidRDefault="00B80394" w:rsidP="000745A1">
      <w:pPr>
        <w:spacing w:before="120" w:after="240" w:line="480" w:lineRule="auto"/>
        <w:rPr>
          <w:rFonts w:ascii="Times New Roman" w:hAnsi="Times New Roman" w:cs="Times New Roman"/>
          <w:b/>
        </w:rPr>
      </w:pPr>
      <w:r w:rsidRPr="000745A1">
        <w:rPr>
          <w:rFonts w:ascii="Times New Roman" w:hAnsi="Times New Roman" w:cs="Times New Roman"/>
          <w:b/>
        </w:rPr>
        <w:t>Clinical and genetic spectrum of inborn errors of immunity in a tertiary care cent</w:t>
      </w:r>
      <w:r w:rsidR="000745A1">
        <w:rPr>
          <w:rFonts w:ascii="Times New Roman" w:hAnsi="Times New Roman" w:cs="Times New Roman"/>
          <w:b/>
        </w:rPr>
        <w:t>er</w:t>
      </w:r>
      <w:r w:rsidRPr="000745A1">
        <w:rPr>
          <w:rFonts w:ascii="Times New Roman" w:hAnsi="Times New Roman" w:cs="Times New Roman"/>
          <w:b/>
        </w:rPr>
        <w:t xml:space="preserve"> in Southern India</w:t>
      </w:r>
    </w:p>
    <w:p w14:paraId="7986C566" w14:textId="79AA7441"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Group 1</w:t>
      </w:r>
      <w:r w:rsidR="004A0C79">
        <w:rPr>
          <w:rFonts w:ascii="Times New Roman" w:hAnsi="Times New Roman" w:cs="Times New Roman"/>
          <w:b/>
          <w:color w:val="231F20"/>
        </w:rPr>
        <w:t>:</w:t>
      </w:r>
      <w:r w:rsidRPr="000745A1">
        <w:rPr>
          <w:rFonts w:ascii="Times New Roman" w:hAnsi="Times New Roman" w:cs="Times New Roman"/>
          <w:b/>
          <w:color w:val="231F20"/>
        </w:rPr>
        <w:t xml:space="preserve"> Immunodeficiencies affecting cellular and humoral immunity (</w:t>
      </w:r>
      <w:r w:rsidRPr="000745A1">
        <w:rPr>
          <w:rFonts w:ascii="Times New Roman" w:hAnsi="Times New Roman" w:cs="Times New Roman"/>
          <w:b/>
          <w:i/>
          <w:color w:val="231F20"/>
        </w:rPr>
        <w:t>n</w:t>
      </w:r>
      <w:r w:rsidR="000745A1">
        <w:rPr>
          <w:rFonts w:ascii="Times New Roman" w:hAnsi="Times New Roman" w:cs="Times New Roman"/>
          <w:b/>
          <w:color w:val="231F20"/>
        </w:rPr>
        <w:t xml:space="preserve"> </w:t>
      </w:r>
      <w:r w:rsidRPr="000745A1">
        <w:rPr>
          <w:rFonts w:ascii="Times New Roman" w:hAnsi="Times New Roman" w:cs="Times New Roman"/>
          <w:b/>
          <w:color w:val="231F20"/>
        </w:rPr>
        <w:t>=</w:t>
      </w:r>
      <w:r w:rsidR="000745A1">
        <w:rPr>
          <w:rFonts w:ascii="Times New Roman" w:hAnsi="Times New Roman" w:cs="Times New Roman"/>
          <w:b/>
          <w:color w:val="231F20"/>
        </w:rPr>
        <w:t xml:space="preserve"> </w:t>
      </w:r>
      <w:r w:rsidRPr="000745A1">
        <w:rPr>
          <w:rFonts w:ascii="Times New Roman" w:hAnsi="Times New Roman" w:cs="Times New Roman"/>
          <w:b/>
          <w:color w:val="231F20"/>
        </w:rPr>
        <w:t>21)</w:t>
      </w:r>
    </w:p>
    <w:p w14:paraId="424FBFF5" w14:textId="47CBD2CD"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 xml:space="preserve">Severe </w:t>
      </w:r>
      <w:r w:rsidR="004A0C79">
        <w:rPr>
          <w:rFonts w:ascii="Times New Roman" w:hAnsi="Times New Roman" w:cs="Times New Roman"/>
          <w:b/>
          <w:color w:val="231F20"/>
        </w:rPr>
        <w:t>c</w:t>
      </w:r>
      <w:r w:rsidRPr="000745A1">
        <w:rPr>
          <w:rFonts w:ascii="Times New Roman" w:hAnsi="Times New Roman" w:cs="Times New Roman"/>
          <w:b/>
          <w:color w:val="231F20"/>
        </w:rPr>
        <w:t xml:space="preserve">ombined </w:t>
      </w:r>
      <w:r w:rsidR="004A0C79">
        <w:rPr>
          <w:rFonts w:ascii="Times New Roman" w:hAnsi="Times New Roman" w:cs="Times New Roman"/>
          <w:b/>
          <w:color w:val="231F20"/>
        </w:rPr>
        <w:t>i</w:t>
      </w:r>
      <w:r w:rsidRPr="000745A1">
        <w:rPr>
          <w:rFonts w:ascii="Times New Roman" w:hAnsi="Times New Roman" w:cs="Times New Roman"/>
          <w:b/>
          <w:color w:val="231F20"/>
        </w:rPr>
        <w:t>mmunodeficiency (SCID)</w:t>
      </w:r>
    </w:p>
    <w:p w14:paraId="0883F50C" w14:textId="6B0B91A0"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t>A total of 1</w:t>
      </w:r>
      <w:r w:rsidR="00DC33ED" w:rsidRPr="000745A1">
        <w:rPr>
          <w:rFonts w:ascii="Times New Roman" w:hAnsi="Times New Roman" w:cs="Times New Roman"/>
          <w:color w:val="231F20"/>
        </w:rPr>
        <w:t>0</w:t>
      </w:r>
      <w:r w:rsidR="00EA61B7">
        <w:rPr>
          <w:rFonts w:ascii="Times New Roman" w:hAnsi="Times New Roman" w:cs="Times New Roman"/>
          <w:color w:val="231F20"/>
        </w:rPr>
        <w:t xml:space="preserve"> children (aged 7 d to 15 mo</w:t>
      </w:r>
      <w:r w:rsidRPr="000745A1">
        <w:rPr>
          <w:rFonts w:ascii="Times New Roman" w:hAnsi="Times New Roman" w:cs="Times New Roman"/>
          <w:color w:val="231F20"/>
        </w:rPr>
        <w:t xml:space="preserve">) were diagnosed with SCID. Nine of them were infants and </w:t>
      </w:r>
      <w:r w:rsidR="00A16E55">
        <w:rPr>
          <w:rFonts w:ascii="Times New Roman" w:hAnsi="Times New Roman" w:cs="Times New Roman"/>
          <w:color w:val="231F20"/>
        </w:rPr>
        <w:t xml:space="preserve">remaining one was </w:t>
      </w:r>
      <w:r w:rsidR="00EA61B7">
        <w:rPr>
          <w:rFonts w:ascii="Times New Roman" w:hAnsi="Times New Roman" w:cs="Times New Roman"/>
          <w:color w:val="231F20"/>
        </w:rPr>
        <w:t>15 mo</w:t>
      </w:r>
      <w:r w:rsidRPr="000745A1">
        <w:rPr>
          <w:rFonts w:ascii="Times New Roman" w:hAnsi="Times New Roman" w:cs="Times New Roman"/>
          <w:color w:val="231F20"/>
        </w:rPr>
        <w:t xml:space="preserve"> old</w:t>
      </w:r>
      <w:r w:rsidR="00DC33ED" w:rsidRPr="000745A1">
        <w:rPr>
          <w:rFonts w:ascii="Times New Roman" w:hAnsi="Times New Roman" w:cs="Times New Roman"/>
          <w:color w:val="231F20"/>
        </w:rPr>
        <w:t xml:space="preserve"> boy</w:t>
      </w:r>
      <w:r w:rsidRPr="000745A1">
        <w:rPr>
          <w:rFonts w:ascii="Times New Roman" w:hAnsi="Times New Roman" w:cs="Times New Roman"/>
          <w:color w:val="231F20"/>
        </w:rPr>
        <w:t>. They were referred with recurrent infection</w:t>
      </w:r>
      <w:r w:rsidR="00917F6C" w:rsidRPr="000745A1">
        <w:rPr>
          <w:rFonts w:ascii="Times New Roman" w:hAnsi="Times New Roman" w:cs="Times New Roman"/>
          <w:color w:val="231F20"/>
        </w:rPr>
        <w:t>s, Cytopenia</w:t>
      </w:r>
      <w:r w:rsidR="00884790">
        <w:rPr>
          <w:rFonts w:ascii="Times New Roman" w:hAnsi="Times New Roman" w:cs="Times New Roman"/>
          <w:color w:val="231F20"/>
        </w:rPr>
        <w:t xml:space="preserve">, </w:t>
      </w:r>
      <w:r w:rsidR="00B80394" w:rsidRPr="000745A1">
        <w:rPr>
          <w:rFonts w:ascii="Times New Roman" w:hAnsi="Times New Roman" w:cs="Times New Roman"/>
          <w:color w:val="231F20"/>
        </w:rPr>
        <w:t>pyrexia of u</w:t>
      </w:r>
      <w:r w:rsidRPr="000745A1">
        <w:rPr>
          <w:rFonts w:ascii="Times New Roman" w:hAnsi="Times New Roman" w:cs="Times New Roman"/>
          <w:color w:val="231F20"/>
        </w:rPr>
        <w:t>nknown origin (PUO)</w:t>
      </w:r>
      <w:r w:rsidR="00917F6C" w:rsidRPr="000745A1">
        <w:rPr>
          <w:rFonts w:ascii="Times New Roman" w:hAnsi="Times New Roman" w:cs="Times New Roman"/>
          <w:color w:val="231F20"/>
        </w:rPr>
        <w:t>, Eczematous rash</w:t>
      </w:r>
      <w:r w:rsidRPr="000745A1">
        <w:rPr>
          <w:rFonts w:ascii="Times New Roman" w:hAnsi="Times New Roman" w:cs="Times New Roman"/>
          <w:color w:val="231F20"/>
        </w:rPr>
        <w:t xml:space="preserve"> with Omen</w:t>
      </w:r>
      <w:r w:rsidR="008B081A" w:rsidRPr="000745A1">
        <w:rPr>
          <w:rFonts w:ascii="Times New Roman" w:hAnsi="Times New Roman" w:cs="Times New Roman"/>
          <w:color w:val="231F20"/>
        </w:rPr>
        <w:t>n</w:t>
      </w:r>
      <w:r w:rsidRPr="000745A1">
        <w:rPr>
          <w:rFonts w:ascii="Times New Roman" w:hAnsi="Times New Roman" w:cs="Times New Roman"/>
          <w:color w:val="231F20"/>
        </w:rPr>
        <w:t xml:space="preserve">'s syndrome </w:t>
      </w:r>
      <w:r w:rsidR="00917F6C" w:rsidRPr="000745A1">
        <w:rPr>
          <w:rFonts w:ascii="Times New Roman" w:hAnsi="Times New Roman" w:cs="Times New Roman"/>
          <w:color w:val="231F20"/>
        </w:rPr>
        <w:t>phenotype, t</w:t>
      </w:r>
      <w:r w:rsidRPr="000745A1">
        <w:rPr>
          <w:rFonts w:ascii="Times New Roman" w:hAnsi="Times New Roman" w:cs="Times New Roman"/>
          <w:color w:val="231F20"/>
        </w:rPr>
        <w:t>ubercular meningitis and pulmonary tuberculosis</w:t>
      </w:r>
      <w:r w:rsidR="00EA61B7">
        <w:rPr>
          <w:rFonts w:ascii="Times New Roman" w:hAnsi="Times New Roman" w:cs="Times New Roman"/>
          <w:color w:val="231F20"/>
        </w:rPr>
        <w:t xml:space="preserve"> (3 mo</w:t>
      </w:r>
      <w:r w:rsidR="00917F6C" w:rsidRPr="000745A1">
        <w:rPr>
          <w:rFonts w:ascii="Times New Roman" w:hAnsi="Times New Roman" w:cs="Times New Roman"/>
          <w:color w:val="231F20"/>
        </w:rPr>
        <w:t>), persistent diarrhoea</w:t>
      </w:r>
      <w:r w:rsidRPr="000745A1">
        <w:rPr>
          <w:rFonts w:ascii="Times New Roman" w:hAnsi="Times New Roman" w:cs="Times New Roman"/>
          <w:color w:val="231F20"/>
        </w:rPr>
        <w:t xml:space="preserve"> and one child with failure to thrive. Barring </w:t>
      </w:r>
      <w:r w:rsidR="006C314E" w:rsidRPr="000745A1">
        <w:rPr>
          <w:rFonts w:ascii="Times New Roman" w:hAnsi="Times New Roman" w:cs="Times New Roman"/>
          <w:color w:val="231F20"/>
        </w:rPr>
        <w:t>three</w:t>
      </w:r>
      <w:r w:rsidRPr="000745A1">
        <w:rPr>
          <w:rFonts w:ascii="Times New Roman" w:hAnsi="Times New Roman" w:cs="Times New Roman"/>
          <w:color w:val="231F20"/>
        </w:rPr>
        <w:t xml:space="preserve"> patients, all had low absolute lymphocyte count for the age </w:t>
      </w:r>
      <w:r w:rsidRPr="000745A1">
        <w:rPr>
          <w:rFonts w:ascii="Times New Roman" w:hAnsi="Times New Roman" w:cs="Times New Roman"/>
          <w:color w:val="231F20"/>
        </w:rPr>
        <w:fldChar w:fldCharType="begin" w:fldLock="1"/>
      </w:r>
      <w:r w:rsidRPr="000745A1">
        <w:rPr>
          <w:rFonts w:ascii="Times New Roman" w:hAnsi="Times New Roman" w:cs="Times New Roman"/>
          <w:color w:val="231F20"/>
        </w:rPr>
        <w:instrText>ADDIN CSL_CITATION {"citationItems":[{"id":"ITEM-1","itemData":{"DOI":"10.4103/IJPM.IJPM_542_16","ISSN":"09745130","abstract":"Background: In children, innate and adaptive immunity varies with age, disease status, and ethnicity, reflected by lymphocyte subsets and serum immunoglobulin (Ig) levels. The paucity of such data from the Indian subcontinent necessitated this study. Aims: This study aims to determine reference ranges of Ig and lymphocyte subsets in Indian children from birth to 5 years. Settings and Design: Neonates, infants, and children from a tertiary care hospital were selected and categorized into 5 groups from cord blood/newborn to 5 years. Materials and Methods: Samples were taken from cord blood and healthy children up to 5 years of age. Complete blood counts, serum Ig levels (by turbidimetry), and lymphocyte subsets (by flow cytometry) were studied, and reference ranges calculated. Results: Four hundred and three samples were analyzed; 53 from cord blood and 350 from children 1 month to 5 years. High IgG levels were noted at birth, which decreased in the first 6 months followed by a rise thereafter. IgM remained low in infancy and peaked at 13-36 months. IgA levels were very low at birth but increased with age. CD4 counts were high in cord blood till 3 years of age and then declined. CD8 and CD19 counts remained steady till 5 years of age. CD56 increased after the age of 2 years. Conclusions: While our data correlated well with published literature, notable differences were higher IgM levels seen in 1-3 years' age group and higher natural killer cells through all age groups in our study. Our results provide the largest database of its kind from our country.","author":[{"dropping-particle":"","family":"Narula","given":"Gaurav","non-dropping-particle":"","parse-names":false,"suffix":""},{"dropping-particle":"","family":"Khodaiji","given":"Shanaz","non-dropping-particle":"","parse-names":false,"suffix":""},{"dropping-particle":"","family":"Bableshwar","given":"Arun","non-dropping-particle":"","parse-names":false,"suffix":""},{"dropping-particle":"","family":"Bindra","given":"Manjeet","non-dropping-particle":"","parse-names":false,"suffix":""}],"container-title":"Indian Journal of Pathology and Microbiology","id":"ITEM-1","issued":{"date-parts":[["2017"]]},"title":"Age-related reference intervals for immunoglobulin levels and lymphocyte subsets in Indian children","type":"article-journal"},"uris":["http://www.mendeley.com/documents/?uuid=17f4074c-eebd-4c42-8961-905c7a9ca5fe"]},{"id":"ITEM-2","itemData":{"DOI":"10.1002/cyto.a.22520","ISSN":"15524930","abstract":"Immunophenotyping of blood lymphocyte subsets and activation markers is a basic tool in the diagnostic process of primary immunodeficiency diseases, its use becoming more and more widespread as the knowledge about these illnesses increases. However, the availability of reliable reference values, which need to be age-matched for the pediatric population, is a pre-requisite for the reliable interpretation of immunophenotyping data. Aim of this study is to analyze the lymphocyte subsets and activation markers distribution in children aged 0-18 years referring to the University Hospital of Padova and to create age-matched reference values expressed by percentiles, thus providing a valuable guideline for the interpretation of the immunophenotype.","author":[{"dropping-particle":"","family":"Tosato","given":"F.","non-dropping-particle":"","parse-names":false,"suffix":""},{"dropping-particle":"","family":"Bucciol","given":"G.","non-dropping-particle":"","parse-names":false,"suffix":""},{"dropping-particle":"","family":"Pantano","given":"G.","non-dropping-particle":"","parse-names":false,"suffix":""},{"dropping-particle":"","family":"Putti","given":"M. C.","non-dropping-particle":"","parse-names":false,"suffix":""},{"dropping-particle":"","family":"Sanzari","given":"M. C.","non-dropping-particle":"","parse-names":false,"suffix":""},{"dropping-particle":"","family":"Basso","given":"G.","non-dropping-particle":"","parse-names":false,"suffix":""},{"dropping-particle":"","family":"Plebani","given":"M.","non-dropping-particle":"","parse-names":false,"suffix":""}],"container-title":"Cytometry Part A","id":"ITEM-2","issued":{"date-parts":[["2015"]]},"title":"Lymphocytes subsets reference values in childhood","type":"article-journal"},"uris":["http://www.mendeley.com/documents/?uuid=dc73f88c-8783-43f1-8f44-c6b249141129"]}],"mendeley":{"formattedCitation":"[18,20]","plainTextFormattedCitation":"[18,20]","previouslyFormattedCitation":"[18,20]"},"properties":{"noteIndex":0},"schema":"https://github.com/citation-style-language/schema/raw/master/csl-citation.json"}</w:instrText>
      </w:r>
      <w:r w:rsidRPr="000745A1">
        <w:rPr>
          <w:rFonts w:ascii="Times New Roman" w:hAnsi="Times New Roman" w:cs="Times New Roman"/>
          <w:color w:val="231F20"/>
        </w:rPr>
        <w:fldChar w:fldCharType="separate"/>
      </w:r>
      <w:r w:rsidR="00E9757E">
        <w:rPr>
          <w:rFonts w:ascii="Times New Roman" w:hAnsi="Times New Roman" w:cs="Times New Roman"/>
          <w:noProof/>
          <w:color w:val="231F20"/>
        </w:rPr>
        <w:t>[1</w:t>
      </w:r>
      <w:r w:rsidRPr="000745A1">
        <w:rPr>
          <w:rFonts w:ascii="Times New Roman" w:hAnsi="Times New Roman" w:cs="Times New Roman"/>
          <w:noProof/>
          <w:color w:val="231F20"/>
        </w:rPr>
        <w:t>,</w:t>
      </w:r>
      <w:r w:rsidR="007F5A8E">
        <w:rPr>
          <w:rFonts w:ascii="Times New Roman" w:hAnsi="Times New Roman" w:cs="Times New Roman"/>
          <w:noProof/>
          <w:color w:val="231F20"/>
        </w:rPr>
        <w:t xml:space="preserve"> </w:t>
      </w:r>
      <w:r w:rsidR="00E9757E">
        <w:rPr>
          <w:rFonts w:ascii="Times New Roman" w:hAnsi="Times New Roman" w:cs="Times New Roman"/>
          <w:noProof/>
          <w:color w:val="231F20"/>
        </w:rPr>
        <w:t>2</w:t>
      </w:r>
      <w:r w:rsidRPr="000745A1">
        <w:rPr>
          <w:rFonts w:ascii="Times New Roman" w:hAnsi="Times New Roman" w:cs="Times New Roman"/>
          <w:noProof/>
          <w:color w:val="231F20"/>
        </w:rPr>
        <w:t>]</w:t>
      </w:r>
      <w:r w:rsidRPr="000745A1">
        <w:rPr>
          <w:rFonts w:ascii="Times New Roman" w:hAnsi="Times New Roman" w:cs="Times New Roman"/>
          <w:color w:val="231F20"/>
        </w:rPr>
        <w:fldChar w:fldCharType="end"/>
      </w:r>
      <w:r w:rsidRPr="000745A1">
        <w:rPr>
          <w:rFonts w:ascii="Times New Roman" w:hAnsi="Times New Roman" w:cs="Times New Roman"/>
          <w:color w:val="231F20"/>
        </w:rPr>
        <w:t>. Thymic</w:t>
      </w:r>
      <w:r w:rsidR="00B85610" w:rsidRPr="000745A1">
        <w:rPr>
          <w:rFonts w:ascii="Times New Roman" w:hAnsi="Times New Roman" w:cs="Times New Roman"/>
          <w:color w:val="231F20"/>
        </w:rPr>
        <w:t xml:space="preserve"> shadow was absent in 6 /10 children</w:t>
      </w:r>
      <w:r w:rsidRPr="000745A1">
        <w:rPr>
          <w:rFonts w:ascii="Times New Roman" w:hAnsi="Times New Roman" w:cs="Times New Roman"/>
          <w:color w:val="231F20"/>
        </w:rPr>
        <w:t>. L</w:t>
      </w:r>
      <w:r w:rsidR="00917F6C" w:rsidRPr="000745A1">
        <w:rPr>
          <w:rFonts w:ascii="Times New Roman" w:hAnsi="Times New Roman" w:cs="Times New Roman"/>
          <w:color w:val="231F20"/>
        </w:rPr>
        <w:t xml:space="preserve">ymphocyte </w:t>
      </w:r>
      <w:r w:rsidRPr="000745A1">
        <w:rPr>
          <w:rFonts w:ascii="Times New Roman" w:hAnsi="Times New Roman" w:cs="Times New Roman"/>
          <w:color w:val="231F20"/>
        </w:rPr>
        <w:t>subsets</w:t>
      </w:r>
      <w:r w:rsidR="0053192E" w:rsidRPr="000745A1">
        <w:rPr>
          <w:rFonts w:ascii="Times New Roman" w:hAnsi="Times New Roman" w:cs="Times New Roman"/>
          <w:color w:val="231F20"/>
        </w:rPr>
        <w:t xml:space="preserve"> (LSS)</w:t>
      </w:r>
      <w:r w:rsidR="002D10E4">
        <w:rPr>
          <w:rFonts w:ascii="Times New Roman" w:hAnsi="Times New Roman" w:cs="Times New Roman"/>
          <w:color w:val="231F20"/>
        </w:rPr>
        <w:t xml:space="preserve"> showed T</w:t>
      </w:r>
      <w:r w:rsidRPr="000745A1">
        <w:rPr>
          <w:rFonts w:ascii="Times New Roman" w:hAnsi="Times New Roman" w:cs="Times New Roman"/>
          <w:color w:val="231F20"/>
        </w:rPr>
        <w:t xml:space="preserve">–B+NK+ in </w:t>
      </w:r>
      <w:r w:rsidR="006C314E" w:rsidRPr="000745A1">
        <w:rPr>
          <w:rFonts w:ascii="Times New Roman" w:hAnsi="Times New Roman" w:cs="Times New Roman"/>
          <w:color w:val="231F20"/>
        </w:rPr>
        <w:t xml:space="preserve">3 patients, two infants each with </w:t>
      </w:r>
      <w:r w:rsidRPr="000745A1">
        <w:rPr>
          <w:rFonts w:ascii="Times New Roman" w:hAnsi="Times New Roman" w:cs="Times New Roman"/>
          <w:color w:val="231F20"/>
        </w:rPr>
        <w:t xml:space="preserve">T- B+ NK- </w:t>
      </w:r>
      <w:r w:rsidR="00917F6C" w:rsidRPr="000745A1">
        <w:rPr>
          <w:rFonts w:ascii="Times New Roman" w:hAnsi="Times New Roman" w:cs="Times New Roman"/>
          <w:color w:val="231F20"/>
        </w:rPr>
        <w:t>and</w:t>
      </w:r>
      <w:r w:rsidRPr="000745A1">
        <w:rPr>
          <w:rFonts w:ascii="Times New Roman" w:hAnsi="Times New Roman" w:cs="Times New Roman"/>
          <w:color w:val="231F20"/>
        </w:rPr>
        <w:t xml:space="preserve"> T-B-NK- </w:t>
      </w:r>
      <w:r w:rsidR="006C314E" w:rsidRPr="000745A1">
        <w:rPr>
          <w:rFonts w:ascii="Times New Roman" w:hAnsi="Times New Roman" w:cs="Times New Roman"/>
          <w:color w:val="231F20"/>
        </w:rPr>
        <w:t xml:space="preserve"> subsets.</w:t>
      </w:r>
      <w:r w:rsidRPr="000745A1">
        <w:rPr>
          <w:rFonts w:ascii="Times New Roman" w:hAnsi="Times New Roman" w:cs="Times New Roman"/>
          <w:color w:val="231F20"/>
        </w:rPr>
        <w:t xml:space="preserve"> One child had a mutation in the IL2 RG gene diagnosed a few weeks after death and his brother also died at </w:t>
      </w:r>
      <w:r w:rsidR="00EA61B7">
        <w:rPr>
          <w:rFonts w:ascii="Times New Roman" w:hAnsi="Times New Roman" w:cs="Times New Roman"/>
          <w:color w:val="231F20"/>
        </w:rPr>
        <w:t>10 mo</w:t>
      </w:r>
      <w:r w:rsidRPr="000745A1">
        <w:rPr>
          <w:rFonts w:ascii="Times New Roman" w:hAnsi="Times New Roman" w:cs="Times New Roman"/>
          <w:color w:val="231F20"/>
        </w:rPr>
        <w:t xml:space="preserve"> of age with severe infection (both of them did not have lymphocyte subsets estimation). Unfortunately, all of them </w:t>
      </w:r>
      <w:r w:rsidR="006C314E" w:rsidRPr="000745A1">
        <w:rPr>
          <w:rFonts w:ascii="Times New Roman" w:hAnsi="Times New Roman" w:cs="Times New Roman"/>
          <w:color w:val="231F20"/>
        </w:rPr>
        <w:t>died</w:t>
      </w:r>
      <w:r w:rsidRPr="000745A1">
        <w:rPr>
          <w:rFonts w:ascii="Times New Roman" w:hAnsi="Times New Roman" w:cs="Times New Roman"/>
          <w:color w:val="231F20"/>
        </w:rPr>
        <w:t>. One underwent HSCT, however, died a few months later with an infection.</w:t>
      </w:r>
    </w:p>
    <w:p w14:paraId="7B0417B7" w14:textId="1A42EAE3" w:rsidR="00550EF9" w:rsidRPr="000745A1" w:rsidRDefault="004A2E59" w:rsidP="000745A1">
      <w:pPr>
        <w:autoSpaceDE w:val="0"/>
        <w:autoSpaceDN w:val="0"/>
        <w:adjustRightInd w:val="0"/>
        <w:spacing w:before="240" w:after="0" w:line="480" w:lineRule="auto"/>
        <w:jc w:val="both"/>
        <w:rPr>
          <w:rFonts w:ascii="Times New Roman" w:hAnsi="Times New Roman" w:cs="Times New Roman"/>
          <w:b/>
          <w:bCs/>
          <w:iCs/>
        </w:rPr>
      </w:pPr>
      <w:r w:rsidRPr="000745A1">
        <w:rPr>
          <w:rFonts w:ascii="Times New Roman" w:hAnsi="Times New Roman" w:cs="Times New Roman"/>
          <w:color w:val="231F20"/>
        </w:rPr>
        <w:t>The remaining 1</w:t>
      </w:r>
      <w:r w:rsidR="006C314E" w:rsidRPr="000745A1">
        <w:rPr>
          <w:rFonts w:ascii="Times New Roman" w:hAnsi="Times New Roman" w:cs="Times New Roman"/>
          <w:color w:val="231F20"/>
        </w:rPr>
        <w:t>1</w:t>
      </w:r>
      <w:r w:rsidRPr="000745A1">
        <w:rPr>
          <w:rFonts w:ascii="Times New Roman" w:hAnsi="Times New Roman" w:cs="Times New Roman"/>
          <w:color w:val="231F20"/>
        </w:rPr>
        <w:t xml:space="preserve"> patients were diagnosed to have combined immunodeficiency (CID) generally less profound than severe combined immunodeficiency. </w:t>
      </w:r>
      <w:r w:rsidR="005D494A" w:rsidRPr="000745A1">
        <w:rPr>
          <w:rFonts w:ascii="Times New Roman" w:hAnsi="Times New Roman" w:cs="Times New Roman"/>
          <w:color w:val="231F20"/>
        </w:rPr>
        <w:t xml:space="preserve">Three </w:t>
      </w:r>
      <w:r w:rsidRPr="000745A1">
        <w:rPr>
          <w:rFonts w:ascii="Times New Roman" w:hAnsi="Times New Roman" w:cs="Times New Roman"/>
          <w:color w:val="231F20"/>
        </w:rPr>
        <w:t>of them had low CD4 counts</w:t>
      </w:r>
      <w:r w:rsidR="005D494A" w:rsidRPr="000745A1">
        <w:rPr>
          <w:rFonts w:ascii="Times New Roman" w:hAnsi="Times New Roman" w:cs="Times New Roman"/>
          <w:color w:val="231F20"/>
        </w:rPr>
        <w:t>, two children with high IgE levels and diagnosed to have DOCK 8 deficiency and</w:t>
      </w:r>
      <w:r w:rsidR="002619C9" w:rsidRPr="000745A1">
        <w:rPr>
          <w:rFonts w:ascii="Times New Roman" w:hAnsi="Times New Roman" w:cs="Times New Roman"/>
          <w:color w:val="231F20"/>
        </w:rPr>
        <w:t xml:space="preserve"> </w:t>
      </w:r>
      <w:r w:rsidRPr="000745A1">
        <w:rPr>
          <w:rFonts w:ascii="Times New Roman" w:hAnsi="Times New Roman" w:cs="Times New Roman"/>
          <w:color w:val="231F20"/>
        </w:rPr>
        <w:t xml:space="preserve">one </w:t>
      </w:r>
      <w:r w:rsidR="005D494A" w:rsidRPr="000745A1">
        <w:rPr>
          <w:rFonts w:ascii="Times New Roman" w:hAnsi="Times New Roman" w:cs="Times New Roman"/>
          <w:color w:val="231F20"/>
        </w:rPr>
        <w:t xml:space="preserve">adolescent boy developed </w:t>
      </w:r>
      <w:r w:rsidRPr="000745A1">
        <w:rPr>
          <w:rFonts w:ascii="Times New Roman" w:hAnsi="Times New Roman" w:cs="Times New Roman"/>
          <w:color w:val="231F20"/>
        </w:rPr>
        <w:t>Listeria monocytogenes meningitis</w:t>
      </w:r>
      <w:r w:rsidR="005D494A" w:rsidRPr="000745A1">
        <w:rPr>
          <w:rFonts w:ascii="Times New Roman" w:hAnsi="Times New Roman" w:cs="Times New Roman"/>
          <w:color w:val="231F20"/>
        </w:rPr>
        <w:t xml:space="preserve">. Another child </w:t>
      </w:r>
      <w:r w:rsidRPr="000745A1">
        <w:rPr>
          <w:rFonts w:ascii="Times New Roman" w:hAnsi="Times New Roman" w:cs="Times New Roman"/>
          <w:color w:val="231F20"/>
        </w:rPr>
        <w:t xml:space="preserve">had a life-threatening infection with low CD8 counts suspecting ZAP 70 defect. The remaining </w:t>
      </w:r>
      <w:r w:rsidR="005D494A" w:rsidRPr="000745A1">
        <w:rPr>
          <w:rFonts w:ascii="Times New Roman" w:hAnsi="Times New Roman" w:cs="Times New Roman"/>
          <w:color w:val="231F20"/>
        </w:rPr>
        <w:t xml:space="preserve">seven </w:t>
      </w:r>
      <w:r w:rsidRPr="000745A1">
        <w:rPr>
          <w:rFonts w:ascii="Times New Roman" w:hAnsi="Times New Roman" w:cs="Times New Roman"/>
          <w:color w:val="231F20"/>
        </w:rPr>
        <w:t xml:space="preserve">children met the ESID clinical criteria of CID but not had a specific PID diagnosis. </w:t>
      </w:r>
      <w:r w:rsidR="0048505A" w:rsidRPr="000745A1">
        <w:rPr>
          <w:rFonts w:ascii="Times New Roman" w:hAnsi="Times New Roman" w:cs="Times New Roman"/>
          <w:color w:val="231F20"/>
        </w:rPr>
        <w:t xml:space="preserve">Of the two </w:t>
      </w:r>
      <w:r w:rsidR="00B85610" w:rsidRPr="000745A1">
        <w:rPr>
          <w:rFonts w:ascii="Times New Roman" w:hAnsi="Times New Roman" w:cs="Times New Roman"/>
          <w:color w:val="231F20"/>
        </w:rPr>
        <w:t>patient</w:t>
      </w:r>
      <w:r w:rsidR="0048505A" w:rsidRPr="000745A1">
        <w:rPr>
          <w:rFonts w:ascii="Times New Roman" w:hAnsi="Times New Roman" w:cs="Times New Roman"/>
          <w:color w:val="231F20"/>
        </w:rPr>
        <w:t>s diagnosed with DOCK 8 defici</w:t>
      </w:r>
      <w:r w:rsidR="00EA61B7">
        <w:rPr>
          <w:rFonts w:ascii="Times New Roman" w:hAnsi="Times New Roman" w:cs="Times New Roman"/>
          <w:color w:val="231F20"/>
        </w:rPr>
        <w:t>ency, one presented at 11 mo</w:t>
      </w:r>
      <w:r w:rsidR="0048505A" w:rsidRPr="000745A1">
        <w:rPr>
          <w:rFonts w:ascii="Times New Roman" w:hAnsi="Times New Roman" w:cs="Times New Roman"/>
          <w:color w:val="231F20"/>
        </w:rPr>
        <w:t xml:space="preserve"> with generalized disseminated persistent warts and another with eczema and recurrent respiratory infections at 6 </w:t>
      </w:r>
      <w:r w:rsidR="00EA61B7">
        <w:rPr>
          <w:rFonts w:ascii="Times New Roman" w:hAnsi="Times New Roman" w:cs="Times New Roman"/>
          <w:color w:val="231F20"/>
        </w:rPr>
        <w:t>mo</w:t>
      </w:r>
      <w:r w:rsidR="003277C7" w:rsidRPr="000745A1">
        <w:rPr>
          <w:rFonts w:ascii="Times New Roman" w:hAnsi="Times New Roman" w:cs="Times New Roman"/>
          <w:color w:val="231F20"/>
        </w:rPr>
        <w:t xml:space="preserve">. Both children </w:t>
      </w:r>
      <w:r w:rsidR="0048505A" w:rsidRPr="000745A1">
        <w:rPr>
          <w:rFonts w:ascii="Times New Roman" w:hAnsi="Times New Roman" w:cs="Times New Roman"/>
          <w:color w:val="231F20"/>
        </w:rPr>
        <w:t>had high Immunoglobulin E levels of 5895IU/mL and 6340IU/mL respectively. The LSS was performe</w:t>
      </w:r>
      <w:r w:rsidR="003277C7" w:rsidRPr="000745A1">
        <w:rPr>
          <w:rFonts w:ascii="Times New Roman" w:hAnsi="Times New Roman" w:cs="Times New Roman"/>
          <w:color w:val="231F20"/>
        </w:rPr>
        <w:t>d on the second child showed</w:t>
      </w:r>
      <w:r w:rsidR="0048505A" w:rsidRPr="000745A1">
        <w:rPr>
          <w:rFonts w:ascii="Times New Roman" w:hAnsi="Times New Roman" w:cs="Times New Roman"/>
          <w:color w:val="231F20"/>
        </w:rPr>
        <w:t xml:space="preserve"> low lymphocyte count and </w:t>
      </w:r>
      <w:r w:rsidR="003277C7" w:rsidRPr="000745A1">
        <w:rPr>
          <w:rFonts w:ascii="Times New Roman" w:hAnsi="Times New Roman" w:cs="Times New Roman"/>
          <w:color w:val="231F20"/>
        </w:rPr>
        <w:t xml:space="preserve">abnormal </w:t>
      </w:r>
      <w:r w:rsidR="0048505A" w:rsidRPr="000745A1">
        <w:rPr>
          <w:rFonts w:ascii="Times New Roman" w:hAnsi="Times New Roman" w:cs="Times New Roman"/>
          <w:color w:val="231F20"/>
        </w:rPr>
        <w:t>DOCK 8 expression</w:t>
      </w:r>
      <w:r w:rsidR="003277C7" w:rsidRPr="000745A1">
        <w:rPr>
          <w:rFonts w:ascii="Times New Roman" w:hAnsi="Times New Roman" w:cs="Times New Roman"/>
          <w:color w:val="231F20"/>
        </w:rPr>
        <w:t>. was</w:t>
      </w:r>
      <w:r w:rsidR="0048505A" w:rsidRPr="000745A1">
        <w:rPr>
          <w:rFonts w:ascii="Times New Roman" w:hAnsi="Times New Roman" w:cs="Times New Roman"/>
          <w:color w:val="231F20"/>
        </w:rPr>
        <w:t>. In t</w:t>
      </w:r>
      <w:r w:rsidR="003277C7" w:rsidRPr="000745A1">
        <w:rPr>
          <w:rFonts w:ascii="Times New Roman" w:hAnsi="Times New Roman" w:cs="Times New Roman"/>
          <w:color w:val="231F20"/>
        </w:rPr>
        <w:t>his patient</w:t>
      </w:r>
      <w:r w:rsidR="0048505A" w:rsidRPr="000745A1">
        <w:rPr>
          <w:rFonts w:ascii="Times New Roman" w:hAnsi="Times New Roman" w:cs="Times New Roman"/>
          <w:color w:val="231F20"/>
        </w:rPr>
        <w:t xml:space="preserve">, </w:t>
      </w:r>
      <w:r w:rsidR="0048505A" w:rsidRPr="000745A1">
        <w:rPr>
          <w:rFonts w:ascii="Times New Roman" w:eastAsia="Times New Roman" w:hAnsi="Times New Roman" w:cs="Times New Roman"/>
          <w:i/>
          <w:iCs/>
          <w:color w:val="000000"/>
          <w:lang w:eastAsia="en-IN"/>
        </w:rPr>
        <w:t xml:space="preserve">DOCK8 </w:t>
      </w:r>
      <w:r w:rsidR="0048505A" w:rsidRPr="000745A1">
        <w:rPr>
          <w:rFonts w:ascii="Times New Roman" w:eastAsia="Times New Roman" w:hAnsi="Times New Roman" w:cs="Times New Roman"/>
          <w:color w:val="000000"/>
          <w:lang w:eastAsia="en-IN"/>
        </w:rPr>
        <w:t xml:space="preserve">(NM_203447.4) c.5625T&gt;Gp. (Tyr1875Ter) the </w:t>
      </w:r>
      <w:r w:rsidR="0048505A" w:rsidRPr="000745A1">
        <w:rPr>
          <w:rFonts w:ascii="Times New Roman" w:eastAsia="Times New Roman" w:hAnsi="Times New Roman" w:cs="Times New Roman"/>
          <w:color w:val="000000"/>
          <w:lang w:eastAsia="en-IN"/>
        </w:rPr>
        <w:lastRenderedPageBreak/>
        <w:t xml:space="preserve">homozygous mutation was found. Both </w:t>
      </w:r>
      <w:r w:rsidR="003277C7" w:rsidRPr="000745A1">
        <w:rPr>
          <w:rFonts w:ascii="Times New Roman" w:eastAsia="Times New Roman" w:hAnsi="Times New Roman" w:cs="Times New Roman"/>
          <w:color w:val="000000"/>
          <w:lang w:eastAsia="en-IN"/>
        </w:rPr>
        <w:t>children with</w:t>
      </w:r>
      <w:r w:rsidR="0048505A" w:rsidRPr="000745A1">
        <w:rPr>
          <w:rFonts w:ascii="Times New Roman" w:eastAsia="Times New Roman" w:hAnsi="Times New Roman" w:cs="Times New Roman"/>
          <w:color w:val="000000"/>
          <w:lang w:eastAsia="en-IN"/>
        </w:rPr>
        <w:t xml:space="preserve"> DOCK8 </w:t>
      </w:r>
      <w:r w:rsidR="0048505A" w:rsidRPr="000745A1">
        <w:rPr>
          <w:rFonts w:ascii="Times New Roman" w:hAnsi="Times New Roman" w:cs="Times New Roman"/>
          <w:color w:val="231F20"/>
        </w:rPr>
        <w:t>defici</w:t>
      </w:r>
      <w:r w:rsidR="00EA61B7">
        <w:rPr>
          <w:rFonts w:ascii="Times New Roman" w:hAnsi="Times New Roman" w:cs="Times New Roman"/>
          <w:color w:val="231F20"/>
        </w:rPr>
        <w:t>ency passed away within 6 mo</w:t>
      </w:r>
      <w:r w:rsidR="0048505A" w:rsidRPr="000745A1">
        <w:rPr>
          <w:rFonts w:ascii="Times New Roman" w:hAnsi="Times New Roman" w:cs="Times New Roman"/>
          <w:color w:val="231F20"/>
        </w:rPr>
        <w:t xml:space="preserve"> of diagnosis due to respiratory tract infections.</w:t>
      </w:r>
    </w:p>
    <w:p w14:paraId="670EC210" w14:textId="77777777" w:rsidR="004A2E59" w:rsidRPr="000745A1" w:rsidRDefault="004A2E59" w:rsidP="004A2E59">
      <w:pPr>
        <w:autoSpaceDE w:val="0"/>
        <w:autoSpaceDN w:val="0"/>
        <w:adjustRightInd w:val="0"/>
        <w:spacing w:after="0" w:line="480" w:lineRule="auto"/>
        <w:jc w:val="both"/>
        <w:rPr>
          <w:rFonts w:ascii="Times New Roman" w:hAnsi="Times New Roman" w:cs="Times New Roman"/>
          <w:b/>
          <w:bCs/>
          <w:iCs/>
        </w:rPr>
      </w:pPr>
    </w:p>
    <w:p w14:paraId="3C37BFF2" w14:textId="25CE5E0C"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bCs/>
          <w:iCs/>
        </w:rPr>
        <w:t>Group II: CID with associ</w:t>
      </w:r>
      <w:r w:rsidR="00F72A0D" w:rsidRPr="000745A1">
        <w:rPr>
          <w:rFonts w:ascii="Times New Roman" w:hAnsi="Times New Roman" w:cs="Times New Roman"/>
          <w:b/>
          <w:bCs/>
          <w:iCs/>
        </w:rPr>
        <w:t>ated or syndromic features (</w:t>
      </w:r>
      <w:r w:rsidR="00F72A0D" w:rsidRPr="000745A1">
        <w:rPr>
          <w:rFonts w:ascii="Times New Roman" w:hAnsi="Times New Roman" w:cs="Times New Roman"/>
          <w:b/>
          <w:bCs/>
          <w:i/>
          <w:iCs/>
        </w:rPr>
        <w:t>n</w:t>
      </w:r>
      <w:r w:rsidR="000745A1">
        <w:rPr>
          <w:rFonts w:ascii="Times New Roman" w:hAnsi="Times New Roman" w:cs="Times New Roman"/>
          <w:b/>
          <w:bCs/>
          <w:iCs/>
        </w:rPr>
        <w:t xml:space="preserve"> </w:t>
      </w:r>
      <w:r w:rsidR="00F72A0D" w:rsidRPr="000745A1">
        <w:rPr>
          <w:rFonts w:ascii="Times New Roman" w:hAnsi="Times New Roman" w:cs="Times New Roman"/>
          <w:b/>
          <w:bCs/>
          <w:iCs/>
        </w:rPr>
        <w:t>=</w:t>
      </w:r>
      <w:r w:rsidR="000745A1">
        <w:rPr>
          <w:rFonts w:ascii="Times New Roman" w:hAnsi="Times New Roman" w:cs="Times New Roman"/>
          <w:b/>
          <w:bCs/>
          <w:iCs/>
        </w:rPr>
        <w:t xml:space="preserve"> </w:t>
      </w:r>
      <w:r w:rsidR="00F72A0D" w:rsidRPr="000745A1">
        <w:rPr>
          <w:rFonts w:ascii="Times New Roman" w:hAnsi="Times New Roman" w:cs="Times New Roman"/>
          <w:b/>
          <w:bCs/>
          <w:iCs/>
        </w:rPr>
        <w:t>2</w:t>
      </w:r>
      <w:r w:rsidR="00550EF9" w:rsidRPr="000745A1">
        <w:rPr>
          <w:rFonts w:ascii="Times New Roman" w:hAnsi="Times New Roman" w:cs="Times New Roman"/>
          <w:b/>
          <w:bCs/>
          <w:iCs/>
        </w:rPr>
        <w:t>1</w:t>
      </w:r>
      <w:r w:rsidRPr="000745A1">
        <w:rPr>
          <w:rFonts w:ascii="Times New Roman" w:hAnsi="Times New Roman" w:cs="Times New Roman"/>
          <w:b/>
          <w:bCs/>
          <w:iCs/>
        </w:rPr>
        <w:t>)</w:t>
      </w:r>
    </w:p>
    <w:p w14:paraId="41CB827A" w14:textId="46258CF8"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Hyper IgE (</w:t>
      </w:r>
      <w:r w:rsidRPr="000745A1">
        <w:rPr>
          <w:rFonts w:ascii="Times New Roman" w:hAnsi="Times New Roman" w:cs="Times New Roman"/>
          <w:b/>
          <w:i/>
          <w:color w:val="231F20"/>
        </w:rPr>
        <w:t>n</w:t>
      </w:r>
      <w:r w:rsidR="000745A1">
        <w:rPr>
          <w:rFonts w:ascii="Times New Roman" w:hAnsi="Times New Roman" w:cs="Times New Roman"/>
          <w:b/>
          <w:color w:val="231F20"/>
        </w:rPr>
        <w:t xml:space="preserve"> </w:t>
      </w:r>
      <w:r w:rsidRPr="000745A1">
        <w:rPr>
          <w:rFonts w:ascii="Times New Roman" w:hAnsi="Times New Roman" w:cs="Times New Roman"/>
          <w:b/>
          <w:color w:val="231F20"/>
        </w:rPr>
        <w:t>=</w:t>
      </w:r>
      <w:r w:rsidR="000745A1">
        <w:rPr>
          <w:rFonts w:ascii="Times New Roman" w:hAnsi="Times New Roman" w:cs="Times New Roman"/>
          <w:b/>
          <w:color w:val="231F20"/>
        </w:rPr>
        <w:t xml:space="preserve"> </w:t>
      </w:r>
      <w:r w:rsidRPr="000745A1">
        <w:rPr>
          <w:rFonts w:ascii="Times New Roman" w:hAnsi="Times New Roman" w:cs="Times New Roman"/>
          <w:b/>
          <w:color w:val="231F20"/>
        </w:rPr>
        <w:t>13)</w:t>
      </w:r>
    </w:p>
    <w:p w14:paraId="37595AD0" w14:textId="45E08F64"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t xml:space="preserve">A common reason for referral in this group of 13 children were eczema, eosinophilia, recurrent infections, and failure to thrive. Oral thrush, eczema,  onychomycosis, episode of pneumonia, abnormal facies, NIH score&gt;40 </w:t>
      </w:r>
      <w:r w:rsidRPr="000745A1">
        <w:rPr>
          <w:rFonts w:ascii="Times New Roman" w:hAnsi="Times New Roman" w:cs="Times New Roman"/>
          <w:color w:val="231F20"/>
        </w:rPr>
        <w:fldChar w:fldCharType="begin" w:fldLock="1"/>
      </w:r>
      <w:r w:rsidRPr="000745A1">
        <w:rPr>
          <w:rFonts w:ascii="Times New Roman" w:hAnsi="Times New Roman" w:cs="Times New Roman"/>
          <w:color w:val="231F20"/>
        </w:rPr>
        <w:instrText>ADDIN CSL_CITATION {"citationItems":[{"id":"ITEM-1","itemData":{"DOI":"10.1016/j.jaci.2010.06.029","ISSN":"00916749","abstract":"Background: Hyper-IgE syndromes (HIES) are primary immunodeficiency disorders characterized by Staphylococcus aureus abscesses, recurrent pneumonia, increased serum IgE levels, and eczema. The association of heterozygous signal transducer and activator of transcription 3 (STAT3) mutations with autosomal dominant (AD)-HIES allows the differentiation of AD-HIES from disorders associated with eczema and increased serum IgE levels, such as other primary immunodeficiencies and atopic dermatitis. Objective: To facilitate early diagnosis of AD-HIES to initiate appropriate therapy. Methods: The clinical phenotype (suggested by a National Institutes of Health [NIH] score of ≥40 points), STAT3 genotype, and TH17 cell counts were compared in a cohort of 78 patients suspected of having HIES. Results: Heterozygous STAT3 missense mutations and in-frame deletions were identified in 48 patients, all but 2 with an NIH score ≥40 points. Patients with STAT3 mutations with HIES showed significantly lower TH17 cell counts compared with patients with wild-type STAT3 and control subjects. Only 1 patient with wild-type STAT3 had both an NIH score ≥40 points and abnormal TH17 cell counts (≤0.2% of CD4+ cells), with this exception being identified with a homozygous dedicator of cytogenesis 8 protein (DOCK8) mutation. Pathologic shedding of primary teeth was present in 3 patients with wild-type STAT3 and 33 patients with STAT3 mutations. Internal abscesses and severe infections were exclusively seen in patients with STAT3 mutations, who also had increased pneumatocele formation and skeletal or connective tissue manifestations compared with patients with wild-type STAT3. Conclusion: We expanded the number of STAT3 mutations and validated that the NIH score sensitively identifies patients with HIES. Based on our patient cohort, we propose key findings that, when combined with TH17 cell numbers, predict patients with AD-HIES with STAT3 mutations, supporting early diagnosis of AD-HIES. © 2010 American Academy of Allergy, Asthma &amp; Immunology.","author":[{"dropping-particle":"","family":"Schimke","given":"Lena F.","non-dropping-particle":"","parse-names":false,"suffix":""},{"dropping-particle":"","family":"Sawalle-Belohradsky","given":"Julie","non-dropping-particle":"","parse-names":false,"suffix":""},{"dropping-particle":"","family":"Roesler","given":"Joachim","non-dropping-particle":"","parse-names":false,"suffix":""},{"dropping-particle":"","family":"Wollenberg","given":"Andreas","non-dropping-particle":"","parse-names":false,"suffix":""},{"dropping-particle":"","family":"Rack","given":"Anita","non-dropping-particle":"","parse-names":false,"suffix":""},{"dropping-particle":"","family":"Borte","given":"Michael","non-dropping-particle":"","parse-names":false,"suffix":""},{"dropping-particle":"","family":"Rieber","given":"Nikolaus","non-dropping-particle":"","parse-names":false,"suffix":""},{"dropping-particle":"","family":"Cremer","given":"Reinhold","non-dropping-particle":"","parse-names":false,"suffix":""},{"dropping-particle":"","family":"Maaß","given":"Eberhart","non-dropping-particle":"","parse-names":false,"suffix":""},{"dropping-particle":"","family":"Dopfer","given":"Roland","non-dropping-particle":"","parse-names":false,"suffix":""},{"dropping-particle":"","family":"Reichenbach","given":"Janine","non-dropping-particle":"","parse-names":false,"suffix":""},{"dropping-particle":"","family":"Wahn","given":"Volker","non-dropping-particle":"","parse-names":false,"suffix":""},{"dropping-particle":"","family":"Hoenig","given":"Manfred","non-dropping-particle":"","parse-names":false,"suffix":""},{"dropping-particle":"","family":"Jansson","given":"Annette F.","non-dropping-particle":"","parse-names":false,"suffix":""},{"dropping-particle":"","family":"Roesen-Wolff","given":"Angela","non-dropping-particle":"","parse-names":false,"suffix":""},{"dropping-particle":"","family":"Schaub","given":"Bianca","non-dropping-particle":"","parse-names":false,"suffix":""},{"dropping-particle":"","family":"Seger","given":"Reinhard","non-dropping-particle":"","parse-names":false,"suffix":""},{"dropping-particle":"","family":"Hill","given":"Harry R.","non-dropping-particle":"","parse-names":false,"suffix":""},{"dropping-particle":"","family":"Ochs","given":"Hans D.","non-dropping-particle":"","parse-names":false,"suffix":""},{"dropping-particle":"","family":"Torgerson","given":"Troy R.","non-dropping-particle":"","parse-names":false,"suffix":""},{"dropping-particle":"","family":"Belohradsky","given":"Bernd H.","non-dropping-particle":"","parse-names":false,"suffix":""},{"dropping-particle":"","family":"Renner","given":"Ellen D.","non-dropping-particle":"","parse-names":false,"suffix":""}],"container-title":"Journal of Allergy and Clinical Immunology","id":"ITEM-1","issued":{"date-parts":[["2010"]]},"title":"Diagnostic approach to the hyper-IgE syndromes: Immunologic and clinical key findings to differentiate hyper-IgE syndromes from atopic dermatitis","type":"article-journal"},"uris":["http://www.mendeley.com/documents/?uuid=ae7532c2-555e-4c21-96e2-814c0bd6793f"]}],"mendeley":{"formattedCitation":"[21]","plainTextFormattedCitation":"[21]","previouslyFormattedCitation":"[21]"},"properties":{"noteIndex":0},"schema":"https://github.com/citation-style-language/schema/raw/master/csl-citation.json"}</w:instrText>
      </w:r>
      <w:r w:rsidRPr="000745A1">
        <w:rPr>
          <w:rFonts w:ascii="Times New Roman" w:hAnsi="Times New Roman" w:cs="Times New Roman"/>
          <w:color w:val="231F20"/>
        </w:rPr>
        <w:fldChar w:fldCharType="separate"/>
      </w:r>
      <w:r w:rsidR="00E9757E">
        <w:rPr>
          <w:rFonts w:ascii="Times New Roman" w:hAnsi="Times New Roman" w:cs="Times New Roman"/>
          <w:noProof/>
          <w:color w:val="231F20"/>
        </w:rPr>
        <w:t>[3</w:t>
      </w:r>
      <w:r w:rsidRPr="000745A1">
        <w:rPr>
          <w:rFonts w:ascii="Times New Roman" w:hAnsi="Times New Roman" w:cs="Times New Roman"/>
          <w:noProof/>
          <w:color w:val="231F20"/>
        </w:rPr>
        <w:t>]</w:t>
      </w:r>
      <w:r w:rsidRPr="000745A1">
        <w:rPr>
          <w:rFonts w:ascii="Times New Roman" w:hAnsi="Times New Roman" w:cs="Times New Roman"/>
          <w:color w:val="231F20"/>
        </w:rPr>
        <w:fldChar w:fldCharType="end"/>
      </w:r>
      <w:r w:rsidR="003277C7" w:rsidRPr="000745A1">
        <w:rPr>
          <w:rFonts w:ascii="Times New Roman" w:hAnsi="Times New Roman" w:cs="Times New Roman"/>
          <w:color w:val="231F20"/>
        </w:rPr>
        <w:t xml:space="preserve"> noted i</w:t>
      </w:r>
      <w:r w:rsidR="00B85610" w:rsidRPr="000745A1">
        <w:rPr>
          <w:rFonts w:ascii="Times New Roman" w:hAnsi="Times New Roman" w:cs="Times New Roman"/>
          <w:color w:val="231F20"/>
        </w:rPr>
        <w:t>n three patients</w:t>
      </w:r>
      <w:r w:rsidRPr="000745A1">
        <w:rPr>
          <w:rFonts w:ascii="Times New Roman" w:hAnsi="Times New Roman" w:cs="Times New Roman"/>
          <w:color w:val="231F20"/>
        </w:rPr>
        <w:t>, and high IgE levels (range  2300 to &gt; 18000</w:t>
      </w:r>
      <w:r w:rsidR="008A0BB4">
        <w:rPr>
          <w:rFonts w:ascii="Times New Roman" w:hAnsi="Times New Roman" w:cs="Times New Roman"/>
          <w:color w:val="231F20"/>
        </w:rPr>
        <w:t xml:space="preserve"> </w:t>
      </w:r>
      <w:r w:rsidRPr="000745A1">
        <w:rPr>
          <w:rFonts w:ascii="Times New Roman" w:hAnsi="Times New Roman" w:cs="Times New Roman"/>
          <w:color w:val="231F20"/>
        </w:rPr>
        <w:t>IU/L) helped us to diagnos</w:t>
      </w:r>
      <w:r w:rsidR="00B85610" w:rsidRPr="000745A1">
        <w:rPr>
          <w:rFonts w:ascii="Times New Roman" w:hAnsi="Times New Roman" w:cs="Times New Roman"/>
          <w:color w:val="231F20"/>
        </w:rPr>
        <w:t>e Hyper IgE syndrome. Three patient</w:t>
      </w:r>
      <w:r w:rsidRPr="000745A1">
        <w:rPr>
          <w:rFonts w:ascii="Times New Roman" w:hAnsi="Times New Roman" w:cs="Times New Roman"/>
          <w:color w:val="231F20"/>
        </w:rPr>
        <w:t xml:space="preserve">s have had genetic tests and two had mutations in STAT 3 gene </w:t>
      </w:r>
      <w:r w:rsidR="003277C7" w:rsidRPr="000745A1">
        <w:rPr>
          <w:rFonts w:ascii="Times New Roman" w:hAnsi="Times New Roman" w:cs="Times New Roman"/>
          <w:color w:val="231F20"/>
        </w:rPr>
        <w:t>(Table 2</w:t>
      </w:r>
      <w:r w:rsidRPr="000745A1">
        <w:rPr>
          <w:rFonts w:ascii="Times New Roman" w:hAnsi="Times New Roman" w:cs="Times New Roman"/>
          <w:color w:val="231F20"/>
        </w:rPr>
        <w:t xml:space="preserve">). </w:t>
      </w:r>
    </w:p>
    <w:p w14:paraId="79FDA4E4" w14:textId="18DB3E2D" w:rsidR="004A2E59" w:rsidRPr="000745A1" w:rsidRDefault="000745A1" w:rsidP="004A0C79">
      <w:pPr>
        <w:autoSpaceDE w:val="0"/>
        <w:autoSpaceDN w:val="0"/>
        <w:adjustRightInd w:val="0"/>
        <w:spacing w:before="240" w:line="480" w:lineRule="auto"/>
        <w:jc w:val="both"/>
        <w:outlineLvl w:val="0"/>
        <w:rPr>
          <w:rFonts w:ascii="Times New Roman" w:hAnsi="Times New Roman" w:cs="Times New Roman"/>
          <w:b/>
          <w:color w:val="231F20"/>
        </w:rPr>
      </w:pPr>
      <w:r>
        <w:rPr>
          <w:rFonts w:ascii="Times New Roman" w:hAnsi="Times New Roman" w:cs="Times New Roman"/>
          <w:b/>
          <w:color w:val="231F20"/>
        </w:rPr>
        <w:t>Wiskott–</w:t>
      </w:r>
      <w:r w:rsidR="004A2E59" w:rsidRPr="000745A1">
        <w:rPr>
          <w:rFonts w:ascii="Times New Roman" w:hAnsi="Times New Roman" w:cs="Times New Roman"/>
          <w:b/>
          <w:color w:val="231F20"/>
        </w:rPr>
        <w:t xml:space="preserve">Aldrich </w:t>
      </w:r>
      <w:r w:rsidR="004A0C79">
        <w:rPr>
          <w:rFonts w:ascii="Times New Roman" w:hAnsi="Times New Roman" w:cs="Times New Roman"/>
          <w:b/>
          <w:color w:val="231F20"/>
        </w:rPr>
        <w:t>s</w:t>
      </w:r>
      <w:r w:rsidR="004A2E59" w:rsidRPr="000745A1">
        <w:rPr>
          <w:rFonts w:ascii="Times New Roman" w:hAnsi="Times New Roman" w:cs="Times New Roman"/>
          <w:b/>
          <w:color w:val="231F20"/>
        </w:rPr>
        <w:t>yndrome (WAS) (</w:t>
      </w:r>
      <w:r w:rsidR="004A2E59" w:rsidRPr="000745A1">
        <w:rPr>
          <w:rFonts w:ascii="Times New Roman" w:hAnsi="Times New Roman" w:cs="Times New Roman"/>
          <w:b/>
          <w:i/>
          <w:color w:val="231F20"/>
        </w:rPr>
        <w:t>n</w:t>
      </w:r>
      <w:r>
        <w:rPr>
          <w:rFonts w:ascii="Times New Roman" w:hAnsi="Times New Roman" w:cs="Times New Roman"/>
          <w:b/>
          <w:color w:val="231F20"/>
        </w:rPr>
        <w:t xml:space="preserve"> </w:t>
      </w:r>
      <w:r w:rsidR="004A2E59" w:rsidRPr="000745A1">
        <w:rPr>
          <w:rFonts w:ascii="Times New Roman" w:hAnsi="Times New Roman" w:cs="Times New Roman"/>
          <w:b/>
          <w:color w:val="231F20"/>
        </w:rPr>
        <w:t>=</w:t>
      </w:r>
      <w:r>
        <w:rPr>
          <w:rFonts w:ascii="Times New Roman" w:hAnsi="Times New Roman" w:cs="Times New Roman"/>
          <w:b/>
          <w:color w:val="231F20"/>
        </w:rPr>
        <w:t xml:space="preserve"> </w:t>
      </w:r>
      <w:r w:rsidR="004A2E59" w:rsidRPr="000745A1">
        <w:rPr>
          <w:rFonts w:ascii="Times New Roman" w:hAnsi="Times New Roman" w:cs="Times New Roman"/>
          <w:b/>
          <w:color w:val="231F20"/>
        </w:rPr>
        <w:t>7)</w:t>
      </w:r>
    </w:p>
    <w:p w14:paraId="7D00C3C7" w14:textId="5B5B3BA3" w:rsidR="00A03293" w:rsidRPr="000745A1" w:rsidRDefault="004A2E59" w:rsidP="000745A1">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t>Wiskott Aldrich Syndrome was diagnosed in sev</w:t>
      </w:r>
      <w:r w:rsidR="00EA61B7">
        <w:rPr>
          <w:rFonts w:ascii="Times New Roman" w:hAnsi="Times New Roman" w:cs="Times New Roman"/>
          <w:color w:val="231F20"/>
        </w:rPr>
        <w:t>en patients including a 34-y</w:t>
      </w:r>
      <w:r w:rsidRPr="000745A1">
        <w:rPr>
          <w:rFonts w:ascii="Times New Roman" w:hAnsi="Times New Roman" w:cs="Times New Roman"/>
          <w:color w:val="231F20"/>
        </w:rPr>
        <w:t xml:space="preserve"> man. All of them were referred for evaluation of low platelet count (&lt; 50000cells/cm</w:t>
      </w:r>
      <w:r w:rsidRPr="000745A1">
        <w:rPr>
          <w:rFonts w:ascii="Times New Roman" w:hAnsi="Times New Roman" w:cs="Times New Roman"/>
          <w:color w:val="231F20"/>
          <w:vertAlign w:val="superscript"/>
        </w:rPr>
        <w:t>3</w:t>
      </w:r>
      <w:r w:rsidRPr="000745A1">
        <w:rPr>
          <w:rFonts w:ascii="Times New Roman" w:hAnsi="Times New Roman" w:cs="Times New Roman"/>
          <w:color w:val="231F20"/>
        </w:rPr>
        <w:t>) when they presented with petechial rashes and eczema. Two children had features of colitis and manifestations of vasculitis. The platelet size was small in all (Mean Platelet Vol</w:t>
      </w:r>
      <w:r w:rsidR="00EA61B7">
        <w:rPr>
          <w:rFonts w:ascii="Times New Roman" w:hAnsi="Times New Roman" w:cs="Times New Roman"/>
          <w:color w:val="231F20"/>
        </w:rPr>
        <w:t>ume ranging 5-6fL). The 34-y</w:t>
      </w:r>
      <w:r w:rsidRPr="000745A1">
        <w:rPr>
          <w:rFonts w:ascii="Times New Roman" w:hAnsi="Times New Roman" w:cs="Times New Roman"/>
          <w:color w:val="231F20"/>
        </w:rPr>
        <w:t xml:space="preserve">-old man was diagnosed to have WAS following the diagnosis of his nephew with WAS, though he had low platelet counts since childhood and was receiving treatment as Immune thrombocytopenia.  All of our patients had high IgE levels (800-2960IU/mL). The available genetic results showed a mutation in WAS gene exon 2, 9, and 10 (Table </w:t>
      </w:r>
      <w:r w:rsidR="003277C7" w:rsidRPr="000745A1">
        <w:rPr>
          <w:rFonts w:ascii="Times New Roman" w:hAnsi="Times New Roman" w:cs="Times New Roman"/>
          <w:color w:val="231F20"/>
        </w:rPr>
        <w:t>2</w:t>
      </w:r>
      <w:r w:rsidRPr="000745A1">
        <w:rPr>
          <w:rFonts w:ascii="Times New Roman" w:hAnsi="Times New Roman" w:cs="Times New Roman"/>
          <w:color w:val="231F20"/>
        </w:rPr>
        <w:t xml:space="preserve">). One child underwent haploidentical hematopoietic stem cell transplant and is doing well. Two children with WAS died due to severe infections (one viral pneumonia and another with staphylococcus aureus sepsis). The rest four children with WAS are on regular medical supervision.  </w:t>
      </w:r>
      <w:r w:rsidR="0048505A" w:rsidRPr="000745A1">
        <w:rPr>
          <w:rFonts w:ascii="Times New Roman" w:hAnsi="Times New Roman" w:cs="Times New Roman"/>
          <w:color w:val="231F20"/>
        </w:rPr>
        <w:t xml:space="preserve">The remaining </w:t>
      </w:r>
      <w:r w:rsidR="005723A5" w:rsidRPr="000745A1">
        <w:rPr>
          <w:rFonts w:ascii="Times New Roman" w:hAnsi="Times New Roman" w:cs="Times New Roman"/>
          <w:color w:val="231F20"/>
        </w:rPr>
        <w:t xml:space="preserve">one </w:t>
      </w:r>
      <w:r w:rsidR="0048505A" w:rsidRPr="000745A1">
        <w:rPr>
          <w:rFonts w:ascii="Times New Roman" w:hAnsi="Times New Roman" w:cs="Times New Roman"/>
          <w:color w:val="231F20"/>
        </w:rPr>
        <w:t xml:space="preserve">child </w:t>
      </w:r>
      <w:r w:rsidR="005723A5" w:rsidRPr="000745A1">
        <w:rPr>
          <w:rFonts w:ascii="Times New Roman" w:hAnsi="Times New Roman" w:cs="Times New Roman"/>
          <w:color w:val="231F20"/>
        </w:rPr>
        <w:t xml:space="preserve">was </w:t>
      </w:r>
      <w:r w:rsidR="0048505A" w:rsidRPr="000745A1">
        <w:rPr>
          <w:rFonts w:ascii="Times New Roman" w:hAnsi="Times New Roman" w:cs="Times New Roman"/>
          <w:color w:val="231F20"/>
        </w:rPr>
        <w:t xml:space="preserve">diagnosed with </w:t>
      </w:r>
      <w:r w:rsidRPr="000745A1">
        <w:rPr>
          <w:rFonts w:ascii="Times New Roman" w:hAnsi="Times New Roman" w:cs="Times New Roman"/>
          <w:color w:val="231F20"/>
        </w:rPr>
        <w:t>Ataxia telangiectasia (</w:t>
      </w:r>
      <w:r w:rsidRPr="000745A1">
        <w:rPr>
          <w:rFonts w:ascii="Times New Roman" w:hAnsi="Times New Roman" w:cs="Times New Roman"/>
          <w:i/>
          <w:color w:val="231F20"/>
        </w:rPr>
        <w:t>n</w:t>
      </w:r>
      <w:r w:rsidR="000745A1">
        <w:rPr>
          <w:rFonts w:ascii="Times New Roman" w:hAnsi="Times New Roman" w:cs="Times New Roman"/>
          <w:color w:val="231F20"/>
        </w:rPr>
        <w:t xml:space="preserve"> </w:t>
      </w:r>
      <w:r w:rsidRPr="000745A1">
        <w:rPr>
          <w:rFonts w:ascii="Times New Roman" w:hAnsi="Times New Roman" w:cs="Times New Roman"/>
          <w:color w:val="231F20"/>
        </w:rPr>
        <w:t>=</w:t>
      </w:r>
      <w:r w:rsidR="000745A1">
        <w:rPr>
          <w:rFonts w:ascii="Times New Roman" w:hAnsi="Times New Roman" w:cs="Times New Roman"/>
          <w:color w:val="231F20"/>
        </w:rPr>
        <w:t xml:space="preserve"> </w:t>
      </w:r>
      <w:r w:rsidRPr="000745A1">
        <w:rPr>
          <w:rFonts w:ascii="Times New Roman" w:hAnsi="Times New Roman" w:cs="Times New Roman"/>
          <w:color w:val="231F20"/>
        </w:rPr>
        <w:t>1)</w:t>
      </w:r>
      <w:r w:rsidR="0048505A" w:rsidRPr="000745A1">
        <w:rPr>
          <w:rFonts w:ascii="Times New Roman" w:hAnsi="Times New Roman" w:cs="Times New Roman"/>
          <w:color w:val="231F20"/>
        </w:rPr>
        <w:t>.</w:t>
      </w:r>
    </w:p>
    <w:p w14:paraId="0661CAC9" w14:textId="77777777" w:rsidR="00A03293" w:rsidRPr="000745A1" w:rsidRDefault="00A03293" w:rsidP="008B081A">
      <w:pPr>
        <w:autoSpaceDE w:val="0"/>
        <w:autoSpaceDN w:val="0"/>
        <w:adjustRightInd w:val="0"/>
        <w:spacing w:after="0" w:line="480" w:lineRule="auto"/>
        <w:jc w:val="both"/>
        <w:outlineLvl w:val="0"/>
        <w:rPr>
          <w:rFonts w:ascii="Times New Roman" w:hAnsi="Times New Roman" w:cs="Times New Roman"/>
          <w:b/>
          <w:color w:val="231F20"/>
        </w:rPr>
      </w:pPr>
    </w:p>
    <w:p w14:paraId="1EB8188A" w14:textId="1B1A48A9"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Group III</w:t>
      </w:r>
      <w:r w:rsidR="004A0C79">
        <w:rPr>
          <w:rFonts w:ascii="Times New Roman" w:hAnsi="Times New Roman" w:cs="Times New Roman"/>
          <w:b/>
          <w:color w:val="231F20"/>
        </w:rPr>
        <w:t>:</w:t>
      </w:r>
      <w:r w:rsidRPr="000745A1">
        <w:rPr>
          <w:rFonts w:ascii="Times New Roman" w:hAnsi="Times New Roman" w:cs="Times New Roman"/>
          <w:b/>
          <w:color w:val="231F20"/>
        </w:rPr>
        <w:t xml:space="preserve"> Predominantly antibody deficiencies (</w:t>
      </w:r>
      <w:r w:rsidRPr="004A0C79">
        <w:rPr>
          <w:rFonts w:ascii="Times New Roman" w:hAnsi="Times New Roman" w:cs="Times New Roman"/>
          <w:b/>
          <w:i/>
          <w:color w:val="231F20"/>
        </w:rPr>
        <w:t>n</w:t>
      </w:r>
      <w:r w:rsidR="004A0C79">
        <w:rPr>
          <w:rFonts w:ascii="Times New Roman" w:hAnsi="Times New Roman" w:cs="Times New Roman"/>
          <w:b/>
          <w:color w:val="231F20"/>
        </w:rPr>
        <w:t xml:space="preserve"> </w:t>
      </w:r>
      <w:r w:rsidRPr="000745A1">
        <w:rPr>
          <w:rFonts w:ascii="Times New Roman" w:hAnsi="Times New Roman" w:cs="Times New Roman"/>
          <w:b/>
          <w:color w:val="231F20"/>
        </w:rPr>
        <w:t>=</w:t>
      </w:r>
      <w:r w:rsidR="004A0C79">
        <w:rPr>
          <w:rFonts w:ascii="Times New Roman" w:hAnsi="Times New Roman" w:cs="Times New Roman"/>
          <w:b/>
          <w:color w:val="231F20"/>
        </w:rPr>
        <w:t xml:space="preserve"> </w:t>
      </w:r>
      <w:r w:rsidRPr="000745A1">
        <w:rPr>
          <w:rFonts w:ascii="Times New Roman" w:hAnsi="Times New Roman" w:cs="Times New Roman"/>
          <w:b/>
          <w:color w:val="231F20"/>
        </w:rPr>
        <w:t>2</w:t>
      </w:r>
      <w:r w:rsidR="008B081A" w:rsidRPr="000745A1">
        <w:rPr>
          <w:rFonts w:ascii="Times New Roman" w:hAnsi="Times New Roman" w:cs="Times New Roman"/>
          <w:b/>
          <w:color w:val="231F20"/>
        </w:rPr>
        <w:t>3</w:t>
      </w:r>
      <w:r w:rsidRPr="000745A1">
        <w:rPr>
          <w:rFonts w:ascii="Times New Roman" w:hAnsi="Times New Roman" w:cs="Times New Roman"/>
          <w:b/>
          <w:color w:val="231F20"/>
        </w:rPr>
        <w:t>)</w:t>
      </w:r>
    </w:p>
    <w:p w14:paraId="179225AD" w14:textId="2F102C37"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 xml:space="preserve">X-Linked </w:t>
      </w:r>
      <w:r w:rsidR="004A0C79">
        <w:rPr>
          <w:rFonts w:ascii="Times New Roman" w:hAnsi="Times New Roman" w:cs="Times New Roman"/>
          <w:b/>
          <w:color w:val="231F20"/>
        </w:rPr>
        <w:t>a</w:t>
      </w:r>
      <w:r w:rsidRPr="000745A1">
        <w:rPr>
          <w:rFonts w:ascii="Times New Roman" w:hAnsi="Times New Roman" w:cs="Times New Roman"/>
          <w:b/>
          <w:color w:val="231F20"/>
        </w:rPr>
        <w:t>gammaglobulinemia (XLA) (</w:t>
      </w:r>
      <w:r w:rsidRPr="004A0C79">
        <w:rPr>
          <w:rFonts w:ascii="Times New Roman" w:hAnsi="Times New Roman" w:cs="Times New Roman"/>
          <w:b/>
          <w:i/>
          <w:color w:val="231F20"/>
        </w:rPr>
        <w:t>n</w:t>
      </w:r>
      <w:r w:rsidR="004A0C79">
        <w:rPr>
          <w:rFonts w:ascii="Times New Roman" w:hAnsi="Times New Roman" w:cs="Times New Roman"/>
          <w:b/>
          <w:color w:val="231F20"/>
        </w:rPr>
        <w:t xml:space="preserve"> </w:t>
      </w:r>
      <w:r w:rsidRPr="000745A1">
        <w:rPr>
          <w:rFonts w:ascii="Times New Roman" w:hAnsi="Times New Roman" w:cs="Times New Roman"/>
          <w:b/>
          <w:color w:val="231F20"/>
        </w:rPr>
        <w:t>=</w:t>
      </w:r>
      <w:r w:rsidR="004A0C79">
        <w:rPr>
          <w:rFonts w:ascii="Times New Roman" w:hAnsi="Times New Roman" w:cs="Times New Roman"/>
          <w:b/>
          <w:color w:val="231F20"/>
        </w:rPr>
        <w:t xml:space="preserve"> </w:t>
      </w:r>
      <w:r w:rsidR="0048505A" w:rsidRPr="000745A1">
        <w:rPr>
          <w:rFonts w:ascii="Times New Roman" w:hAnsi="Times New Roman" w:cs="Times New Roman"/>
          <w:b/>
          <w:color w:val="231F20"/>
        </w:rPr>
        <w:t>6</w:t>
      </w:r>
      <w:r w:rsidRPr="000745A1">
        <w:rPr>
          <w:rFonts w:ascii="Times New Roman" w:hAnsi="Times New Roman" w:cs="Times New Roman"/>
          <w:b/>
          <w:color w:val="231F20"/>
        </w:rPr>
        <w:t>)</w:t>
      </w:r>
    </w:p>
    <w:p w14:paraId="5CBC1285" w14:textId="4FEEEAAF" w:rsidR="004A2E59" w:rsidRPr="000745A1" w:rsidRDefault="0048505A" w:rsidP="004A2E59">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t xml:space="preserve">Six </w:t>
      </w:r>
      <w:r w:rsidR="004A2E59" w:rsidRPr="000745A1">
        <w:rPr>
          <w:rFonts w:ascii="Times New Roman" w:hAnsi="Times New Roman" w:cs="Times New Roman"/>
          <w:color w:val="231F20"/>
        </w:rPr>
        <w:t>children were diagnosed to have X-linked agammaglobulinemia. They were all referred because of recurrent infections (</w:t>
      </w:r>
      <w:r w:rsidRPr="000745A1">
        <w:rPr>
          <w:rFonts w:ascii="Times New Roman" w:hAnsi="Times New Roman" w:cs="Times New Roman"/>
          <w:color w:val="231F20"/>
        </w:rPr>
        <w:t>5</w:t>
      </w:r>
      <w:r w:rsidR="004A2E59" w:rsidRPr="000745A1">
        <w:rPr>
          <w:rFonts w:ascii="Times New Roman" w:hAnsi="Times New Roman" w:cs="Times New Roman"/>
          <w:color w:val="231F20"/>
        </w:rPr>
        <w:t xml:space="preserve">) and one with recurrent pneumonia. All have had at least one episode of </w:t>
      </w:r>
      <w:r w:rsidR="004A2E59" w:rsidRPr="000745A1">
        <w:rPr>
          <w:rFonts w:ascii="Times New Roman" w:hAnsi="Times New Roman" w:cs="Times New Roman"/>
          <w:color w:val="231F20"/>
        </w:rPr>
        <w:lastRenderedPageBreak/>
        <w:t xml:space="preserve">hospitalisation and acute otitis media. One child had glomerulonephritis, septic arthritis, and low B cells (CD 19- 8.31%). He was found to have </w:t>
      </w:r>
      <w:r w:rsidR="004A2E59" w:rsidRPr="000745A1">
        <w:rPr>
          <w:rFonts w:ascii="Times New Roman" w:hAnsi="Times New Roman" w:cs="Times New Roman"/>
        </w:rPr>
        <w:t xml:space="preserve">variant c.1445T&gt;G, p. L482R in BTK gene </w:t>
      </w:r>
      <w:r w:rsidR="004A2E59" w:rsidRPr="000745A1">
        <w:rPr>
          <w:rFonts w:ascii="Times New Roman" w:hAnsi="Times New Roman" w:cs="Times New Roman"/>
          <w:color w:val="231F20"/>
        </w:rPr>
        <w:t>confirming the diagnosis of XLA.</w:t>
      </w:r>
      <w:r w:rsidR="004A2E59" w:rsidRPr="000745A1">
        <w:rPr>
          <w:rFonts w:ascii="Times New Roman" w:hAnsi="Times New Roman" w:cs="Times New Roman"/>
        </w:rPr>
        <w:t xml:space="preserve"> His CD14 monocytes showed normal expression of BTK, however, the intensity of expression was significantly lower than the normal control. </w:t>
      </w:r>
      <w:r w:rsidR="00B85610" w:rsidRPr="000745A1">
        <w:rPr>
          <w:rFonts w:ascii="Times New Roman" w:hAnsi="Times New Roman" w:cs="Times New Roman"/>
          <w:color w:val="231F20"/>
        </w:rPr>
        <w:t>The rest 4 children</w:t>
      </w:r>
      <w:r w:rsidR="004A2E59" w:rsidRPr="000745A1">
        <w:rPr>
          <w:rFonts w:ascii="Times New Roman" w:hAnsi="Times New Roman" w:cs="Times New Roman"/>
          <w:color w:val="231F20"/>
        </w:rPr>
        <w:t xml:space="preserve"> had abnormal BTK protein expression on flow cytometry and CD 19 cells were &lt; 1%.  </w:t>
      </w:r>
      <w:r w:rsidRPr="000745A1">
        <w:rPr>
          <w:rFonts w:ascii="Times New Roman" w:hAnsi="Times New Roman" w:cs="Times New Roman"/>
          <w:color w:val="231F20"/>
        </w:rPr>
        <w:t xml:space="preserve">Five </w:t>
      </w:r>
      <w:r w:rsidR="004A2E59" w:rsidRPr="000745A1">
        <w:rPr>
          <w:rFonts w:ascii="Times New Roman" w:hAnsi="Times New Roman" w:cs="Times New Roman"/>
          <w:color w:val="231F20"/>
        </w:rPr>
        <w:t xml:space="preserve">of them did not have any tonsils whereas the one had a small tonsil. One child also had neutropenia during viral upper respiratory tract infection. One child died due to septic shock soon after diagnosis. Rest all of them are on regular immunoglobulin replacement therapy. All </w:t>
      </w:r>
      <w:r w:rsidRPr="000745A1">
        <w:rPr>
          <w:rFonts w:ascii="Times New Roman" w:hAnsi="Times New Roman" w:cs="Times New Roman"/>
          <w:color w:val="231F20"/>
        </w:rPr>
        <w:t xml:space="preserve">except one </w:t>
      </w:r>
      <w:r w:rsidR="004A2E59" w:rsidRPr="000745A1">
        <w:rPr>
          <w:rFonts w:ascii="Times New Roman" w:hAnsi="Times New Roman" w:cs="Times New Roman"/>
          <w:color w:val="231F20"/>
        </w:rPr>
        <w:t xml:space="preserve">had confirmed mutations in exons 10, 15, 16, and 17 of </w:t>
      </w:r>
      <w:r w:rsidR="004A0C79">
        <w:rPr>
          <w:rFonts w:ascii="Times New Roman" w:hAnsi="Times New Roman" w:cs="Times New Roman"/>
          <w:color w:val="231F20"/>
        </w:rPr>
        <w:t xml:space="preserve">the </w:t>
      </w:r>
      <w:r w:rsidR="004A0C79" w:rsidRPr="0076521B">
        <w:rPr>
          <w:rFonts w:ascii="Times New Roman" w:hAnsi="Times New Roman" w:cs="Times New Roman"/>
          <w:color w:val="231F20"/>
        </w:rPr>
        <w:t xml:space="preserve">BTK </w:t>
      </w:r>
      <w:r w:rsidR="004A0C79">
        <w:rPr>
          <w:rFonts w:ascii="Times New Roman" w:hAnsi="Times New Roman" w:cs="Times New Roman"/>
          <w:color w:val="231F20"/>
        </w:rPr>
        <w:t>gene as shown in T</w:t>
      </w:r>
      <w:r w:rsidR="00C755DE" w:rsidRPr="000745A1">
        <w:rPr>
          <w:rFonts w:ascii="Times New Roman" w:hAnsi="Times New Roman" w:cs="Times New Roman"/>
          <w:color w:val="231F20"/>
        </w:rPr>
        <w:t>able 2</w:t>
      </w:r>
      <w:r w:rsidR="004A2E59" w:rsidRPr="000745A1">
        <w:rPr>
          <w:rFonts w:ascii="Times New Roman" w:hAnsi="Times New Roman" w:cs="Times New Roman"/>
          <w:color w:val="231F20"/>
        </w:rPr>
        <w:t xml:space="preserve">. </w:t>
      </w:r>
    </w:p>
    <w:p w14:paraId="361F6CC2" w14:textId="2A872EE5" w:rsidR="004A2E59" w:rsidRPr="000745A1" w:rsidRDefault="004A2E59" w:rsidP="000745A1">
      <w:pPr>
        <w:autoSpaceDE w:val="0"/>
        <w:autoSpaceDN w:val="0"/>
        <w:adjustRightInd w:val="0"/>
        <w:spacing w:before="240" w:after="0" w:line="480" w:lineRule="auto"/>
        <w:jc w:val="both"/>
        <w:rPr>
          <w:rFonts w:ascii="Times New Roman" w:hAnsi="Times New Roman" w:cs="Times New Roman"/>
          <w:color w:val="231F20"/>
        </w:rPr>
      </w:pPr>
      <w:r w:rsidRPr="000745A1">
        <w:rPr>
          <w:rFonts w:ascii="Times New Roman" w:hAnsi="Times New Roman" w:cs="Times New Roman"/>
          <w:color w:val="231F20"/>
        </w:rPr>
        <w:t xml:space="preserve">The remaining patients in this group </w:t>
      </w:r>
      <w:r w:rsidR="00F72A0D" w:rsidRPr="000745A1">
        <w:rPr>
          <w:rFonts w:ascii="Times New Roman" w:hAnsi="Times New Roman" w:cs="Times New Roman"/>
          <w:color w:val="231F20"/>
        </w:rPr>
        <w:t>were hypogammaglobulinemia (</w:t>
      </w:r>
      <w:r w:rsidR="00F72A0D" w:rsidRPr="000745A1">
        <w:rPr>
          <w:rFonts w:ascii="Times New Roman" w:hAnsi="Times New Roman" w:cs="Times New Roman"/>
          <w:i/>
          <w:color w:val="231F20"/>
        </w:rPr>
        <w:t>n</w:t>
      </w:r>
      <w:r w:rsidR="000745A1">
        <w:rPr>
          <w:rFonts w:ascii="Times New Roman" w:hAnsi="Times New Roman" w:cs="Times New Roman"/>
          <w:color w:val="231F20"/>
        </w:rPr>
        <w:t xml:space="preserve"> </w:t>
      </w:r>
      <w:r w:rsidR="00F72A0D" w:rsidRPr="000745A1">
        <w:rPr>
          <w:rFonts w:ascii="Times New Roman" w:hAnsi="Times New Roman" w:cs="Times New Roman"/>
          <w:color w:val="231F20"/>
        </w:rPr>
        <w:t>=</w:t>
      </w:r>
      <w:r w:rsidR="000745A1">
        <w:rPr>
          <w:rFonts w:ascii="Times New Roman" w:hAnsi="Times New Roman" w:cs="Times New Roman"/>
          <w:color w:val="231F20"/>
        </w:rPr>
        <w:t xml:space="preserve"> </w:t>
      </w:r>
      <w:r w:rsidR="00F72A0D" w:rsidRPr="000745A1">
        <w:rPr>
          <w:rFonts w:ascii="Times New Roman" w:hAnsi="Times New Roman" w:cs="Times New Roman"/>
          <w:color w:val="231F20"/>
        </w:rPr>
        <w:t>1</w:t>
      </w:r>
      <w:r w:rsidR="0048505A" w:rsidRPr="000745A1">
        <w:rPr>
          <w:rFonts w:ascii="Times New Roman" w:hAnsi="Times New Roman" w:cs="Times New Roman"/>
          <w:color w:val="231F20"/>
        </w:rPr>
        <w:t>2</w:t>
      </w:r>
      <w:r w:rsidRPr="000745A1">
        <w:rPr>
          <w:rFonts w:ascii="Times New Roman" w:hAnsi="Times New Roman" w:cs="Times New Roman"/>
          <w:color w:val="231F20"/>
        </w:rPr>
        <w:t>)</w:t>
      </w:r>
      <w:r w:rsidR="0048505A" w:rsidRPr="000745A1">
        <w:rPr>
          <w:rFonts w:ascii="Times New Roman" w:hAnsi="Times New Roman" w:cs="Times New Roman"/>
          <w:color w:val="231F20"/>
        </w:rPr>
        <w:t xml:space="preserve"> who were referred with severe/recurrent infections and found to have lower IgG levels</w:t>
      </w:r>
      <w:r w:rsidRPr="000745A1">
        <w:rPr>
          <w:rFonts w:ascii="Times New Roman" w:hAnsi="Times New Roman" w:cs="Times New Roman"/>
          <w:color w:val="231F20"/>
        </w:rPr>
        <w:t>, Hyper IgM (</w:t>
      </w:r>
      <w:r w:rsidRPr="000745A1">
        <w:rPr>
          <w:rFonts w:ascii="Times New Roman" w:hAnsi="Times New Roman" w:cs="Times New Roman"/>
          <w:i/>
          <w:color w:val="231F20"/>
        </w:rPr>
        <w:t>n</w:t>
      </w:r>
      <w:r w:rsidR="000745A1">
        <w:rPr>
          <w:rFonts w:ascii="Times New Roman" w:hAnsi="Times New Roman" w:cs="Times New Roman"/>
          <w:color w:val="231F20"/>
        </w:rPr>
        <w:t xml:space="preserve"> </w:t>
      </w:r>
      <w:r w:rsidRPr="000745A1">
        <w:rPr>
          <w:rFonts w:ascii="Times New Roman" w:hAnsi="Times New Roman" w:cs="Times New Roman"/>
          <w:color w:val="231F20"/>
        </w:rPr>
        <w:t>=</w:t>
      </w:r>
      <w:r w:rsidR="000745A1">
        <w:rPr>
          <w:rFonts w:ascii="Times New Roman" w:hAnsi="Times New Roman" w:cs="Times New Roman"/>
          <w:color w:val="231F20"/>
        </w:rPr>
        <w:t xml:space="preserve"> </w:t>
      </w:r>
      <w:r w:rsidRPr="000745A1">
        <w:rPr>
          <w:rFonts w:ascii="Times New Roman" w:hAnsi="Times New Roman" w:cs="Times New Roman"/>
          <w:color w:val="231F20"/>
        </w:rPr>
        <w:t xml:space="preserve">3), one each with Common Variable Immunodeficiency (CVID), and Autosomal recessive agammaglobulinemia. All these children are alive at the last follow up except the one with AR agammaglobulinemia who died due to respiratory infection. </w:t>
      </w:r>
    </w:p>
    <w:p w14:paraId="6E9C0C4A" w14:textId="77777777"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p>
    <w:p w14:paraId="73906D76" w14:textId="7B0C1F50"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bCs/>
          <w:iCs/>
        </w:rPr>
      </w:pPr>
      <w:r w:rsidRPr="000745A1">
        <w:rPr>
          <w:rFonts w:ascii="Times New Roman" w:hAnsi="Times New Roman" w:cs="Times New Roman"/>
          <w:b/>
          <w:bCs/>
          <w:iCs/>
        </w:rPr>
        <w:t>IV: Diseases of immune dysregulation (</w:t>
      </w:r>
      <w:r w:rsidRPr="004A0C79">
        <w:rPr>
          <w:rFonts w:ascii="Times New Roman" w:hAnsi="Times New Roman" w:cs="Times New Roman"/>
          <w:b/>
          <w:bCs/>
          <w:i/>
          <w:iCs/>
        </w:rPr>
        <w:t>n</w:t>
      </w:r>
      <w:r w:rsidR="004A0C79">
        <w:rPr>
          <w:rFonts w:ascii="Times New Roman" w:hAnsi="Times New Roman" w:cs="Times New Roman"/>
          <w:b/>
          <w:bCs/>
          <w:iCs/>
        </w:rPr>
        <w:t xml:space="preserve"> </w:t>
      </w:r>
      <w:r w:rsidRPr="000745A1">
        <w:rPr>
          <w:rFonts w:ascii="Times New Roman" w:hAnsi="Times New Roman" w:cs="Times New Roman"/>
          <w:b/>
          <w:bCs/>
          <w:iCs/>
        </w:rPr>
        <w:t>=</w:t>
      </w:r>
      <w:r w:rsidR="004A0C79">
        <w:rPr>
          <w:rFonts w:ascii="Times New Roman" w:hAnsi="Times New Roman" w:cs="Times New Roman"/>
          <w:b/>
          <w:bCs/>
          <w:iCs/>
        </w:rPr>
        <w:t xml:space="preserve"> </w:t>
      </w:r>
      <w:r w:rsidRPr="000745A1">
        <w:rPr>
          <w:rFonts w:ascii="Times New Roman" w:hAnsi="Times New Roman" w:cs="Times New Roman"/>
          <w:b/>
          <w:bCs/>
          <w:iCs/>
        </w:rPr>
        <w:t>3</w:t>
      </w:r>
      <w:r w:rsidR="0048505A" w:rsidRPr="000745A1">
        <w:rPr>
          <w:rFonts w:ascii="Times New Roman" w:hAnsi="Times New Roman" w:cs="Times New Roman"/>
          <w:b/>
          <w:bCs/>
          <w:iCs/>
        </w:rPr>
        <w:t>1</w:t>
      </w:r>
      <w:r w:rsidRPr="000745A1">
        <w:rPr>
          <w:rFonts w:ascii="Times New Roman" w:hAnsi="Times New Roman" w:cs="Times New Roman"/>
          <w:b/>
          <w:bCs/>
          <w:iCs/>
        </w:rPr>
        <w:t>)</w:t>
      </w:r>
    </w:p>
    <w:p w14:paraId="06C44E5E" w14:textId="4843956E"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bCs/>
          <w:iCs/>
        </w:rPr>
      </w:pPr>
      <w:r w:rsidRPr="000745A1">
        <w:rPr>
          <w:rFonts w:ascii="Times New Roman" w:hAnsi="Times New Roman" w:cs="Times New Roman"/>
          <w:b/>
          <w:bCs/>
          <w:iCs/>
        </w:rPr>
        <w:t xml:space="preserve">Hemophagocytic </w:t>
      </w:r>
      <w:r w:rsidR="004A0C79">
        <w:rPr>
          <w:rFonts w:ascii="Times New Roman" w:hAnsi="Times New Roman" w:cs="Times New Roman"/>
          <w:b/>
          <w:bCs/>
          <w:iCs/>
        </w:rPr>
        <w:t>l</w:t>
      </w:r>
      <w:r w:rsidRPr="000745A1">
        <w:rPr>
          <w:rFonts w:ascii="Times New Roman" w:hAnsi="Times New Roman" w:cs="Times New Roman"/>
          <w:b/>
          <w:bCs/>
          <w:iCs/>
        </w:rPr>
        <w:t>ymphohistiocytosis (HLH) and susceptibility to EBV infection</w:t>
      </w:r>
    </w:p>
    <w:p w14:paraId="2B29CB59" w14:textId="0055D0E2" w:rsidR="004A0C79" w:rsidRPr="004A0C79" w:rsidRDefault="004A2E59" w:rsidP="004A2E59">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t>Out of 3</w:t>
      </w:r>
      <w:r w:rsidR="0048505A" w:rsidRPr="000745A1">
        <w:rPr>
          <w:rFonts w:ascii="Times New Roman" w:hAnsi="Times New Roman" w:cs="Times New Roman"/>
          <w:color w:val="231F20"/>
        </w:rPr>
        <w:t>1</w:t>
      </w:r>
      <w:r w:rsidRPr="000745A1">
        <w:rPr>
          <w:rFonts w:ascii="Times New Roman" w:hAnsi="Times New Roman" w:cs="Times New Roman"/>
          <w:color w:val="231F20"/>
        </w:rPr>
        <w:t xml:space="preserve"> children falling under this category of disease of immune dysregulation in our cohort, </w:t>
      </w:r>
      <w:r w:rsidR="0048505A" w:rsidRPr="000745A1">
        <w:rPr>
          <w:rFonts w:ascii="Times New Roman" w:hAnsi="Times New Roman" w:cs="Times New Roman"/>
          <w:color w:val="231F20"/>
        </w:rPr>
        <w:t xml:space="preserve">10 </w:t>
      </w:r>
      <w:r w:rsidRPr="000745A1">
        <w:rPr>
          <w:rFonts w:ascii="Times New Roman" w:hAnsi="Times New Roman" w:cs="Times New Roman"/>
          <w:color w:val="231F20"/>
        </w:rPr>
        <w:t>were diagnosed to have HLH. Al</w:t>
      </w:r>
      <w:r w:rsidR="00EA61B7">
        <w:rPr>
          <w:rFonts w:ascii="Times New Roman" w:hAnsi="Times New Roman" w:cs="Times New Roman"/>
          <w:color w:val="231F20"/>
        </w:rPr>
        <w:t>l of them were less than 5 y</w:t>
      </w:r>
      <w:r w:rsidRPr="000745A1">
        <w:rPr>
          <w:rFonts w:ascii="Times New Roman" w:hAnsi="Times New Roman" w:cs="Times New Roman"/>
          <w:color w:val="231F20"/>
        </w:rPr>
        <w:t xml:space="preserve"> age and were referred because of PUO (3), </w:t>
      </w:r>
      <w:r w:rsidR="008B081A" w:rsidRPr="000745A1">
        <w:rPr>
          <w:rFonts w:ascii="Times New Roman" w:hAnsi="Times New Roman" w:cs="Times New Roman"/>
          <w:color w:val="231F20"/>
        </w:rPr>
        <w:t>lymphadenopathy</w:t>
      </w:r>
      <w:r w:rsidR="002462FB">
        <w:rPr>
          <w:rFonts w:ascii="Times New Roman" w:hAnsi="Times New Roman" w:cs="Times New Roman"/>
          <w:color w:val="231F20"/>
        </w:rPr>
        <w:t xml:space="preserve"> </w:t>
      </w:r>
      <w:r w:rsidRPr="000745A1">
        <w:rPr>
          <w:rFonts w:ascii="Times New Roman" w:hAnsi="Times New Roman" w:cs="Times New Roman"/>
          <w:color w:val="231F20"/>
        </w:rPr>
        <w:t>(</w:t>
      </w:r>
      <w:r w:rsidR="00E467A7" w:rsidRPr="000745A1">
        <w:rPr>
          <w:rFonts w:ascii="Times New Roman" w:hAnsi="Times New Roman" w:cs="Times New Roman"/>
          <w:color w:val="231F20"/>
        </w:rPr>
        <w:t>2</w:t>
      </w:r>
      <w:r w:rsidRPr="000745A1">
        <w:rPr>
          <w:rFonts w:ascii="Times New Roman" w:hAnsi="Times New Roman" w:cs="Times New Roman"/>
          <w:color w:val="231F20"/>
        </w:rPr>
        <w:t xml:space="preserve">), suspected HLH in </w:t>
      </w:r>
      <w:r w:rsidR="00E467A7" w:rsidRPr="000745A1">
        <w:rPr>
          <w:rFonts w:ascii="Times New Roman" w:hAnsi="Times New Roman" w:cs="Times New Roman"/>
          <w:color w:val="231F20"/>
        </w:rPr>
        <w:t>3</w:t>
      </w:r>
      <w:r w:rsidRPr="000745A1">
        <w:rPr>
          <w:rFonts w:ascii="Times New Roman" w:hAnsi="Times New Roman" w:cs="Times New Roman"/>
          <w:color w:val="231F20"/>
        </w:rPr>
        <w:t xml:space="preserve"> (organomegaly, high-grade fever spike</w:t>
      </w:r>
      <w:r w:rsidR="00230750">
        <w:rPr>
          <w:rFonts w:ascii="Times New Roman" w:hAnsi="Times New Roman" w:cs="Times New Roman"/>
          <w:color w:val="231F20"/>
        </w:rPr>
        <w:t xml:space="preserve">s, high ferritin </w:t>
      </w:r>
      <w:r w:rsidR="00C755DE" w:rsidRPr="000745A1">
        <w:rPr>
          <w:rFonts w:ascii="Times New Roman" w:hAnsi="Times New Roman" w:cs="Times New Roman"/>
          <w:color w:val="231F20"/>
        </w:rPr>
        <w:t>&gt;3500ng/ml) patient</w:t>
      </w:r>
      <w:r w:rsidRPr="000745A1">
        <w:rPr>
          <w:rFonts w:ascii="Times New Roman" w:hAnsi="Times New Roman" w:cs="Times New Roman"/>
          <w:color w:val="231F20"/>
        </w:rPr>
        <w:t>s and one</w:t>
      </w:r>
      <w:r w:rsidR="00EA61B7">
        <w:rPr>
          <w:rFonts w:ascii="Times New Roman" w:hAnsi="Times New Roman" w:cs="Times New Roman"/>
          <w:color w:val="231F20"/>
        </w:rPr>
        <w:t xml:space="preserve"> 6-mo-</w:t>
      </w:r>
      <w:r w:rsidRPr="000745A1">
        <w:rPr>
          <w:rFonts w:ascii="Times New Roman" w:hAnsi="Times New Roman" w:cs="Times New Roman"/>
          <w:color w:val="231F20"/>
        </w:rPr>
        <w:t>old child was referred for prolonged chickenpox infection with organomegaly</w:t>
      </w:r>
      <w:r w:rsidR="00E467A7" w:rsidRPr="000745A1">
        <w:rPr>
          <w:rFonts w:ascii="Times New Roman" w:hAnsi="Times New Roman" w:cs="Times New Roman"/>
          <w:color w:val="231F20"/>
        </w:rPr>
        <w:t xml:space="preserve"> and another one with cytopenia</w:t>
      </w:r>
      <w:r w:rsidRPr="000745A1">
        <w:rPr>
          <w:rFonts w:ascii="Times New Roman" w:hAnsi="Times New Roman" w:cs="Times New Roman"/>
          <w:color w:val="231F20"/>
        </w:rPr>
        <w:t xml:space="preserve">. All children met the criteria of HLH 2004 </w:t>
      </w:r>
      <w:r w:rsidRPr="000745A1">
        <w:rPr>
          <w:rFonts w:ascii="Times New Roman" w:hAnsi="Times New Roman" w:cs="Times New Roman"/>
          <w:color w:val="231F20"/>
        </w:rPr>
        <w:fldChar w:fldCharType="begin" w:fldLock="1"/>
      </w:r>
      <w:r w:rsidRPr="000745A1">
        <w:rPr>
          <w:rFonts w:ascii="Times New Roman" w:hAnsi="Times New Roman" w:cs="Times New Roman"/>
          <w:color w:val="231F20"/>
        </w:rPr>
        <w:instrText>ADDIN CSL_CITATION {"citationItems":[{"id":"ITEM-1","itemData":{"DOI":"10.1002/pbc.21039","ISSN":"15455009","abstract":"In HLH-94, the first prospective international treatment study for hemophagocytic lymphohistiocytosis (HLH), diagnosis was based on five criteria (fever, splenomegaly, bicytopenia, hypertriglyceridemia and/or hypofibrinogenemia, and hemophagocytosis). In HLH-2004 three additional criteria are introduced; low/absent NK-cell-activity, hyperferritinemia, and high-soluble interleukin-2-receptor levels. Altogether five of these eight criteria must be fulfilled, unless family history or molecular diagnosis is consistent with HLH. HLH-2004 chemo-immunotherapy includes etoposide, dexamethasone, cyclosporine A upfront and, in selected patients, intrathecal therapy with methotrexate and corticosteroids. Subsequent hematopoietic stem cell transplantation (HSCT) is recommended for patients with familial disease or molecular diagnosis, and patients with severe and persistent, or reactivated, disease. In order to hopefully further improve diagnosis, therapy and biological understanding, participation in HLH studies is encouraged. © 2006 Wiley-Liss, Inc.","author":[{"dropping-particle":"","family":"Henter","given":"Jan Inge","non-dropping-particle":"","parse-names":false,"suffix":""},{"dropping-particle":"","family":"Horne","given":"Anna Carin","non-dropping-particle":"","parse-names":false,"suffix":""},{"dropping-particle":"","family":"Aricó","given":"Maurizio","non-dropping-particle":"","parse-names":false,"suffix":""},{"dropping-particle":"","family":"Egeler","given":"R. Maarten","non-dropping-particle":"","parse-names":false,"suffix":""},{"dropping-particle":"","family":"Filipovich","given":"Alexandra H.","non-dropping-particle":"","parse-names":false,"suffix":""},{"dropping-particle":"","family":"Imashuku","given":"Shinsaku","non-dropping-particle":"","parse-names":false,"suffix":""},{"dropping-particle":"","family":"Ladisch","given":"Stephan","non-dropping-particle":"","parse-names":false,"suffix":""},{"dropping-particle":"","family":"McClain","given":"Ken","non-dropping-particle":"","parse-names":false,"suffix":""},{"dropping-particle":"","family":"Webb","given":"David","non-dropping-particle":"","parse-names":false,"suffix":""},{"dropping-particle":"","family":"Winiarski","given":"Jacek","non-dropping-particle":"","parse-names":false,"suffix":""},{"dropping-particle":"","family":"Janka","given":"Gritta","non-dropping-particle":"","parse-names":false,"suffix":""}],"container-title":"Pediatric Blood and Cancer","id":"ITEM-1","issued":{"date-parts":[["2007"]]},"title":"HLH-2004: Diagnostic and therapeutic guidelines for hemophagocytic lymphohistiocytosis","type":"article"},"uris":["http://www.mendeley.com/documents/?uuid=dc223838-4cef-4024-bcb1-acf4804f4eff"]}],"mendeley":{"formattedCitation":"[22]","plainTextFormattedCitation":"[22]","previouslyFormattedCitation":"[22]"},"properties":{"noteIndex":0},"schema":"https://github.com/citation-style-language/schema/raw/master/csl-citation.json"}</w:instrText>
      </w:r>
      <w:r w:rsidRPr="000745A1">
        <w:rPr>
          <w:rFonts w:ascii="Times New Roman" w:hAnsi="Times New Roman" w:cs="Times New Roman"/>
          <w:color w:val="231F20"/>
        </w:rPr>
        <w:fldChar w:fldCharType="separate"/>
      </w:r>
      <w:r w:rsidR="00E9757E">
        <w:rPr>
          <w:rFonts w:ascii="Times New Roman" w:hAnsi="Times New Roman" w:cs="Times New Roman"/>
          <w:noProof/>
          <w:color w:val="231F20"/>
        </w:rPr>
        <w:t>[4</w:t>
      </w:r>
      <w:r w:rsidRPr="000745A1">
        <w:rPr>
          <w:rFonts w:ascii="Times New Roman" w:hAnsi="Times New Roman" w:cs="Times New Roman"/>
          <w:noProof/>
          <w:color w:val="231F20"/>
        </w:rPr>
        <w:t>]</w:t>
      </w:r>
      <w:r w:rsidRPr="000745A1">
        <w:rPr>
          <w:rFonts w:ascii="Times New Roman" w:hAnsi="Times New Roman" w:cs="Times New Roman"/>
          <w:color w:val="231F20"/>
        </w:rPr>
        <w:fldChar w:fldCharType="end"/>
      </w:r>
      <w:r w:rsidRPr="000745A1">
        <w:rPr>
          <w:rFonts w:ascii="Times New Roman" w:hAnsi="Times New Roman" w:cs="Times New Roman"/>
          <w:color w:val="231F20"/>
        </w:rPr>
        <w:t xml:space="preserve">.   One child did have albinism, granules in lymphocytes, and neutrophils on the peripheral smear, and exome sequencing showed a mutation in the LYST gene suggestive of Chediak-Higashi syndrome </w:t>
      </w:r>
      <w:r w:rsidRPr="000745A1">
        <w:rPr>
          <w:rFonts w:ascii="Times New Roman" w:hAnsi="Times New Roman" w:cs="Times New Roman"/>
          <w:color w:val="231F20"/>
        </w:rPr>
        <w:fldChar w:fldCharType="begin" w:fldLock="1"/>
      </w:r>
      <w:r w:rsidRPr="000745A1">
        <w:rPr>
          <w:rFonts w:ascii="Times New Roman" w:hAnsi="Times New Roman" w:cs="Times New Roman"/>
          <w:color w:val="231F20"/>
        </w:rPr>
        <w:instrText>ADDIN CSL_CITATION {"citationItems":[{"id":"ITEM-1","itemData":{"DOI":"10.20953/1726-1708-2016-1-27-33","ISSN":"17261708","PMID":"29939658","abstract":"Chediak-Higashi syndrome (CHS) is a rare autosomal recessive immunodeficiency, caused by mutation in LYST-CHS1 gene, encoding the respective protein regulating the lysosomal transport. The syndrome is characterized by early onset, specific clinical features and laboratory signs (oculocutaneous albinism, the presence of peroxidase-positive giant granules in granule containing cells), a high risk of hemophagocytic lymphohistiocytosis (accelerated phase), and is fatal in the majority of cases. Hematopoietic stem cell transplantation (HSCT) is the only curative treatment. The best results of overall survival of CHS patients are attained if HSCT is carried out before the accelerated phase and with the use of reduced intensity conditioning. The authors present the experience gained in the diagnosis and treatment of three patients with CHS of different severity and with complications of the underlying disease. Two patients received HSCT with reduced intensity conditioning in accordance with the international recommendations. The results of catamnesis (duration of follow-up 4 months and 1 year) indicated complete hematological reconstitution.","author":[{"dropping-particle":"","family":"Rodina","given":"Yuliya A.","non-dropping-particle":"","parse-names":false,"suffix":""},{"dropping-particle":"","family":"Matveev","given":"Victor E.","non-dropping-particle":"","parse-names":false,"suffix":""},{"dropping-particle":"","family":"Balashov","given":"Dmitry N.","non-dropping-particle":"","parse-names":false,"suffix":""},{"dropping-particle":"","family":"Dubrovina","given":"Maria E.","non-dropping-particle":"","parse-names":false,"suffix":""},{"dropping-particle":"","family":"Shcherbina","given":"Anna Yu","non-dropping-particle":"","parse-names":false,"suffix":""}],"container-title":"Pediatric Hematology/Oncology and Immunopathology","id":"ITEM-1","issue":"1","issued":{"date-parts":[["2016"]]},"page":"27-33","title":"Chediak-Higashi syndrome","type":"article","volume":"15"},"uris":["http://www.mendeley.com/documents/?uuid=97f08539-d4fb-4ffd-b62e-e92a0b0031f8"]}],"mendeley":{"formattedCitation":"[23]","plainTextFormattedCitation":"[23]","previouslyFormattedCitation":"[23]"},"properties":{"noteIndex":0},"schema":"https://github.com/citation-style-language/schema/raw/master/csl-citation.json"}</w:instrText>
      </w:r>
      <w:r w:rsidRPr="000745A1">
        <w:rPr>
          <w:rFonts w:ascii="Times New Roman" w:hAnsi="Times New Roman" w:cs="Times New Roman"/>
          <w:color w:val="231F20"/>
        </w:rPr>
        <w:fldChar w:fldCharType="separate"/>
      </w:r>
      <w:r w:rsidR="00E9757E">
        <w:rPr>
          <w:rFonts w:ascii="Times New Roman" w:hAnsi="Times New Roman" w:cs="Times New Roman"/>
          <w:noProof/>
          <w:color w:val="231F20"/>
        </w:rPr>
        <w:t>[5</w:t>
      </w:r>
      <w:r w:rsidRPr="000745A1">
        <w:rPr>
          <w:rFonts w:ascii="Times New Roman" w:hAnsi="Times New Roman" w:cs="Times New Roman"/>
          <w:noProof/>
          <w:color w:val="231F20"/>
        </w:rPr>
        <w:t>]</w:t>
      </w:r>
      <w:r w:rsidRPr="000745A1">
        <w:rPr>
          <w:rFonts w:ascii="Times New Roman" w:hAnsi="Times New Roman" w:cs="Times New Roman"/>
          <w:color w:val="231F20"/>
        </w:rPr>
        <w:fldChar w:fldCharType="end"/>
      </w:r>
      <w:r w:rsidRPr="000745A1">
        <w:rPr>
          <w:rFonts w:ascii="Times New Roman" w:hAnsi="Times New Roman" w:cs="Times New Roman"/>
          <w:color w:val="231F20"/>
        </w:rPr>
        <w:t>. The other one who was referred with leucocytosis (WBC 56000cells/cm</w:t>
      </w:r>
      <w:r w:rsidRPr="000745A1">
        <w:rPr>
          <w:rFonts w:ascii="Times New Roman" w:hAnsi="Times New Roman" w:cs="Times New Roman"/>
          <w:color w:val="231F20"/>
          <w:vertAlign w:val="superscript"/>
        </w:rPr>
        <w:t>3</w:t>
      </w:r>
      <w:r w:rsidRPr="000745A1">
        <w:rPr>
          <w:rFonts w:ascii="Times New Roman" w:hAnsi="Times New Roman" w:cs="Times New Roman"/>
          <w:color w:val="231F20"/>
        </w:rPr>
        <w:t>), anemia (Hb 5.5gm%), and thrombocytopenia (33000cell/cm</w:t>
      </w:r>
      <w:r w:rsidRPr="000745A1">
        <w:rPr>
          <w:rFonts w:ascii="Times New Roman" w:hAnsi="Times New Roman" w:cs="Times New Roman"/>
          <w:color w:val="231F20"/>
          <w:vertAlign w:val="superscript"/>
        </w:rPr>
        <w:t>3</w:t>
      </w:r>
      <w:r w:rsidRPr="000745A1">
        <w:rPr>
          <w:rFonts w:ascii="Times New Roman" w:hAnsi="Times New Roman" w:cs="Times New Roman"/>
          <w:color w:val="231F20"/>
        </w:rPr>
        <w:t xml:space="preserve">), the peripheral smear was suggestive of atypical lymphocytes with indented cytoplasm and nucleoli. The EBV DNA were &gt; 100000 copies/mL. Exome sequence showed </w:t>
      </w:r>
      <w:r w:rsidRPr="000745A1">
        <w:rPr>
          <w:rFonts w:ascii="Times New Roman" w:hAnsi="Times New Roman" w:cs="Times New Roman"/>
          <w:color w:val="231F20"/>
        </w:rPr>
        <w:lastRenderedPageBreak/>
        <w:t xml:space="preserve">a mutation in the SH2D1A gene suggestive of X-linked lymphoproliferative syndrome </w:t>
      </w:r>
      <w:r w:rsidRPr="000745A1">
        <w:rPr>
          <w:rFonts w:ascii="Times New Roman" w:hAnsi="Times New Roman" w:cs="Times New Roman"/>
          <w:color w:val="231F20"/>
        </w:rPr>
        <w:fldChar w:fldCharType="begin" w:fldLock="1"/>
      </w:r>
      <w:r w:rsidRPr="000745A1">
        <w:rPr>
          <w:rFonts w:ascii="Times New Roman" w:hAnsi="Times New Roman" w:cs="Times New Roman"/>
          <w:color w:val="231F20"/>
        </w:rPr>
        <w:instrText>ADDIN CSL_CITATION {"citationItems":[{"id":"ITEM-1","itemData":{"DOI":"10.1146/annurev.immunol.19.1.657","ISSN":"0732-0582","abstract":"Our understanding of the X-linked lymphoproliferative syndrome (XLP) has advanced significantly in the last two years. The gene that is altered in the condition (SAP/SH2D1A) has been cloned and its protein crystal structure solved. At least two sets of target molecules for this small SH2 domain-containing protein have been identified: A family of hematopoietic cell surface receptors, i.e. the SLAM family, and a second molecule, which is a phosphorylated adapter. A SAP-like protein, EAT-2, has also been found to interact with this family of surface receptors. Several lines of evidence, including structural studies and analyses of missense mutations in XLP patients, support the notion that SAP/SH2D1A is a natural inhibitor of SH2-domain-dependent interactions with members of the SLAM family. However, details of its role in signaling mechanisms are yet to be unravelled. Further analyses of the SAP/SH2D1A gene in XLP patients have made it clear that the development of dys-gammaglobulinemia and B cell lymphoma can occur without evidence of prior EBV infection. Moreover, preliminary results of virus infections of a mouse in which the SAP/SH2D1A gene has been disrupted suggest that EBV infection is not per se critical for the development of XLP phenotypes. It appears therefore that the SAP/SH2D1A gene controls signaling via the SLAM family of surface receptors and thus may play a fundamental role in T cell and APC interactions during viral infections.","author":[{"dropping-particle":"","family":"Morra","given":"Massimo","non-dropping-particle":"","parse-names":false,"suffix":""},{"dropping-particle":"","family":"Howie","given":"Duncan","non-dropping-particle":"","parse-names":false,"suffix":""},{"dropping-particle":"","family":"Grande","given":"Maria Simarro","non-dropping-particle":"","parse-names":false,"suffix":""},{"dropping-particle":"","family":"Sayos","given":"Joan","non-dropping-particle":"","parse-names":false,"suffix":""},{"dropping-particle":"","family":"Wang","given":"Ninghai","non-dropping-particle":"","parse-names":false,"suffix":""},{"dropping-particle":"","family":"Wu","given":"Chengbin","non-dropping-particle":"","parse-names":false,"suffix":""},{"dropping-particle":"","family":"Engel","given":"Pablo","non-dropping-particle":"","parse-names":false,"suffix":""},{"dropping-particle":"","family":"Terhorst","given":"Cox","non-dropping-particle":"","parse-names":false,"suffix":""}],"container-title":"Annual Review of Immunology","id":"ITEM-1","issued":{"date-parts":[["2001"]]},"title":" X-L INKED L YMPHOPROLIFERATIVE D ISEASE : A Progressive Immunodeficiency ","type":"article-journal"},"uris":["http://www.mendeley.com/documents/?uuid=02a9b307-04e5-4c59-a0c0-07d427de0442"]}],"mendeley":{"formattedCitation":"[24]","plainTextFormattedCitation":"[24]","previouslyFormattedCitation":"[24]"},"properties":{"noteIndex":0},"schema":"https://github.com/citation-style-language/schema/raw/master/csl-citation.json"}</w:instrText>
      </w:r>
      <w:r w:rsidRPr="000745A1">
        <w:rPr>
          <w:rFonts w:ascii="Times New Roman" w:hAnsi="Times New Roman" w:cs="Times New Roman"/>
          <w:color w:val="231F20"/>
        </w:rPr>
        <w:fldChar w:fldCharType="separate"/>
      </w:r>
      <w:r w:rsidR="00E9757E">
        <w:rPr>
          <w:rFonts w:ascii="Times New Roman" w:hAnsi="Times New Roman" w:cs="Times New Roman"/>
          <w:noProof/>
          <w:color w:val="231F20"/>
        </w:rPr>
        <w:t>[6</w:t>
      </w:r>
      <w:r w:rsidRPr="000745A1">
        <w:rPr>
          <w:rFonts w:ascii="Times New Roman" w:hAnsi="Times New Roman" w:cs="Times New Roman"/>
          <w:noProof/>
          <w:color w:val="231F20"/>
        </w:rPr>
        <w:t>]</w:t>
      </w:r>
      <w:r w:rsidRPr="000745A1">
        <w:rPr>
          <w:rFonts w:ascii="Times New Roman" w:hAnsi="Times New Roman" w:cs="Times New Roman"/>
          <w:color w:val="231F20"/>
        </w:rPr>
        <w:fldChar w:fldCharType="end"/>
      </w:r>
      <w:r w:rsidRPr="000745A1">
        <w:rPr>
          <w:rFonts w:ascii="Times New Roman" w:hAnsi="Times New Roman" w:cs="Times New Roman"/>
          <w:color w:val="231F20"/>
        </w:rPr>
        <w:t>. Another boy diagnosed with marginal zone lymphoma (seen in immunocompromised children) of the lef</w:t>
      </w:r>
      <w:r w:rsidR="00EA61B7">
        <w:rPr>
          <w:rFonts w:ascii="Times New Roman" w:hAnsi="Times New Roman" w:cs="Times New Roman"/>
          <w:color w:val="231F20"/>
        </w:rPr>
        <w:t>t parasternal region at 10 y</w:t>
      </w:r>
      <w:r w:rsidRPr="000745A1">
        <w:rPr>
          <w:rFonts w:ascii="Times New Roman" w:hAnsi="Times New Roman" w:cs="Times New Roman"/>
          <w:color w:val="231F20"/>
        </w:rPr>
        <w:t xml:space="preserve"> of age found to have low T cells, (CD3+ve) and high EBV DNA PCR copies of 39000/mL. His genetic test showed a homozygous mutation in the RASGRP1 gene</w:t>
      </w:r>
      <w:r w:rsidR="00C161CA">
        <w:rPr>
          <w:rFonts w:ascii="Times New Roman" w:hAnsi="Times New Roman" w:cs="Times New Roman"/>
          <w:color w:val="231F20"/>
        </w:rPr>
        <w:t xml:space="preserve"> </w:t>
      </w:r>
      <w:r w:rsidRPr="000745A1">
        <w:rPr>
          <w:rFonts w:ascii="Times New Roman" w:hAnsi="Times New Roman" w:cs="Times New Roman"/>
          <w:color w:val="231F20"/>
        </w:rPr>
        <w:fldChar w:fldCharType="begin" w:fldLock="1"/>
      </w:r>
      <w:r w:rsidRPr="000745A1">
        <w:rPr>
          <w:rFonts w:ascii="Times New Roman" w:hAnsi="Times New Roman" w:cs="Times New Roman"/>
          <w:color w:val="231F20"/>
        </w:rPr>
        <w:instrText>ADDIN CSL_CITATION {"citationItems":[{"id":"ITEM-1","itemData":{"DOI":"10.15252/emmm.201708292","ISSN":"1757-4676","PMID":"29282224","abstract":"© 2017 EMBO. Inherited CTPS1, CD27, and CD70 deficiencies in humans have revealed key factors of T-lymphocyte expansion, a critical prerequisite for an efficient immunity to Epstein-Barr virus (EBV) infection. RASGRP1 is a T-lymphocyte-specific nucleotide exchange factor known to activate the pathway of MAP kinases (MAPK). A deleterious homozygous mutation in RASGRP1 leading to the loss RASGRP1 expression was identified in two siblings who both developed a persistent EBV infection leading to Hodgkin lymphoma. RASGRP1-deficient T cells exhibited defective MAPK activation and impaired proliferation that was restored by expression of wild-type RASGRP1. Similar defects were observed in T cells from healthy individuals when RASGRP1 was downregulated. RASGRP1-deficient T cells also exhibited decreased CD27-dependent proliferation toward CD70-expressing EBV-transformed B cells, a crucial pathway required for expansion of antigen-specific T cells during anti-EBV immunity. Furthermore, RASGRP1-deficient T cells failed to upregulate CTPS1, an important enzyme involved in DNA synthesis. These results show that RASGRP1 deficiency leads to susceptibility to EBV infection and demonstrate the key role of RASGRP1 at the crossroad of pathways required for the expansion of activated T lymphocytes.","author":[{"dropping-particle":"","family":"Winter","given":"Sarah","non-dropping-particle":"","parse-names":false,"suffix":""},{"dropping-particle":"","family":"Martin","given":"Emmanuel","non-dropping-particle":"","parse-names":false,"suffix":""},{"dropping-particle":"","family":"Boutboul","given":"David","non-dropping-particle":"","parse-names":false,"suffix":""},{"dropping-particle":"","family":"Lenoir","given":"Christelle","non-dropping-particle":"","parse-names":false,"suffix":""},{"dropping-particle":"","family":"Boudjemaa","given":"Sabah","non-dropping-particle":"","parse-names":false,"suffix":""},{"dropping-particle":"","family":"Petit","given":"Arnaud","non-dropping-particle":"","parse-names":false,"suffix":""},{"dropping-particle":"","family":"Picard","given":"Capucine","non-dropping-particle":"","parse-names":false,"suffix":""},{"dropping-particle":"","family":"Fischer","given":"Alain","non-dropping-particle":"","parse-names":false,"suffix":""},{"dropping-particle":"","family":"Leverger","given":"Guy","non-dropping-particle":"","parse-names":false,"suffix":""},{"dropping-particle":"","family":"Latour","given":"Sylvain","non-dropping-particle":"","parse-names":false,"suffix":""}],"container-title":"EMBO Molecular Medicine","id":"ITEM-1","issue":"2","issued":{"date-parts":[["2018"]]},"page":"188-199","title":" Loss of RASGRP 1 in humans impairs T</w:instrText>
      </w:r>
      <w:r w:rsidRPr="000745A1">
        <w:rPr>
          <w:rFonts w:ascii="Cambria Math" w:hAnsi="Cambria Math" w:cs="Cambria Math"/>
          <w:color w:val="231F20"/>
        </w:rPr>
        <w:instrText>‐</w:instrText>
      </w:r>
      <w:r w:rsidRPr="000745A1">
        <w:rPr>
          <w:rFonts w:ascii="Times New Roman" w:hAnsi="Times New Roman" w:cs="Times New Roman"/>
          <w:color w:val="231F20"/>
        </w:rPr>
        <w:instrText>cell expansion leading to Epstein</w:instrText>
      </w:r>
      <w:r w:rsidRPr="000745A1">
        <w:rPr>
          <w:rFonts w:ascii="Cambria Math" w:hAnsi="Cambria Math" w:cs="Cambria Math"/>
          <w:color w:val="231F20"/>
        </w:rPr>
        <w:instrText>‐</w:instrText>
      </w:r>
      <w:r w:rsidRPr="000745A1">
        <w:rPr>
          <w:rFonts w:ascii="Times New Roman" w:hAnsi="Times New Roman" w:cs="Times New Roman"/>
          <w:color w:val="231F20"/>
        </w:rPr>
        <w:instrText>Barr virus susceptibility ","type":"article-journal","volume":"10"},"uris":["http://www.mendeley.com/documents/?uuid=cc179987-e608-4b62-a0d8-ae3dbd6dece8"]}],"mendeley":{"formattedCitation":"[25]","plainTextFormattedCitation":"[25]","previouslyFormattedCitation":"[25]"},"properties":{"noteIndex":0},"schema":"https://github.com/citation-style-language/schema/raw/master/csl-citation.json"}</w:instrText>
      </w:r>
      <w:r w:rsidRPr="000745A1">
        <w:rPr>
          <w:rFonts w:ascii="Times New Roman" w:hAnsi="Times New Roman" w:cs="Times New Roman"/>
          <w:color w:val="231F20"/>
        </w:rPr>
        <w:fldChar w:fldCharType="separate"/>
      </w:r>
      <w:r w:rsidR="0098199B">
        <w:rPr>
          <w:rFonts w:ascii="Times New Roman" w:hAnsi="Times New Roman" w:cs="Times New Roman"/>
          <w:noProof/>
          <w:color w:val="231F20"/>
        </w:rPr>
        <w:t>[7</w:t>
      </w:r>
      <w:r w:rsidRPr="000745A1">
        <w:rPr>
          <w:rFonts w:ascii="Times New Roman" w:hAnsi="Times New Roman" w:cs="Times New Roman"/>
          <w:noProof/>
          <w:color w:val="231F20"/>
        </w:rPr>
        <w:t>]</w:t>
      </w:r>
      <w:r w:rsidRPr="000745A1">
        <w:rPr>
          <w:rFonts w:ascii="Times New Roman" w:hAnsi="Times New Roman" w:cs="Times New Roman"/>
          <w:color w:val="231F20"/>
        </w:rPr>
        <w:fldChar w:fldCharType="end"/>
      </w:r>
      <w:r w:rsidRPr="000745A1">
        <w:rPr>
          <w:rFonts w:ascii="Times New Roman" w:hAnsi="Times New Roman" w:cs="Times New Roman"/>
          <w:color w:val="231F20"/>
        </w:rPr>
        <w:t>. One child met the criteria for Harmansky Pudlak syndrome. Of the 1</w:t>
      </w:r>
      <w:r w:rsidR="00E467A7" w:rsidRPr="000745A1">
        <w:rPr>
          <w:rFonts w:ascii="Times New Roman" w:hAnsi="Times New Roman" w:cs="Times New Roman"/>
          <w:color w:val="231F20"/>
        </w:rPr>
        <w:t>0</w:t>
      </w:r>
      <w:r w:rsidRPr="000745A1">
        <w:rPr>
          <w:rFonts w:ascii="Times New Roman" w:hAnsi="Times New Roman" w:cs="Times New Roman"/>
          <w:color w:val="231F20"/>
        </w:rPr>
        <w:t xml:space="preserve"> children with HLH, </w:t>
      </w:r>
      <w:r w:rsidR="00E467A7" w:rsidRPr="000745A1">
        <w:rPr>
          <w:rFonts w:ascii="Times New Roman" w:hAnsi="Times New Roman" w:cs="Times New Roman"/>
          <w:color w:val="231F20"/>
        </w:rPr>
        <w:t xml:space="preserve">six </w:t>
      </w:r>
      <w:r w:rsidRPr="000745A1">
        <w:rPr>
          <w:rFonts w:ascii="Times New Roman" w:hAnsi="Times New Roman" w:cs="Times New Roman"/>
          <w:color w:val="231F20"/>
        </w:rPr>
        <w:t xml:space="preserve">children </w:t>
      </w:r>
      <w:r w:rsidR="00E467A7" w:rsidRPr="000745A1">
        <w:rPr>
          <w:rFonts w:ascii="Times New Roman" w:hAnsi="Times New Roman" w:cs="Times New Roman"/>
          <w:color w:val="231F20"/>
        </w:rPr>
        <w:t>we</w:t>
      </w:r>
      <w:r w:rsidRPr="000745A1">
        <w:rPr>
          <w:rFonts w:ascii="Times New Roman" w:hAnsi="Times New Roman" w:cs="Times New Roman"/>
          <w:color w:val="231F20"/>
        </w:rPr>
        <w:t xml:space="preserve">re alive at the last follow up. Remaining </w:t>
      </w:r>
      <w:r w:rsidR="00E467A7" w:rsidRPr="000745A1">
        <w:rPr>
          <w:rFonts w:ascii="Times New Roman" w:hAnsi="Times New Roman" w:cs="Times New Roman"/>
          <w:color w:val="231F20"/>
        </w:rPr>
        <w:t xml:space="preserve">three </w:t>
      </w:r>
      <w:r w:rsidRPr="000745A1">
        <w:rPr>
          <w:rFonts w:ascii="Times New Roman" w:hAnsi="Times New Roman" w:cs="Times New Roman"/>
          <w:color w:val="231F20"/>
        </w:rPr>
        <w:t>children died and in one lost to follow up.</w:t>
      </w:r>
    </w:p>
    <w:p w14:paraId="12776EE1" w14:textId="099A25D8" w:rsidR="004A2E59" w:rsidRPr="000745A1" w:rsidRDefault="004A2E59" w:rsidP="004A0C79">
      <w:pPr>
        <w:autoSpaceDE w:val="0"/>
        <w:autoSpaceDN w:val="0"/>
        <w:adjustRightInd w:val="0"/>
        <w:spacing w:before="240"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Autoimmune lymphoproliferative syndrome (ALPS) (</w:t>
      </w:r>
      <w:r w:rsidRPr="004A0C79">
        <w:rPr>
          <w:rFonts w:ascii="Times New Roman" w:hAnsi="Times New Roman" w:cs="Times New Roman"/>
          <w:b/>
          <w:i/>
          <w:color w:val="231F20"/>
        </w:rPr>
        <w:t>n</w:t>
      </w:r>
      <w:r w:rsidR="004A0C79">
        <w:rPr>
          <w:rFonts w:ascii="Times New Roman" w:hAnsi="Times New Roman" w:cs="Times New Roman"/>
          <w:b/>
          <w:color w:val="231F20"/>
        </w:rPr>
        <w:t xml:space="preserve"> </w:t>
      </w:r>
      <w:r w:rsidRPr="000745A1">
        <w:rPr>
          <w:rFonts w:ascii="Times New Roman" w:hAnsi="Times New Roman" w:cs="Times New Roman"/>
          <w:b/>
          <w:color w:val="231F20"/>
        </w:rPr>
        <w:t>=</w:t>
      </w:r>
      <w:r w:rsidR="004A0C79">
        <w:rPr>
          <w:rFonts w:ascii="Times New Roman" w:hAnsi="Times New Roman" w:cs="Times New Roman"/>
          <w:b/>
          <w:color w:val="231F20"/>
        </w:rPr>
        <w:t xml:space="preserve"> </w:t>
      </w:r>
      <w:r w:rsidR="00E467A7" w:rsidRPr="000745A1">
        <w:rPr>
          <w:rFonts w:ascii="Times New Roman" w:hAnsi="Times New Roman" w:cs="Times New Roman"/>
          <w:b/>
          <w:color w:val="231F20"/>
        </w:rPr>
        <w:t>5</w:t>
      </w:r>
      <w:r w:rsidRPr="000745A1">
        <w:rPr>
          <w:rFonts w:ascii="Times New Roman" w:hAnsi="Times New Roman" w:cs="Times New Roman"/>
          <w:b/>
          <w:color w:val="231F20"/>
        </w:rPr>
        <w:t>)</w:t>
      </w:r>
    </w:p>
    <w:p w14:paraId="1C6AB12E" w14:textId="12BB1143" w:rsidR="004A2E59" w:rsidRPr="000745A1" w:rsidRDefault="008B081A" w:rsidP="004A0C79">
      <w:pPr>
        <w:autoSpaceDE w:val="0"/>
        <w:autoSpaceDN w:val="0"/>
        <w:adjustRightInd w:val="0"/>
        <w:spacing w:before="240" w:after="0" w:line="480" w:lineRule="auto"/>
        <w:jc w:val="both"/>
        <w:rPr>
          <w:rFonts w:ascii="Times New Roman" w:hAnsi="Times New Roman" w:cs="Times New Roman"/>
          <w:b/>
          <w:color w:val="231F20"/>
        </w:rPr>
      </w:pPr>
      <w:r w:rsidRPr="000745A1">
        <w:rPr>
          <w:rFonts w:ascii="Times New Roman" w:hAnsi="Times New Roman" w:cs="Times New Roman"/>
          <w:color w:val="231F20"/>
        </w:rPr>
        <w:t>Among 5 children in this group, two children presented with cytopenia a</w:t>
      </w:r>
      <w:r w:rsidR="00A16E55">
        <w:rPr>
          <w:rFonts w:ascii="Times New Roman" w:hAnsi="Times New Roman" w:cs="Times New Roman"/>
          <w:color w:val="231F20"/>
        </w:rPr>
        <w:t xml:space="preserve">nd splenomegaly (low platelets </w:t>
      </w:r>
      <w:r w:rsidRPr="000745A1">
        <w:rPr>
          <w:rFonts w:ascii="Times New Roman" w:hAnsi="Times New Roman" w:cs="Times New Roman"/>
          <w:color w:val="231F20"/>
        </w:rPr>
        <w:t>47000 cells/cm</w:t>
      </w:r>
      <w:r w:rsidRPr="000745A1">
        <w:rPr>
          <w:rFonts w:ascii="Times New Roman" w:hAnsi="Times New Roman" w:cs="Times New Roman"/>
          <w:color w:val="231F20"/>
          <w:vertAlign w:val="superscript"/>
        </w:rPr>
        <w:t>3</w:t>
      </w:r>
      <w:r w:rsidRPr="000745A1">
        <w:rPr>
          <w:rFonts w:ascii="Times New Roman" w:hAnsi="Times New Roman" w:cs="Times New Roman"/>
          <w:color w:val="231F20"/>
        </w:rPr>
        <w:t>) and one each with Coombs positive autoimmune hemolytic anemia, persistent lymphadenopathy not improving with antitubercular medication f</w:t>
      </w:r>
      <w:r w:rsidR="00ED4A65">
        <w:rPr>
          <w:rFonts w:ascii="Times New Roman" w:hAnsi="Times New Roman" w:cs="Times New Roman"/>
          <w:color w:val="231F20"/>
        </w:rPr>
        <w:t xml:space="preserve">or </w:t>
      </w:r>
      <w:r w:rsidR="00EA61B7">
        <w:rPr>
          <w:rFonts w:ascii="Times New Roman" w:hAnsi="Times New Roman" w:cs="Times New Roman"/>
          <w:color w:val="231F20"/>
        </w:rPr>
        <w:t>6 mo</w:t>
      </w:r>
      <w:r w:rsidR="00ED4A65">
        <w:rPr>
          <w:rFonts w:ascii="Times New Roman" w:hAnsi="Times New Roman" w:cs="Times New Roman"/>
          <w:color w:val="231F20"/>
        </w:rPr>
        <w:t xml:space="preserve">, </w:t>
      </w:r>
      <w:r w:rsidRPr="000745A1">
        <w:rPr>
          <w:rFonts w:ascii="Times New Roman" w:hAnsi="Times New Roman" w:cs="Times New Roman"/>
          <w:color w:val="231F20"/>
        </w:rPr>
        <w:t>Evans syndrome (Autoimmune hemolytic anemia and thromb</w:t>
      </w:r>
      <w:r w:rsidR="00EA61B7">
        <w:rPr>
          <w:rFonts w:ascii="Times New Roman" w:hAnsi="Times New Roman" w:cs="Times New Roman"/>
          <w:color w:val="231F20"/>
        </w:rPr>
        <w:t>ocytopenia) for the past 8 y</w:t>
      </w:r>
      <w:r w:rsidRPr="000745A1">
        <w:rPr>
          <w:rFonts w:ascii="Times New Roman" w:hAnsi="Times New Roman" w:cs="Times New Roman"/>
          <w:color w:val="231F20"/>
        </w:rPr>
        <w:t xml:space="preserve"> and remaining one child with leucocytosis with a white blood cell count of 82340cells/cm</w:t>
      </w:r>
      <w:r w:rsidRPr="000745A1">
        <w:rPr>
          <w:rFonts w:ascii="Times New Roman" w:hAnsi="Times New Roman" w:cs="Times New Roman"/>
          <w:color w:val="231F20"/>
          <w:vertAlign w:val="superscript"/>
        </w:rPr>
        <w:t>3</w:t>
      </w:r>
      <w:r w:rsidRPr="000745A1">
        <w:rPr>
          <w:rFonts w:ascii="Times New Roman" w:hAnsi="Times New Roman" w:cs="Times New Roman"/>
          <w:color w:val="231F20"/>
        </w:rPr>
        <w:t xml:space="preserve">. </w:t>
      </w:r>
      <w:r w:rsidR="004A2E59" w:rsidRPr="000745A1">
        <w:rPr>
          <w:rFonts w:ascii="Times New Roman" w:hAnsi="Times New Roman" w:cs="Times New Roman"/>
          <w:color w:val="231F20"/>
        </w:rPr>
        <w:t xml:space="preserve">The vitamin B12 levels &gt;2000ng/ml in two children and it were </w:t>
      </w:r>
      <w:r w:rsidR="00E467A7" w:rsidRPr="000745A1">
        <w:rPr>
          <w:rFonts w:ascii="Times New Roman" w:hAnsi="Times New Roman" w:cs="Times New Roman"/>
          <w:color w:val="231F20"/>
        </w:rPr>
        <w:t xml:space="preserve">1450ng/ml, </w:t>
      </w:r>
      <w:r w:rsidR="004A2E59" w:rsidRPr="000745A1">
        <w:rPr>
          <w:rFonts w:ascii="Times New Roman" w:hAnsi="Times New Roman" w:cs="Times New Roman"/>
          <w:color w:val="231F20"/>
        </w:rPr>
        <w:t>778ng/ml, 960 ng/ml (normal range 195-690ng/ml) in the other t</w:t>
      </w:r>
      <w:r w:rsidR="00E467A7" w:rsidRPr="000745A1">
        <w:rPr>
          <w:rFonts w:ascii="Times New Roman" w:hAnsi="Times New Roman" w:cs="Times New Roman"/>
          <w:color w:val="231F20"/>
        </w:rPr>
        <w:t>hree</w:t>
      </w:r>
      <w:r w:rsidR="004A2E59" w:rsidRPr="000745A1">
        <w:rPr>
          <w:rFonts w:ascii="Times New Roman" w:hAnsi="Times New Roman" w:cs="Times New Roman"/>
          <w:color w:val="231F20"/>
        </w:rPr>
        <w:t xml:space="preserve"> children. The double negative T (DNT) cells (alpha-beta positive CD3+, CD4-and CD8-) were found to be increased in </w:t>
      </w:r>
      <w:r w:rsidR="00ED4A65">
        <w:rPr>
          <w:rFonts w:ascii="Times New Roman" w:hAnsi="Times New Roman" w:cs="Times New Roman"/>
          <w:color w:val="231F20"/>
        </w:rPr>
        <w:t>two children</w:t>
      </w:r>
      <w:r w:rsidR="004A2E59" w:rsidRPr="000745A1">
        <w:rPr>
          <w:rFonts w:ascii="Times New Roman" w:hAnsi="Times New Roman" w:cs="Times New Roman"/>
          <w:color w:val="231F20"/>
        </w:rPr>
        <w:t xml:space="preserve"> (3.5 % to 17% gated on CD 3+ cells).</w:t>
      </w:r>
      <w:r w:rsidR="004A2E59" w:rsidRPr="000745A1">
        <w:rPr>
          <w:rFonts w:ascii="Times New Roman" w:eastAsiaTheme="minorHAnsi" w:hAnsi="Times New Roman" w:cs="Times New Roman"/>
          <w:color w:val="B6082E"/>
          <w:lang w:bidi="kn-IN"/>
        </w:rPr>
        <w:t xml:space="preserve"> </w:t>
      </w:r>
      <w:r w:rsidR="004A2E59" w:rsidRPr="000745A1">
        <w:rPr>
          <w:rFonts w:ascii="Times New Roman" w:eastAsiaTheme="minorHAnsi" w:hAnsi="Times New Roman" w:cs="Times New Roman"/>
          <w:lang w:bidi="kn-IN"/>
        </w:rPr>
        <w:t xml:space="preserve">The </w:t>
      </w:r>
      <w:r w:rsidR="001C148E" w:rsidRPr="000745A1">
        <w:rPr>
          <w:rFonts w:ascii="Times New Roman" w:eastAsiaTheme="minorHAnsi" w:hAnsi="Times New Roman" w:cs="Times New Roman"/>
          <w:lang w:bidi="kn-IN"/>
        </w:rPr>
        <w:t xml:space="preserve">remaining one child </w:t>
      </w:r>
      <w:r w:rsidR="004A2E59" w:rsidRPr="000745A1">
        <w:rPr>
          <w:rFonts w:ascii="Times New Roman" w:eastAsiaTheme="minorHAnsi" w:hAnsi="Times New Roman" w:cs="Times New Roman"/>
          <w:lang w:bidi="kn-IN"/>
        </w:rPr>
        <w:t xml:space="preserve">who did not have DNT cells estimated had </w:t>
      </w:r>
      <w:r w:rsidR="00AF69D2">
        <w:rPr>
          <w:rFonts w:ascii="Times New Roman" w:eastAsiaTheme="minorHAnsi" w:hAnsi="Times New Roman" w:cs="Times New Roman"/>
          <w:lang w:bidi="kn-IN"/>
        </w:rPr>
        <w:t xml:space="preserve">high   ALC of </w:t>
      </w:r>
      <w:r w:rsidR="001C148E" w:rsidRPr="000745A1">
        <w:rPr>
          <w:rFonts w:ascii="Times New Roman" w:eastAsiaTheme="minorHAnsi" w:hAnsi="Times New Roman" w:cs="Times New Roman"/>
          <w:lang w:bidi="kn-IN"/>
        </w:rPr>
        <w:t>37000 cells/cm</w:t>
      </w:r>
      <w:r w:rsidR="001C148E" w:rsidRPr="000745A1">
        <w:rPr>
          <w:rFonts w:ascii="Times New Roman" w:eastAsiaTheme="minorHAnsi" w:hAnsi="Times New Roman" w:cs="Times New Roman"/>
          <w:vertAlign w:val="superscript"/>
          <w:lang w:bidi="kn-IN"/>
        </w:rPr>
        <w:t>3</w:t>
      </w:r>
      <w:r w:rsidR="001C148E" w:rsidRPr="000745A1">
        <w:rPr>
          <w:rFonts w:ascii="Times New Roman" w:eastAsiaTheme="minorHAnsi" w:hAnsi="Times New Roman" w:cs="Times New Roman"/>
          <w:lang w:bidi="kn-IN"/>
        </w:rPr>
        <w:t xml:space="preserve"> positive DCT, lymphoproliferative features </w:t>
      </w:r>
      <w:r w:rsidR="004A2E59" w:rsidRPr="000745A1">
        <w:rPr>
          <w:rFonts w:ascii="Times New Roman" w:eastAsiaTheme="minorHAnsi" w:hAnsi="Times New Roman" w:cs="Times New Roman"/>
          <w:lang w:bidi="kn-IN"/>
        </w:rPr>
        <w:t>on the bone marrow and lymph node biopsy</w:t>
      </w:r>
      <w:r w:rsidR="001C148E" w:rsidRPr="000745A1">
        <w:rPr>
          <w:rFonts w:ascii="Times New Roman" w:eastAsiaTheme="minorHAnsi" w:hAnsi="Times New Roman" w:cs="Times New Roman"/>
          <w:lang w:bidi="kn-IN"/>
        </w:rPr>
        <w:t xml:space="preserve"> with no evidence of </w:t>
      </w:r>
      <w:r w:rsidR="004A2E59" w:rsidRPr="000745A1">
        <w:rPr>
          <w:rFonts w:ascii="Times New Roman" w:eastAsiaTheme="minorHAnsi" w:hAnsi="Times New Roman" w:cs="Times New Roman"/>
          <w:lang w:bidi="kn-IN"/>
        </w:rPr>
        <w:t xml:space="preserve">acute lymphoblastic leukaemia. Four of them are alive at the last follow up. </w:t>
      </w:r>
      <w:r w:rsidR="004A2E59" w:rsidRPr="000745A1">
        <w:rPr>
          <w:rFonts w:ascii="Times New Roman" w:hAnsi="Times New Roman" w:cs="Times New Roman"/>
          <w:color w:val="231F20"/>
        </w:rPr>
        <w:t>The other diagnoses noted in this category were Unclassified immune dysregulation (n=</w:t>
      </w:r>
      <w:r w:rsidR="001C148E" w:rsidRPr="000745A1">
        <w:rPr>
          <w:rFonts w:ascii="Times New Roman" w:hAnsi="Times New Roman" w:cs="Times New Roman"/>
          <w:color w:val="231F20"/>
        </w:rPr>
        <w:t>1</w:t>
      </w:r>
      <w:r w:rsidR="00E844F9" w:rsidRPr="000745A1">
        <w:rPr>
          <w:rFonts w:ascii="Times New Roman" w:hAnsi="Times New Roman" w:cs="Times New Roman"/>
          <w:color w:val="231F20"/>
        </w:rPr>
        <w:t>3</w:t>
      </w:r>
      <w:r w:rsidR="004A2E59" w:rsidRPr="000745A1">
        <w:rPr>
          <w:rFonts w:ascii="Times New Roman" w:hAnsi="Times New Roman" w:cs="Times New Roman"/>
          <w:color w:val="231F20"/>
        </w:rPr>
        <w:t xml:space="preserve">), </w:t>
      </w:r>
      <w:r w:rsidR="001C148E" w:rsidRPr="000745A1">
        <w:rPr>
          <w:rFonts w:ascii="Times New Roman" w:hAnsi="Times New Roman" w:cs="Times New Roman"/>
          <w:color w:val="231F20"/>
        </w:rPr>
        <w:t xml:space="preserve">ALPS like (1), </w:t>
      </w:r>
      <w:r w:rsidR="004A2E59" w:rsidRPr="000745A1">
        <w:rPr>
          <w:rFonts w:ascii="Times New Roman" w:hAnsi="Times New Roman" w:cs="Times New Roman"/>
          <w:color w:val="222222"/>
          <w:shd w:val="clear" w:color="auto" w:fill="FFFFFF"/>
        </w:rPr>
        <w:t>IPEX (Immune dysregulation, polyendocrinopathy, enteropathy, X-linked) like syndrome (n-</w:t>
      </w:r>
      <w:r w:rsidR="001C148E" w:rsidRPr="000745A1">
        <w:rPr>
          <w:rFonts w:ascii="Times New Roman" w:hAnsi="Times New Roman" w:cs="Times New Roman"/>
          <w:color w:val="222222"/>
          <w:shd w:val="clear" w:color="auto" w:fill="FFFFFF"/>
        </w:rPr>
        <w:t>1</w:t>
      </w:r>
      <w:r w:rsidR="004A2E59" w:rsidRPr="000745A1">
        <w:rPr>
          <w:rFonts w:ascii="Times New Roman" w:hAnsi="Times New Roman" w:cs="Times New Roman"/>
          <w:color w:val="222222"/>
          <w:shd w:val="clear" w:color="auto" w:fill="FFFFFF"/>
        </w:rPr>
        <w:t xml:space="preserve">), and </w:t>
      </w:r>
      <w:r w:rsidR="004A2E59" w:rsidRPr="000745A1">
        <w:rPr>
          <w:rFonts w:ascii="Times New Roman" w:hAnsi="Times New Roman" w:cs="Times New Roman"/>
          <w:color w:val="000000"/>
        </w:rPr>
        <w:t>LRBA (</w:t>
      </w:r>
      <w:r w:rsidR="004A2E59" w:rsidRPr="000745A1">
        <w:rPr>
          <w:rFonts w:ascii="Times New Roman" w:hAnsi="Times New Roman" w:cs="Times New Roman"/>
          <w:color w:val="222222"/>
          <w:shd w:val="clear" w:color="auto" w:fill="FFFFFF"/>
        </w:rPr>
        <w:t xml:space="preserve">lipopolysaccharide (LPS)-responsive and beige-like anchor protein) in one child. </w:t>
      </w:r>
      <w:r w:rsidR="001C148E" w:rsidRPr="000745A1">
        <w:rPr>
          <w:rFonts w:ascii="Times New Roman" w:hAnsi="Times New Roman" w:cs="Times New Roman"/>
          <w:color w:val="222222"/>
          <w:shd w:val="clear" w:color="auto" w:fill="FFFFFF"/>
        </w:rPr>
        <w:t xml:space="preserve">Four </w:t>
      </w:r>
      <w:r w:rsidR="004A2E59" w:rsidRPr="000745A1">
        <w:rPr>
          <w:rFonts w:ascii="Times New Roman" w:hAnsi="Times New Roman" w:cs="Times New Roman"/>
          <w:color w:val="222222"/>
          <w:shd w:val="clear" w:color="auto" w:fill="FFFFFF"/>
        </w:rPr>
        <w:t xml:space="preserve">of the </w:t>
      </w:r>
      <w:r w:rsidR="00E844F9" w:rsidRPr="000745A1">
        <w:rPr>
          <w:rFonts w:ascii="Times New Roman" w:hAnsi="Times New Roman" w:cs="Times New Roman"/>
          <w:color w:val="222222"/>
          <w:shd w:val="clear" w:color="auto" w:fill="FFFFFF"/>
        </w:rPr>
        <w:t>thir</w:t>
      </w:r>
      <w:r w:rsidR="001C148E" w:rsidRPr="000745A1">
        <w:rPr>
          <w:rFonts w:ascii="Times New Roman" w:hAnsi="Times New Roman" w:cs="Times New Roman"/>
          <w:color w:val="222222"/>
          <w:shd w:val="clear" w:color="auto" w:fill="FFFFFF"/>
        </w:rPr>
        <w:t>teen</w:t>
      </w:r>
      <w:r w:rsidR="004A2E59" w:rsidRPr="000745A1">
        <w:rPr>
          <w:rFonts w:ascii="Times New Roman" w:hAnsi="Times New Roman" w:cs="Times New Roman"/>
          <w:color w:val="222222"/>
          <w:shd w:val="clear" w:color="auto" w:fill="FFFFFF"/>
        </w:rPr>
        <w:t xml:space="preserve"> children with unclassified immune dysregulation have died</w:t>
      </w:r>
      <w:r w:rsidR="001C148E" w:rsidRPr="000745A1">
        <w:rPr>
          <w:rFonts w:ascii="Times New Roman" w:hAnsi="Times New Roman" w:cs="Times New Roman"/>
          <w:color w:val="222222"/>
          <w:shd w:val="clear" w:color="auto" w:fill="FFFFFF"/>
        </w:rPr>
        <w:t xml:space="preserve"> and one child lost to follow up</w:t>
      </w:r>
      <w:r w:rsidR="004A2E59" w:rsidRPr="000745A1">
        <w:rPr>
          <w:rFonts w:ascii="Times New Roman" w:hAnsi="Times New Roman" w:cs="Times New Roman"/>
          <w:color w:val="222222"/>
          <w:shd w:val="clear" w:color="auto" w:fill="FFFFFF"/>
        </w:rPr>
        <w:t xml:space="preserve">. The rest </w:t>
      </w:r>
      <w:r w:rsidR="001C148E" w:rsidRPr="000745A1">
        <w:rPr>
          <w:rFonts w:ascii="Times New Roman" w:hAnsi="Times New Roman" w:cs="Times New Roman"/>
          <w:color w:val="222222"/>
          <w:shd w:val="clear" w:color="auto" w:fill="FFFFFF"/>
        </w:rPr>
        <w:t>we</w:t>
      </w:r>
      <w:r w:rsidR="004A2E59" w:rsidRPr="000745A1">
        <w:rPr>
          <w:rFonts w:ascii="Times New Roman" w:hAnsi="Times New Roman" w:cs="Times New Roman"/>
          <w:color w:val="222222"/>
          <w:shd w:val="clear" w:color="auto" w:fill="FFFFFF"/>
        </w:rPr>
        <w:t>re alive at the last follow up.</w:t>
      </w:r>
    </w:p>
    <w:p w14:paraId="441C01E2" w14:textId="77777777" w:rsidR="004A2E59" w:rsidRPr="000745A1" w:rsidRDefault="004A2E59" w:rsidP="004A2E59">
      <w:pPr>
        <w:autoSpaceDE w:val="0"/>
        <w:autoSpaceDN w:val="0"/>
        <w:adjustRightInd w:val="0"/>
        <w:spacing w:after="0" w:line="480" w:lineRule="auto"/>
        <w:jc w:val="both"/>
        <w:rPr>
          <w:rFonts w:ascii="Times New Roman" w:hAnsi="Times New Roman" w:cs="Times New Roman"/>
          <w:b/>
          <w:color w:val="231F20"/>
        </w:rPr>
      </w:pPr>
    </w:p>
    <w:p w14:paraId="01812295" w14:textId="31654C9D"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 xml:space="preserve">V Congenital </w:t>
      </w:r>
      <w:r w:rsidR="004A0C79">
        <w:rPr>
          <w:rFonts w:ascii="Times New Roman" w:hAnsi="Times New Roman" w:cs="Times New Roman"/>
          <w:b/>
          <w:color w:val="231F20"/>
        </w:rPr>
        <w:t>d</w:t>
      </w:r>
      <w:r w:rsidRPr="000745A1">
        <w:rPr>
          <w:rFonts w:ascii="Times New Roman" w:hAnsi="Times New Roman" w:cs="Times New Roman"/>
          <w:b/>
          <w:color w:val="231F20"/>
        </w:rPr>
        <w:t xml:space="preserve">efect in </w:t>
      </w:r>
      <w:r w:rsidR="004A0C79">
        <w:rPr>
          <w:rFonts w:ascii="Times New Roman" w:hAnsi="Times New Roman" w:cs="Times New Roman"/>
          <w:b/>
          <w:color w:val="231F20"/>
        </w:rPr>
        <w:t>p</w:t>
      </w:r>
      <w:r w:rsidRPr="000745A1">
        <w:rPr>
          <w:rFonts w:ascii="Times New Roman" w:hAnsi="Times New Roman" w:cs="Times New Roman"/>
          <w:b/>
          <w:color w:val="231F20"/>
        </w:rPr>
        <w:t>hagocytic dysfunction (</w:t>
      </w:r>
      <w:r w:rsidRPr="004A0C79">
        <w:rPr>
          <w:rFonts w:ascii="Times New Roman" w:hAnsi="Times New Roman" w:cs="Times New Roman"/>
          <w:b/>
          <w:i/>
          <w:color w:val="231F20"/>
        </w:rPr>
        <w:t>n</w:t>
      </w:r>
      <w:r w:rsidR="004A0C79">
        <w:rPr>
          <w:rFonts w:ascii="Times New Roman" w:hAnsi="Times New Roman" w:cs="Times New Roman"/>
          <w:b/>
          <w:color w:val="231F20"/>
        </w:rPr>
        <w:t xml:space="preserve"> </w:t>
      </w:r>
      <w:r w:rsidRPr="000745A1">
        <w:rPr>
          <w:rFonts w:ascii="Times New Roman" w:hAnsi="Times New Roman" w:cs="Times New Roman"/>
          <w:b/>
          <w:color w:val="231F20"/>
        </w:rPr>
        <w:t>=</w:t>
      </w:r>
      <w:r w:rsidR="004A0C79">
        <w:rPr>
          <w:rFonts w:ascii="Times New Roman" w:hAnsi="Times New Roman" w:cs="Times New Roman"/>
          <w:b/>
          <w:color w:val="231F20"/>
        </w:rPr>
        <w:t xml:space="preserve"> </w:t>
      </w:r>
      <w:r w:rsidR="00107447" w:rsidRPr="000745A1">
        <w:rPr>
          <w:rFonts w:ascii="Times New Roman" w:hAnsi="Times New Roman" w:cs="Times New Roman"/>
          <w:b/>
          <w:color w:val="231F20"/>
        </w:rPr>
        <w:t>22</w:t>
      </w:r>
      <w:r w:rsidRPr="000745A1">
        <w:rPr>
          <w:rFonts w:ascii="Times New Roman" w:hAnsi="Times New Roman" w:cs="Times New Roman"/>
          <w:b/>
          <w:color w:val="231F20"/>
        </w:rPr>
        <w:t xml:space="preserve">) </w:t>
      </w:r>
    </w:p>
    <w:p w14:paraId="52185BAF" w14:textId="4B496290"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 xml:space="preserve">Chronic </w:t>
      </w:r>
      <w:r w:rsidR="004A0C79">
        <w:rPr>
          <w:rFonts w:ascii="Times New Roman" w:hAnsi="Times New Roman" w:cs="Times New Roman"/>
          <w:b/>
          <w:color w:val="231F20"/>
        </w:rPr>
        <w:t>g</w:t>
      </w:r>
      <w:r w:rsidRPr="000745A1">
        <w:rPr>
          <w:rFonts w:ascii="Times New Roman" w:hAnsi="Times New Roman" w:cs="Times New Roman"/>
          <w:b/>
          <w:color w:val="231F20"/>
        </w:rPr>
        <w:t xml:space="preserve">ranulomatous </w:t>
      </w:r>
      <w:r w:rsidR="004A0C79">
        <w:rPr>
          <w:rFonts w:ascii="Times New Roman" w:hAnsi="Times New Roman" w:cs="Times New Roman"/>
          <w:b/>
          <w:color w:val="231F20"/>
        </w:rPr>
        <w:t>d</w:t>
      </w:r>
      <w:r w:rsidRPr="000745A1">
        <w:rPr>
          <w:rFonts w:ascii="Times New Roman" w:hAnsi="Times New Roman" w:cs="Times New Roman"/>
          <w:b/>
          <w:color w:val="231F20"/>
        </w:rPr>
        <w:t xml:space="preserve">iseases (CGD) </w:t>
      </w:r>
    </w:p>
    <w:p w14:paraId="0B823334" w14:textId="2DE926CA"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lastRenderedPageBreak/>
        <w:t xml:space="preserve">Among the </w:t>
      </w:r>
      <w:r w:rsidR="00E844F9" w:rsidRPr="000745A1">
        <w:rPr>
          <w:rFonts w:ascii="Times New Roman" w:hAnsi="Times New Roman" w:cs="Times New Roman"/>
          <w:color w:val="231F20"/>
        </w:rPr>
        <w:t xml:space="preserve">21 </w:t>
      </w:r>
      <w:r w:rsidRPr="000745A1">
        <w:rPr>
          <w:rFonts w:ascii="Times New Roman" w:hAnsi="Times New Roman" w:cs="Times New Roman"/>
          <w:color w:val="231F20"/>
        </w:rPr>
        <w:t>children under the category Phagocytic defects, 1</w:t>
      </w:r>
      <w:r w:rsidR="00107447" w:rsidRPr="000745A1">
        <w:rPr>
          <w:rFonts w:ascii="Times New Roman" w:hAnsi="Times New Roman" w:cs="Times New Roman"/>
          <w:color w:val="231F20"/>
        </w:rPr>
        <w:t>0</w:t>
      </w:r>
      <w:r w:rsidRPr="000745A1">
        <w:rPr>
          <w:rFonts w:ascii="Times New Roman" w:hAnsi="Times New Roman" w:cs="Times New Roman"/>
          <w:color w:val="231F20"/>
        </w:rPr>
        <w:t xml:space="preserve"> were diagnosed to have CGD. They were referred with recurrent infections (</w:t>
      </w:r>
      <w:r w:rsidR="00E844F9" w:rsidRPr="000745A1">
        <w:rPr>
          <w:rFonts w:ascii="Times New Roman" w:hAnsi="Times New Roman" w:cs="Times New Roman"/>
          <w:color w:val="231F20"/>
        </w:rPr>
        <w:t>5</w:t>
      </w:r>
      <w:r w:rsidRPr="000745A1">
        <w:rPr>
          <w:rFonts w:ascii="Times New Roman" w:hAnsi="Times New Roman" w:cs="Times New Roman"/>
          <w:color w:val="231F20"/>
        </w:rPr>
        <w:t>), PUO (</w:t>
      </w:r>
      <w:r w:rsidR="00E844F9" w:rsidRPr="000745A1">
        <w:rPr>
          <w:rFonts w:ascii="Times New Roman" w:hAnsi="Times New Roman" w:cs="Times New Roman"/>
          <w:color w:val="231F20"/>
        </w:rPr>
        <w:t>4</w:t>
      </w:r>
      <w:r w:rsidRPr="000745A1">
        <w:rPr>
          <w:rFonts w:ascii="Times New Roman" w:hAnsi="Times New Roman" w:cs="Times New Roman"/>
          <w:color w:val="231F20"/>
        </w:rPr>
        <w:t>), and one child with lung abscess. All had neutrophilic leucocytosis and hypergammaglobulinemia, the NBT and DHR were abnormal. One little girl presented on day 7 of life with PUO and was found to have a perianal abscess. One patient was diagnosed at 26 y of age who started to have symptoms from the first year of life and was hospitalised more than 30 times. Over the time, he had developed colitis and bronchiectasis. He received ant</w:t>
      </w:r>
      <w:r w:rsidR="00E844F9" w:rsidRPr="000745A1">
        <w:rPr>
          <w:rFonts w:ascii="Times New Roman" w:hAnsi="Times New Roman" w:cs="Times New Roman"/>
          <w:color w:val="231F20"/>
        </w:rPr>
        <w:t>i</w:t>
      </w:r>
      <w:r w:rsidRPr="000745A1">
        <w:rPr>
          <w:rFonts w:ascii="Times New Roman" w:hAnsi="Times New Roman" w:cs="Times New Roman"/>
          <w:color w:val="231F20"/>
        </w:rPr>
        <w:t xml:space="preserve"> tubercular medication on 3</w:t>
      </w:r>
      <w:r w:rsidR="00EA61B7">
        <w:rPr>
          <w:rFonts w:ascii="Times New Roman" w:hAnsi="Times New Roman" w:cs="Times New Roman"/>
          <w:color w:val="231F20"/>
        </w:rPr>
        <w:t xml:space="preserve"> separate occasions for 6 mo</w:t>
      </w:r>
      <w:r w:rsidRPr="000745A1">
        <w:rPr>
          <w:rFonts w:ascii="Times New Roman" w:hAnsi="Times New Roman" w:cs="Times New Roman"/>
          <w:color w:val="231F20"/>
        </w:rPr>
        <w:t xml:space="preserve"> each time. The results of genetic tes</w:t>
      </w:r>
      <w:r w:rsidR="00B85610" w:rsidRPr="000745A1">
        <w:rPr>
          <w:rFonts w:ascii="Times New Roman" w:hAnsi="Times New Roman" w:cs="Times New Roman"/>
          <w:color w:val="231F20"/>
        </w:rPr>
        <w:t>ts performed on 4 patient</w:t>
      </w:r>
      <w:r w:rsidRPr="000745A1">
        <w:rPr>
          <w:rFonts w:ascii="Times New Roman" w:hAnsi="Times New Roman" w:cs="Times New Roman"/>
          <w:color w:val="231F20"/>
        </w:rPr>
        <w:t xml:space="preserve">s showed an autosomal recessive mutation in CYBA (1), NCF1 (2), and one X-linked recessive mutation in the </w:t>
      </w:r>
      <w:r w:rsidRPr="0076521B">
        <w:rPr>
          <w:rFonts w:ascii="Times New Roman" w:hAnsi="Times New Roman" w:cs="Times New Roman"/>
          <w:color w:val="231F20"/>
        </w:rPr>
        <w:t>CYBB</w:t>
      </w:r>
      <w:r w:rsidRPr="000745A1">
        <w:rPr>
          <w:rFonts w:ascii="Times New Roman" w:hAnsi="Times New Roman" w:cs="Times New Roman"/>
          <w:color w:val="231F20"/>
        </w:rPr>
        <w:t xml:space="preserve"> gene </w:t>
      </w:r>
      <w:r w:rsidRPr="004A0C79">
        <w:rPr>
          <w:rFonts w:ascii="Times New Roman" w:hAnsi="Times New Roman" w:cs="Times New Roman"/>
          <w:color w:val="231F20"/>
        </w:rPr>
        <w:t xml:space="preserve">(Table </w:t>
      </w:r>
      <w:r w:rsidR="00C755DE" w:rsidRPr="004A0C79">
        <w:rPr>
          <w:rFonts w:ascii="Times New Roman" w:hAnsi="Times New Roman" w:cs="Times New Roman"/>
          <w:color w:val="231F20"/>
        </w:rPr>
        <w:t>2</w:t>
      </w:r>
      <w:r w:rsidRPr="004A0C79">
        <w:rPr>
          <w:rFonts w:ascii="Times New Roman" w:hAnsi="Times New Roman" w:cs="Times New Roman"/>
          <w:color w:val="231F20"/>
        </w:rPr>
        <w:t>).</w:t>
      </w:r>
      <w:r w:rsidRPr="000745A1">
        <w:rPr>
          <w:rFonts w:ascii="Times New Roman" w:hAnsi="Times New Roman" w:cs="Times New Roman"/>
          <w:color w:val="231F20"/>
        </w:rPr>
        <w:t xml:space="preserve"> All children diagnosed to have CGD died due to infections except one who underwent a successful HSCT. </w:t>
      </w:r>
    </w:p>
    <w:p w14:paraId="1CF2FCAD" w14:textId="0DF52CDD" w:rsidR="004A2E59" w:rsidRPr="000745A1" w:rsidRDefault="004A2E59" w:rsidP="004A0C79">
      <w:pPr>
        <w:autoSpaceDE w:val="0"/>
        <w:autoSpaceDN w:val="0"/>
        <w:adjustRightInd w:val="0"/>
        <w:spacing w:before="240" w:after="0" w:line="480" w:lineRule="auto"/>
        <w:jc w:val="both"/>
        <w:rPr>
          <w:rFonts w:ascii="Times New Roman" w:hAnsi="Times New Roman" w:cs="Times New Roman"/>
          <w:color w:val="000000"/>
        </w:rPr>
      </w:pPr>
      <w:r w:rsidRPr="000745A1">
        <w:rPr>
          <w:rFonts w:ascii="Times New Roman" w:hAnsi="Times New Roman" w:cs="Times New Roman"/>
          <w:color w:val="231F20"/>
        </w:rPr>
        <w:t>The remaining patients in this group were diagnosed to have SCN (Severe Congenital Neutropenia</w:t>
      </w:r>
      <w:r w:rsidR="0053192E" w:rsidRPr="000745A1">
        <w:rPr>
          <w:rFonts w:ascii="Times New Roman" w:hAnsi="Times New Roman" w:cs="Times New Roman"/>
          <w:color w:val="231F20"/>
        </w:rPr>
        <w:t xml:space="preserve"> n</w:t>
      </w:r>
      <w:r w:rsidRPr="000745A1">
        <w:rPr>
          <w:rFonts w:ascii="Times New Roman" w:hAnsi="Times New Roman" w:cs="Times New Roman"/>
          <w:color w:val="231F20"/>
        </w:rPr>
        <w:t>=</w:t>
      </w:r>
      <w:r w:rsidR="00E844F9" w:rsidRPr="000745A1">
        <w:rPr>
          <w:rFonts w:ascii="Times New Roman" w:hAnsi="Times New Roman" w:cs="Times New Roman"/>
          <w:color w:val="231F20"/>
        </w:rPr>
        <w:t>7</w:t>
      </w:r>
      <w:r w:rsidR="0053192E" w:rsidRPr="000745A1">
        <w:rPr>
          <w:rFonts w:ascii="Times New Roman" w:hAnsi="Times New Roman" w:cs="Times New Roman"/>
          <w:color w:val="231F20"/>
        </w:rPr>
        <w:t xml:space="preserve">, </w:t>
      </w:r>
      <w:r w:rsidRPr="000745A1">
        <w:rPr>
          <w:rFonts w:ascii="Times New Roman" w:hAnsi="Times New Roman" w:cs="Times New Roman"/>
          <w:color w:val="000000"/>
        </w:rPr>
        <w:t>GATA2 deficiency (n=</w:t>
      </w:r>
      <w:r w:rsidR="00E844F9" w:rsidRPr="000745A1">
        <w:rPr>
          <w:rFonts w:ascii="Times New Roman" w:hAnsi="Times New Roman" w:cs="Times New Roman"/>
          <w:color w:val="000000"/>
        </w:rPr>
        <w:t>2</w:t>
      </w:r>
      <w:r w:rsidR="00ED4A65">
        <w:rPr>
          <w:rFonts w:ascii="Times New Roman" w:hAnsi="Times New Roman" w:cs="Times New Roman"/>
          <w:color w:val="000000"/>
        </w:rPr>
        <w:t>)</w:t>
      </w:r>
      <w:r w:rsidR="00E844F9" w:rsidRPr="000745A1">
        <w:rPr>
          <w:rFonts w:ascii="Times New Roman" w:hAnsi="Times New Roman" w:cs="Times New Roman"/>
          <w:color w:val="231F20"/>
        </w:rPr>
        <w:t xml:space="preserve">), </w:t>
      </w:r>
      <w:r w:rsidR="00E844F9" w:rsidRPr="000745A1">
        <w:rPr>
          <w:rFonts w:ascii="Times New Roman" w:hAnsi="Times New Roman" w:cs="Times New Roman"/>
          <w:color w:val="000000"/>
        </w:rPr>
        <w:t>LAD- (Leukocyte Adhesion Defect</w:t>
      </w:r>
      <w:r w:rsidR="0053192E" w:rsidRPr="000745A1">
        <w:rPr>
          <w:rFonts w:ascii="Times New Roman" w:hAnsi="Times New Roman" w:cs="Times New Roman"/>
          <w:color w:val="000000"/>
        </w:rPr>
        <w:t xml:space="preserve"> n</w:t>
      </w:r>
      <w:r w:rsidR="00E844F9" w:rsidRPr="000745A1">
        <w:rPr>
          <w:rFonts w:ascii="Times New Roman" w:hAnsi="Times New Roman" w:cs="Times New Roman"/>
          <w:color w:val="000000"/>
        </w:rPr>
        <w:t xml:space="preserve">=1) and one child with unclassified phagocytic dysfunction who has had recurrent abscess with neutrophilic leucocytosis, hypergammaglobulinemia and normal NBT test. </w:t>
      </w:r>
      <w:r w:rsidRPr="000745A1">
        <w:rPr>
          <w:rFonts w:ascii="Times New Roman" w:hAnsi="Times New Roman" w:cs="Times New Roman"/>
          <w:color w:val="000000"/>
        </w:rPr>
        <w:t xml:space="preserve"> One child with SCN died in the neonatal age group</w:t>
      </w:r>
      <w:r w:rsidR="00E844F9" w:rsidRPr="000745A1">
        <w:rPr>
          <w:rFonts w:ascii="Times New Roman" w:hAnsi="Times New Roman" w:cs="Times New Roman"/>
          <w:color w:val="000000"/>
        </w:rPr>
        <w:t>, one lost to follow up,</w:t>
      </w:r>
      <w:r w:rsidRPr="000745A1">
        <w:rPr>
          <w:rFonts w:ascii="Times New Roman" w:hAnsi="Times New Roman" w:cs="Times New Roman"/>
          <w:color w:val="000000"/>
        </w:rPr>
        <w:t xml:space="preserve"> and the remaining </w:t>
      </w:r>
      <w:r w:rsidR="00E844F9" w:rsidRPr="000745A1">
        <w:rPr>
          <w:rFonts w:ascii="Times New Roman" w:hAnsi="Times New Roman" w:cs="Times New Roman"/>
          <w:color w:val="000000"/>
        </w:rPr>
        <w:t>five chi</w:t>
      </w:r>
      <w:r w:rsidR="00936BA7" w:rsidRPr="000745A1">
        <w:rPr>
          <w:rFonts w:ascii="Times New Roman" w:hAnsi="Times New Roman" w:cs="Times New Roman"/>
          <w:color w:val="000000"/>
        </w:rPr>
        <w:t xml:space="preserve">ldren were alive at last follow up. Four of them </w:t>
      </w:r>
      <w:r w:rsidRPr="000745A1">
        <w:rPr>
          <w:rFonts w:ascii="Times New Roman" w:hAnsi="Times New Roman" w:cs="Times New Roman"/>
          <w:color w:val="000000"/>
        </w:rPr>
        <w:t xml:space="preserve">on daily Granulocyte colony-stimulating factor (G CSF) injections. The </w:t>
      </w:r>
      <w:r w:rsidR="00936BA7" w:rsidRPr="000745A1">
        <w:rPr>
          <w:rFonts w:ascii="Times New Roman" w:hAnsi="Times New Roman" w:cs="Times New Roman"/>
          <w:color w:val="000000"/>
        </w:rPr>
        <w:t xml:space="preserve">one </w:t>
      </w:r>
      <w:r w:rsidRPr="000745A1">
        <w:rPr>
          <w:rFonts w:ascii="Times New Roman" w:hAnsi="Times New Roman" w:cs="Times New Roman"/>
          <w:color w:val="000000"/>
        </w:rPr>
        <w:t>suspected GATA2 deficiency child who had recurrent abscesses and Myelodysplastic syndrome (MDS) also died.</w:t>
      </w:r>
    </w:p>
    <w:p w14:paraId="73AA3154" w14:textId="2D9488B6" w:rsidR="00A03293" w:rsidRPr="000745A1" w:rsidRDefault="00A03293" w:rsidP="008B081A">
      <w:pPr>
        <w:autoSpaceDE w:val="0"/>
        <w:autoSpaceDN w:val="0"/>
        <w:adjustRightInd w:val="0"/>
        <w:spacing w:after="0" w:line="480" w:lineRule="auto"/>
        <w:jc w:val="both"/>
        <w:outlineLvl w:val="0"/>
        <w:rPr>
          <w:rFonts w:ascii="Times New Roman" w:hAnsi="Times New Roman" w:cs="Times New Roman"/>
          <w:b/>
          <w:color w:val="231F20"/>
        </w:rPr>
      </w:pPr>
    </w:p>
    <w:p w14:paraId="5AD42E5C" w14:textId="5E82CF88"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Group VI</w:t>
      </w:r>
      <w:r w:rsidR="004A0C79">
        <w:rPr>
          <w:rFonts w:ascii="Times New Roman" w:hAnsi="Times New Roman" w:cs="Times New Roman"/>
          <w:b/>
          <w:color w:val="231F20"/>
        </w:rPr>
        <w:t>:</w:t>
      </w:r>
      <w:r w:rsidRPr="000745A1">
        <w:rPr>
          <w:rFonts w:ascii="Times New Roman" w:hAnsi="Times New Roman" w:cs="Times New Roman"/>
          <w:b/>
          <w:color w:val="231F20"/>
        </w:rPr>
        <w:t xml:space="preserve"> Defects in </w:t>
      </w:r>
      <w:r w:rsidR="004A0C79">
        <w:rPr>
          <w:rFonts w:ascii="Times New Roman" w:hAnsi="Times New Roman" w:cs="Times New Roman"/>
          <w:b/>
          <w:color w:val="231F20"/>
        </w:rPr>
        <w:t>i</w:t>
      </w:r>
      <w:r w:rsidRPr="000745A1">
        <w:rPr>
          <w:rFonts w:ascii="Times New Roman" w:hAnsi="Times New Roman" w:cs="Times New Roman"/>
          <w:b/>
          <w:color w:val="231F20"/>
        </w:rPr>
        <w:t>nt</w:t>
      </w:r>
      <w:r w:rsidR="00107447" w:rsidRPr="000745A1">
        <w:rPr>
          <w:rFonts w:ascii="Times New Roman" w:hAnsi="Times New Roman" w:cs="Times New Roman"/>
          <w:b/>
          <w:color w:val="231F20"/>
        </w:rPr>
        <w:t xml:space="preserve">rinsic and </w:t>
      </w:r>
      <w:r w:rsidR="004A0C79">
        <w:rPr>
          <w:rFonts w:ascii="Times New Roman" w:hAnsi="Times New Roman" w:cs="Times New Roman"/>
          <w:b/>
          <w:color w:val="231F20"/>
        </w:rPr>
        <w:t>i</w:t>
      </w:r>
      <w:r w:rsidR="00107447" w:rsidRPr="000745A1">
        <w:rPr>
          <w:rFonts w:ascii="Times New Roman" w:hAnsi="Times New Roman" w:cs="Times New Roman"/>
          <w:b/>
          <w:color w:val="231F20"/>
        </w:rPr>
        <w:t>nnate immunity (</w:t>
      </w:r>
      <w:r w:rsidR="00107447" w:rsidRPr="004A0C79">
        <w:rPr>
          <w:rFonts w:ascii="Times New Roman" w:hAnsi="Times New Roman" w:cs="Times New Roman"/>
          <w:b/>
          <w:i/>
          <w:color w:val="231F20"/>
        </w:rPr>
        <w:t>n</w:t>
      </w:r>
      <w:r w:rsidR="004A0C79">
        <w:rPr>
          <w:rFonts w:ascii="Times New Roman" w:hAnsi="Times New Roman" w:cs="Times New Roman"/>
          <w:b/>
          <w:color w:val="231F20"/>
        </w:rPr>
        <w:t xml:space="preserve"> </w:t>
      </w:r>
      <w:r w:rsidR="00107447" w:rsidRPr="000745A1">
        <w:rPr>
          <w:rFonts w:ascii="Times New Roman" w:hAnsi="Times New Roman" w:cs="Times New Roman"/>
          <w:b/>
          <w:color w:val="231F20"/>
        </w:rPr>
        <w:t>=</w:t>
      </w:r>
      <w:r w:rsidR="004A0C79">
        <w:rPr>
          <w:rFonts w:ascii="Times New Roman" w:hAnsi="Times New Roman" w:cs="Times New Roman"/>
          <w:b/>
          <w:color w:val="231F20"/>
        </w:rPr>
        <w:t xml:space="preserve"> </w:t>
      </w:r>
      <w:r w:rsidR="00107447" w:rsidRPr="000745A1">
        <w:rPr>
          <w:rFonts w:ascii="Times New Roman" w:hAnsi="Times New Roman" w:cs="Times New Roman"/>
          <w:b/>
          <w:color w:val="231F20"/>
        </w:rPr>
        <w:t>21</w:t>
      </w:r>
      <w:r w:rsidRPr="000745A1">
        <w:rPr>
          <w:rFonts w:ascii="Times New Roman" w:hAnsi="Times New Roman" w:cs="Times New Roman"/>
          <w:b/>
          <w:color w:val="231F20"/>
        </w:rPr>
        <w:t>)</w:t>
      </w:r>
    </w:p>
    <w:p w14:paraId="19036EEB" w14:textId="4626F199"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 xml:space="preserve">Mendelian </w:t>
      </w:r>
      <w:r w:rsidR="004A0C79">
        <w:rPr>
          <w:rFonts w:ascii="Times New Roman" w:hAnsi="Times New Roman" w:cs="Times New Roman"/>
          <w:b/>
          <w:color w:val="231F20"/>
        </w:rPr>
        <w:t>s</w:t>
      </w:r>
      <w:r w:rsidRPr="000745A1">
        <w:rPr>
          <w:rFonts w:ascii="Times New Roman" w:hAnsi="Times New Roman" w:cs="Times New Roman"/>
          <w:b/>
          <w:color w:val="231F20"/>
        </w:rPr>
        <w:t xml:space="preserve">usceptibility of </w:t>
      </w:r>
      <w:r w:rsidR="004A0C79">
        <w:rPr>
          <w:rFonts w:ascii="Times New Roman" w:hAnsi="Times New Roman" w:cs="Times New Roman"/>
          <w:b/>
          <w:color w:val="231F20"/>
        </w:rPr>
        <w:t>m</w:t>
      </w:r>
      <w:r w:rsidRPr="000745A1">
        <w:rPr>
          <w:rFonts w:ascii="Times New Roman" w:hAnsi="Times New Roman" w:cs="Times New Roman"/>
          <w:b/>
          <w:color w:val="231F20"/>
        </w:rPr>
        <w:t xml:space="preserve">ycobacterial tuberculosis (MSMD) </w:t>
      </w:r>
    </w:p>
    <w:p w14:paraId="33C2EBA3" w14:textId="341FC53C"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t xml:space="preserve">A total of </w:t>
      </w:r>
      <w:r w:rsidR="00107447" w:rsidRPr="000745A1">
        <w:rPr>
          <w:rFonts w:ascii="Times New Roman" w:hAnsi="Times New Roman" w:cs="Times New Roman"/>
          <w:color w:val="231F20"/>
        </w:rPr>
        <w:t>13</w:t>
      </w:r>
      <w:r w:rsidR="0089398D" w:rsidRPr="000745A1">
        <w:rPr>
          <w:rFonts w:ascii="Times New Roman" w:hAnsi="Times New Roman" w:cs="Times New Roman"/>
          <w:color w:val="231F20"/>
        </w:rPr>
        <w:t xml:space="preserve"> patients</w:t>
      </w:r>
      <w:r w:rsidRPr="000745A1">
        <w:rPr>
          <w:rFonts w:ascii="Times New Roman" w:hAnsi="Times New Roman" w:cs="Times New Roman"/>
          <w:color w:val="231F20"/>
        </w:rPr>
        <w:t xml:space="preserve"> were diagnosed in this group. </w:t>
      </w:r>
      <w:r w:rsidR="00107447" w:rsidRPr="000745A1">
        <w:rPr>
          <w:rFonts w:ascii="Times New Roman" w:hAnsi="Times New Roman" w:cs="Times New Roman"/>
          <w:color w:val="231F20"/>
        </w:rPr>
        <w:t>Six</w:t>
      </w:r>
      <w:r w:rsidR="00936BA7" w:rsidRPr="000745A1">
        <w:rPr>
          <w:rFonts w:ascii="Times New Roman" w:hAnsi="Times New Roman" w:cs="Times New Roman"/>
          <w:color w:val="231F20"/>
        </w:rPr>
        <w:t xml:space="preserve"> </w:t>
      </w:r>
      <w:r w:rsidRPr="000745A1">
        <w:rPr>
          <w:rFonts w:ascii="Times New Roman" w:hAnsi="Times New Roman" w:cs="Times New Roman"/>
          <w:color w:val="231F20"/>
        </w:rPr>
        <w:t>of them were referred with a history of multifocal tuberculosis (skeletal + lymph node, abdominal + neurological, lungs + lymph nodes or disseminated tuberculosis)</w:t>
      </w:r>
      <w:r w:rsidR="00936BA7" w:rsidRPr="000745A1">
        <w:rPr>
          <w:rFonts w:ascii="Times New Roman" w:hAnsi="Times New Roman" w:cs="Times New Roman"/>
          <w:color w:val="231F20"/>
        </w:rPr>
        <w:t xml:space="preserve">, </w:t>
      </w:r>
      <w:r w:rsidRPr="000745A1">
        <w:rPr>
          <w:rFonts w:ascii="Times New Roman" w:hAnsi="Times New Roman" w:cs="Times New Roman"/>
          <w:color w:val="231F20"/>
        </w:rPr>
        <w:t xml:space="preserve">and another </w:t>
      </w:r>
      <w:r w:rsidR="00936BA7" w:rsidRPr="000745A1">
        <w:rPr>
          <w:rFonts w:ascii="Times New Roman" w:hAnsi="Times New Roman" w:cs="Times New Roman"/>
          <w:color w:val="231F20"/>
        </w:rPr>
        <w:t xml:space="preserve">five </w:t>
      </w:r>
      <w:r w:rsidRPr="000745A1">
        <w:rPr>
          <w:rFonts w:ascii="Times New Roman" w:hAnsi="Times New Roman" w:cs="Times New Roman"/>
          <w:color w:val="231F20"/>
        </w:rPr>
        <w:t xml:space="preserve">children for evaluation multiple lymphadenitis following BCG (Bacillus Calmette Guerin) vaccination. The remaining </w:t>
      </w:r>
      <w:r w:rsidR="00107447" w:rsidRPr="000745A1">
        <w:rPr>
          <w:rFonts w:ascii="Times New Roman" w:hAnsi="Times New Roman" w:cs="Times New Roman"/>
          <w:color w:val="231F20"/>
        </w:rPr>
        <w:t xml:space="preserve">two </w:t>
      </w:r>
      <w:r w:rsidRPr="000745A1">
        <w:rPr>
          <w:rFonts w:ascii="Times New Roman" w:hAnsi="Times New Roman" w:cs="Times New Roman"/>
          <w:color w:val="231F20"/>
        </w:rPr>
        <w:t xml:space="preserve">patients were referred because of numerous lymph node swellings with sinus formation and persistent lymph node tuberculosis on therapy for a year. Two of them had low IL12 Receptor beta expression. One had a mutation in the IL12 RB1 gene. One girl presented with psoas abscess, which was found to be due to tuberculosis, and later developed seizures </w:t>
      </w:r>
      <w:r w:rsidRPr="000745A1">
        <w:rPr>
          <w:rFonts w:ascii="Times New Roman" w:hAnsi="Times New Roman" w:cs="Times New Roman"/>
          <w:color w:val="231F20"/>
        </w:rPr>
        <w:lastRenderedPageBreak/>
        <w:t xml:space="preserve">due to multiple tuberculoma in the brain for evaluation. She had a reduced number of T cells for the age. Her genetic test showed biallelic RORc mutation </w:t>
      </w:r>
      <w:r w:rsidRPr="000745A1">
        <w:rPr>
          <w:rFonts w:ascii="Times New Roman" w:hAnsi="Times New Roman" w:cs="Times New Roman"/>
          <w:color w:val="231F20"/>
        </w:rPr>
        <w:fldChar w:fldCharType="begin" w:fldLock="1"/>
      </w:r>
      <w:r w:rsidRPr="000745A1">
        <w:rPr>
          <w:rFonts w:ascii="Times New Roman" w:hAnsi="Times New Roman" w:cs="Times New Roman"/>
          <w:color w:val="231F20"/>
        </w:rPr>
        <w:instrText>ADDIN CSL_CITATION {"citationItems":[{"id":"ITEM-1","itemData":{"DOI":"10.1126/science.aaa4282","ISSN":"10959203","abstract":"Human inborn errors of immunity mediated by the cytokines interleukin-17A and interleukin-17F (IL-17A/F) underlie mucocutaneous candidiasis, whereas inborn errors of interferon-γ (IFN-γ) immunity underlie mycobacterial disease. We report the discovery of bi-allelic RORC loss-of-function mutations in seven individuals from three kindreds of different ethnic origins with both candidiasis and mycobacteriosis. The lack of functional RORγ and RORγT isoforms resulted in the absence of IL-17A/F-producing T cells in these individuals, probably accounting for their chronic candidiasis. Unexpectedly, leukocytes from RORγ- and RORγT-deficient individuals also displayed an impaired IFN-γ response to Mycobacterium. This principally reflected profoundly defective IFN-γ production by circulating γδ T cells and CD4+CCR6+CXCR3+ αβ T cells. In humans, both mucocutaneous immunity to Candida and systemic immunity to Mycobacterium require RORγ, RORγT, or both.","author":[{"dropping-particle":"","family":"Okada","given":"Satoshi","non-dropping-particle":"","parse-names":false,"suffix":""},{"dropping-particle":"","family":"Markle","given":"Janet G.","non-dropping-particle":"","parse-names":false,"suffix":""},{"dropping-particle":"","family":"Deenick","given":"Elissa K.","non-dropping-particle":"","parse-names":false,"suffix":""},{"dropping-particle":"","family":"Mele","given":"Federico","non-dropping-particle":"","parse-names":false,"suffix":""},{"dropping-particle":"","family":"Averbuch","given":"Dina","non-dropping-particle":"","parse-names":false,"suffix":""},{"dropping-particle":"","family":"Lagos","given":"Macarena","non-dropping-particle":"","parse-names":false,"suffix":""},{"dropping-particle":"","family":"Alzahrani","given":"Mohammed","non-dropping-particle":"","parse-names":false,"suffix":""},{"dropping-particle":"","family":"Al-Muhsen","given":"Saleh","non-dropping-particle":"","parse-names":false,"suffix":""},{"dropping-particle":"","family":"Halwani","given":"Rabih","non-dropping-particle":"","parse-names":false,"suffix":""},{"dropping-particle":"","family":"Ma","given":"Cindy S.","non-dropping-particle":"","parse-names":false,"suffix":""},{"dropping-particle":"","family":"Wong","given":"Natalie","non-dropping-particle":"","parse-names":false,"suffix":""},{"dropping-particle":"","family":"Soudais","given":"Claire","non-dropping-particle":"","parse-names":false,"suffix":""},{"dropping-particle":"","family":"Henderson","given":"Lauren A.","non-dropping-particle":"","parse-names":false,"suffix":""},{"dropping-particle":"","family":"Marzouqa","given":"Hiyam","non-dropping-particle":"","parse-names":false,"suffix":""},{"dropping-particle":"","family":"Shamma","given":"Jamal","non-dropping-particle":"","parse-names":false,"suffix":""},{"dropping-particle":"","family":"Gonzalez","given":"Marcela","non-dropping-particle":"","parse-names":false,"suffix":""},{"dropping-particle":"","family":"Martinez-Barricarte","given":"Rubén","non-dropping-particle":"","parse-names":false,"suffix":""},{"dropping-particle":"","family":"Okada","given":"Chizuru","non-dropping-particle":"","parse-names":false,"suffix":""},{"dropping-particle":"","family":"Avery","given":"Danielle T.","non-dropping-particle":"","parse-names":false,"suffix":""},{"dropping-particle":"","family":"Latorre","given":"Daniela","non-dropping-particle":"","parse-names":false,"suffix":""},{"dropping-particle":"","family":"Deswarte","given":"Caroline","non-dropping-particle":"","parse-names":false,"suffix":""},{"dropping-particle":"","family":"Jabot-Hanin","given":"Fabienne","non-dropping-particle":"","parse-names":false,"suffix":""},{"dropping-particle":"","family":"Torrado","given":"Egidio","non-dropping-particle":"","parse-names":false,"suffix":""},{"dropping-particle":"","family":"Fountain","given":"Jeffrey","non-dropping-particle":"","parse-names":false,"suffix":""},{"dropping-particle":"","family":"Belkadi","given":"Aziz","non-dropping-particle":"","parse-names":false,"suffix":""},{"dropping-particle":"","family":"Itan","given":"Yuval","non-dropping-particle":"","parse-names":false,"suffix":""},{"dropping-particle":"","family":"Boisson","given":"Bertrand","non-dropping-particle":"","parse-names":false,"suffix":""},{"dropping-particle":"","family":"Migaud","given":"Mélanie","non-dropping-particle":"","parse-names":false,"suffix":""},{"dropping-particle":"","family":"Lindestam Arlehamn","given":"Cecilia S.","non-dropping-particle":"","parse-names":false,"suffix":""},{"dropping-particle":"","family":"Sette","given":"Alessandro","non-dropping-particle":"","parse-names":false,"suffix":""},{"dropping-particle":"","family":"Breton","given":"Sylvain","non-dropping-particle":"","parse-names":false,"suffix":""},{"dropping-particle":"","family":"Cluskey","given":"James","non-dropping-particle":"","parse-names":false,"suffix":""},{"dropping-particle":"","family":"Rossjohn","given":"Jamie","non-dropping-particle":"","parse-names":false,"suffix":""},{"dropping-particle":"","family":"Villartay","given":"Jean Pierre","non-dropping-particle":"De","parse-names":false,"suffix":""},{"dropping-particle":"","family":"Moshous","given":"Despina","non-dropping-particle":"","parse-names":false,"suffix":""},{"dropping-particle":"","family":"Hambleton","given":"Sophie","non-dropping-particle":"","parse-names":false,"suffix":""},{"dropping-particle":"","family":"Latour","given":"Sylvain","non-dropping-particle":"","parse-names":false,"suffix":""},{"dropping-particle":"","family":"Arkwright","given":"Peter D.","non-dropping-particle":"","parse-names":false,"suffix":""},{"dropping-particle":"","family":"Picard","given":"Capucine","non-dropping-particle":"","parse-names":false,"suffix":""},{"dropping-particle":"","family":"Lantz","given":"Olivier","non-dropping-particle":"","parse-names":false,"suffix":""},{"dropping-particle":"","family":"Engelhard","given":"Dan","non-dropping-particle":"","parse-names":false,"suffix":""},{"dropping-particle":"","family":"Kobayashi","given":"Masao","non-dropping-particle":"","parse-names":false,"suffix":""},{"dropping-particle":"","family":"Abel","given":"Laurent","non-dropping-particle":"","parse-names":false,"suffix":""},{"dropping-particle":"","family":"Cooper","given":"Andrea M.","non-dropping-particle":"","parse-names":false,"suffix":""},{"dropping-particle":"","family":"Notarangelo","given":"Luigi D.","non-dropping-particle":"","parse-names":false,"suffix":""},{"dropping-particle":"","family":"Boisson-Dupuis","given":"Stéphanie","non-dropping-particle":"","parse-names":false,"suffix":""},{"dropping-particle":"","family":"Puel","given":"Anne","non-dropping-particle":"","parse-names":false,"suffix":""},{"dropping-particle":"","family":"Sallusto","given":"Federica","non-dropping-particle":"","parse-names":false,"suffix":""},{"dropping-particle":"","family":"Bustamante","given":"Jacinta","non-dropping-particle":"","parse-names":false,"suffix":""},{"dropping-particle":"","family":"Tangye","given":"Stuart G.","non-dropping-particle":"","parse-names":false,"suffix":""},{"dropping-particle":"","family":"Casanova","given":"Jean Laurent","non-dropping-particle":"","parse-names":false,"suffix":""}],"container-title":"Science","id":"ITEM-1","issued":{"date-parts":[["2015"]]},"title":"Impairment of immunity to Candida and Mycobacterium in humans with bi-allelic RORC mutations","type":"article-journal"},"uris":["http://www.mendeley.com/documents/?uuid=bbd35725-fbb5-4cd2-9f2c-16d8def987c0"]}],"mendeley":{"formattedCitation":"[26]","plainTextFormattedCitation":"[26]","previouslyFormattedCitation":"[26]"},"properties":{"noteIndex":0},"schema":"https://github.com/citation-style-language/schema/raw/master/csl-citation.json"}</w:instrText>
      </w:r>
      <w:r w:rsidRPr="000745A1">
        <w:rPr>
          <w:rFonts w:ascii="Times New Roman" w:hAnsi="Times New Roman" w:cs="Times New Roman"/>
          <w:color w:val="231F20"/>
        </w:rPr>
        <w:fldChar w:fldCharType="separate"/>
      </w:r>
      <w:r w:rsidR="0098199B">
        <w:rPr>
          <w:rFonts w:ascii="Times New Roman" w:hAnsi="Times New Roman" w:cs="Times New Roman"/>
          <w:noProof/>
          <w:color w:val="231F20"/>
        </w:rPr>
        <w:t>[8</w:t>
      </w:r>
      <w:r w:rsidRPr="000745A1">
        <w:rPr>
          <w:rFonts w:ascii="Times New Roman" w:hAnsi="Times New Roman" w:cs="Times New Roman"/>
          <w:noProof/>
          <w:color w:val="231F20"/>
        </w:rPr>
        <w:t>]</w:t>
      </w:r>
      <w:r w:rsidRPr="000745A1">
        <w:rPr>
          <w:rFonts w:ascii="Times New Roman" w:hAnsi="Times New Roman" w:cs="Times New Roman"/>
          <w:color w:val="231F20"/>
        </w:rPr>
        <w:fldChar w:fldCharType="end"/>
      </w:r>
      <w:r w:rsidRPr="000745A1">
        <w:rPr>
          <w:rFonts w:ascii="Times New Roman" w:hAnsi="Times New Roman" w:cs="Times New Roman"/>
          <w:color w:val="231F20"/>
        </w:rPr>
        <w:t xml:space="preserve">. The immunoglobulin levels and T, B, and NK cell estimation were normal in all </w:t>
      </w:r>
      <w:r w:rsidR="00936BA7" w:rsidRPr="000745A1">
        <w:rPr>
          <w:rFonts w:ascii="Times New Roman" w:hAnsi="Times New Roman" w:cs="Times New Roman"/>
          <w:color w:val="231F20"/>
        </w:rPr>
        <w:t xml:space="preserve">12 </w:t>
      </w:r>
      <w:r w:rsidR="0089398D" w:rsidRPr="000745A1">
        <w:rPr>
          <w:rFonts w:ascii="Times New Roman" w:hAnsi="Times New Roman" w:cs="Times New Roman"/>
          <w:color w:val="231F20"/>
        </w:rPr>
        <w:t>children</w:t>
      </w:r>
      <w:r w:rsidRPr="000745A1">
        <w:rPr>
          <w:rFonts w:ascii="Times New Roman" w:hAnsi="Times New Roman" w:cs="Times New Roman"/>
          <w:color w:val="231F20"/>
        </w:rPr>
        <w:t xml:space="preserve">. One child </w:t>
      </w:r>
      <w:r w:rsidR="00936BA7" w:rsidRPr="000745A1">
        <w:rPr>
          <w:rFonts w:ascii="Times New Roman" w:hAnsi="Times New Roman" w:cs="Times New Roman"/>
          <w:color w:val="231F20"/>
        </w:rPr>
        <w:t>and young adult due to disease progression</w:t>
      </w:r>
      <w:r w:rsidRPr="000745A1">
        <w:rPr>
          <w:rFonts w:ascii="Times New Roman" w:hAnsi="Times New Roman" w:cs="Times New Roman"/>
          <w:color w:val="231F20"/>
        </w:rPr>
        <w:t xml:space="preserve"> and the other one lost to follow up. Rest are all alive at the last follow up. </w:t>
      </w:r>
    </w:p>
    <w:p w14:paraId="57D6A3E1" w14:textId="25BD67BD" w:rsidR="004A2E59" w:rsidRPr="000745A1" w:rsidRDefault="004A2E59" w:rsidP="004A0C79">
      <w:pPr>
        <w:autoSpaceDE w:val="0"/>
        <w:autoSpaceDN w:val="0"/>
        <w:adjustRightInd w:val="0"/>
        <w:spacing w:before="240"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 xml:space="preserve">Chronic </w:t>
      </w:r>
      <w:r w:rsidR="004A0C79">
        <w:rPr>
          <w:rFonts w:ascii="Times New Roman" w:hAnsi="Times New Roman" w:cs="Times New Roman"/>
          <w:b/>
          <w:color w:val="231F20"/>
        </w:rPr>
        <w:t>m</w:t>
      </w:r>
      <w:r w:rsidRPr="000745A1">
        <w:rPr>
          <w:rFonts w:ascii="Times New Roman" w:hAnsi="Times New Roman" w:cs="Times New Roman"/>
          <w:b/>
          <w:color w:val="231F20"/>
        </w:rPr>
        <w:t xml:space="preserve">ucocutaneous </w:t>
      </w:r>
      <w:r w:rsidR="004A0C79">
        <w:rPr>
          <w:rFonts w:ascii="Times New Roman" w:hAnsi="Times New Roman" w:cs="Times New Roman"/>
          <w:b/>
          <w:color w:val="231F20"/>
        </w:rPr>
        <w:t>c</w:t>
      </w:r>
      <w:r w:rsidRPr="000745A1">
        <w:rPr>
          <w:rFonts w:ascii="Times New Roman" w:hAnsi="Times New Roman" w:cs="Times New Roman"/>
          <w:b/>
          <w:color w:val="231F20"/>
        </w:rPr>
        <w:t xml:space="preserve">andidiasis (CMC) </w:t>
      </w:r>
    </w:p>
    <w:p w14:paraId="6059DC82" w14:textId="0A97FB74" w:rsidR="004A2E59" w:rsidRPr="000745A1" w:rsidRDefault="0089398D" w:rsidP="004A0C79">
      <w:pPr>
        <w:autoSpaceDE w:val="0"/>
        <w:autoSpaceDN w:val="0"/>
        <w:adjustRightInd w:val="0"/>
        <w:spacing w:before="240" w:after="0" w:line="480" w:lineRule="auto"/>
        <w:jc w:val="both"/>
        <w:rPr>
          <w:rFonts w:ascii="Times New Roman" w:hAnsi="Times New Roman" w:cs="Times New Roman"/>
          <w:color w:val="231F20"/>
        </w:rPr>
      </w:pPr>
      <w:r w:rsidRPr="000745A1">
        <w:rPr>
          <w:rFonts w:ascii="Times New Roman" w:hAnsi="Times New Roman" w:cs="Times New Roman"/>
          <w:color w:val="231F20"/>
        </w:rPr>
        <w:t>A total of 6 patient</w:t>
      </w:r>
      <w:r w:rsidR="004A2E59" w:rsidRPr="000745A1">
        <w:rPr>
          <w:rFonts w:ascii="Times New Roman" w:hAnsi="Times New Roman" w:cs="Times New Roman"/>
          <w:color w:val="231F20"/>
        </w:rPr>
        <w:t>s were diagnosed with CMC when presented with recurrent oral thrush, fungal nail infection. Three members from one family (mother and her two children) were suffering from a sore mouth with poor quality of life. All of them had STAT1 Gain of Function mutation in exon 10</w:t>
      </w:r>
      <w:r w:rsidR="00F53892">
        <w:rPr>
          <w:rFonts w:ascii="Times New Roman" w:hAnsi="Times New Roman" w:cs="Times New Roman"/>
          <w:color w:val="231F20"/>
        </w:rPr>
        <w:t xml:space="preserve"> </w:t>
      </w:r>
      <w:r w:rsidR="004A2E59" w:rsidRPr="000745A1">
        <w:rPr>
          <w:rFonts w:ascii="Times New Roman" w:hAnsi="Times New Roman" w:cs="Times New Roman"/>
          <w:color w:val="231F20"/>
        </w:rPr>
        <w:fldChar w:fldCharType="begin" w:fldLock="1"/>
      </w:r>
      <w:r w:rsidR="004A2E59" w:rsidRPr="000745A1">
        <w:rPr>
          <w:rFonts w:ascii="Times New Roman" w:hAnsi="Times New Roman" w:cs="Times New Roman"/>
          <w:color w:val="231F20"/>
        </w:rPr>
        <w:instrText>ADDIN CSL_CITATION {"citationItems":[{"id":"ITEM-1","itemData":{"DOI":"10.1182/blood-2015-11-679902","ISSN":"15280020","PMID":"27114460","abstract":"Since their discovery in patients with autosomal dominant (AD) chronic mucocutaneous candidiasis (CMC) in 2011, heterozygous STAT1 gain-of-function (GOF) mutations have increasingly been identified worldwide. The clinical spectrum associated with them needed to be delineated. We enrolled 274 patients from 167 kindreds originating from 40 countries from 5 continents. Demographic data, clinical features, immunological parameters, treatment, and outcome were recorded. The median age of the 274 patients was 22 years (range, 1-71 years); 98% of them had CMC, with a median age at onset of 1 year (range, 0-24 years). Patients often displayed bacterial (74%) infections, mostly because of Staphylococcus aureus (36%), including the respiratory tract and the skin in 47% and 28% of patients, respectively, and viral (38%) infections, mostly because of Herpesviridae (83%) and affecting the skin in 32% of patients. Invasive fungal infections (10%), mostly caused by Candida spp. (29%), and mycobacterial disease (6%) caused by Mycobacterium tuberculosis, environmental mycobacteria, or Bacille Calmette-Guérin vaccines were less common. Many patients had autoimmune manifestations (37%), including hypothyroidism (22%), type 1 diabetes (4%), blood cytopenia (4%), and systemic lupus erythematosus (2%). Invasive infections (25%), cerebral aneurysms (6%), and cancers (6%) were the strongest predictors of poor outcome. CMC persisted in 39% of the 202 patients receiving prolonged antifungal treatment. Circulating interleukin-17A-producing T-cell count was low for most (82%) but not all of the patients tested. STAT1 GOF mutations underlie AD CMC, as well as an unexpectedly wide range of other clinical features, including not only a variety of infectious and autoimmune diseases, but also cerebral aneurysms and carcinomas that confer a poor prognosis.","author":[{"dropping-particle":"","family":"Toubiana","given":"Julie","non-dropping-particle":"","parse-names":false,"suffix":""},{"dropping-particle":"","family":"Okada","given":"Satoshi","non-dropping-particle":"","parse-names":false,"suffix":""},{"dropping-particle":"","family":"Hiller","given":"Julia","non-dropping-particle":"","parse-names":false,"suffix":""},{"dropping-particle":"","family":"Oleastro","given":"Matias","non-dropping-particle":"","parse-names":false,"suffix":""},{"dropping-particle":"","family":"Gomez","given":"Macarena Lagos","non-dropping-particle":"","parse-names":false,"suffix":""},{"dropping-particle":"","family":"Becerra","given":"Juan Carlos Aldave","non-dropping-particle":"","parse-names":false,"suffix":""},{"dropping-particle":"","family":"Ouachée-Chardin","given":"Marie","non-dropping-particle":"","parse-names":false,"suffix":""},{"dropping-particle":"","family":"Fouyssac","given":"Fanny","non-dropping-particle":"","parse-names":false,"suffix":""},{"dropping-particle":"","family":"Girisha","given":"Katta Mohan","non-dropping-particle":"","parse-names":false,"suffix":""},{"dropping-particle":"","family":"Etzioni","given":"Amos","non-dropping-particle":"","parse-names":false,"suffix":""},{"dropping-particle":"","family":"Montfrans","given":"Joris","non-dropping-particle":"Van","parse-names":false,"suffix":""},{"dropping-particle":"","family":"Camcioglu","given":"Yildiz","non-dropping-particle":"","parse-names":false,"suffix":""},{"dropping-particle":"","family":"Kerns","given":"Leigh Ann","non-dropping-particle":"","parse-names":false,"suffix":""},{"dropping-particle":"","family":"Belohradsky","given":"Bernd","non-dropping-particle":"","parse-names":false,"suffix":""},{"dropping-particle":"","family":"Blanche","given":"Stéphane","non-dropping-particle":"","parse-names":false,"suffix":""},{"dropping-particle":"","family":"Bousfiha","given":"Aziz","non-dropping-particle":"","parse-names":false,"suffix":""},{"dropping-particle":"","family":"Rodriguez-Gallego","given":"Carlos","non-dropping-particle":"","parse-names":false,"suffix":""},{"dropping-particle":"","family":"Meyts","given":"Isabelle","non-dropping-particle":"","parse-names":false,"suffix":""},{"dropping-particle":"","family":"Kisand","given":"Kai","non-dropping-particle":"","parse-names":false,"suffix":""},{"dropping-particle":"","family":"Reichenbach","given":"Janine","non-dropping-particle":"","parse-names":false,"suffix":""},{"dropping-particle":"","family":"Renner","given":"Ellen D.","non-dropping-particle":"","parse-names":false,"suffix":""},{"dropping-particle":"","family":"Rosenzweig","given":"Sergio","non-dropping-particle":"","parse-names":false,"suffix":""},{"dropping-particle":"","family":"Grimbacher","given":"Bodo","non-dropping-particle":"","parse-names":false,"suffix":""},{"dropping-particle":"","family":"Veerdonk","given":"Frank L.","non-dropping-particle":"Van De","parse-names":false,"suffix":""},{"dropping-particle":"","family":"Traidl-Hoffmann","given":"Claudia","non-dropping-particle":"","parse-names":false,"suffix":""},{"dropping-particle":"","family":"Picard","given":"Capucine","non-dropping-particle":"","parse-names":false,"suffix":""},{"dropping-particle":"","family":"Marodi","given":"Laszlo","non-dropping-particle":"","parse-names":false,"suffix":""},{"dropping-particle":"","family":"Morio","given":"Tomohiro","non-dropping-particle":"","parse-names":false,"suffix":""},{"dropping-particle":"","family":"Kobayashi","given":"Masao","non-dropping-particle":"","parse-names":false,"suffix":""},{"dropping-particle":"","family":"Lilic","given":"Desa","non-dropping-particle":"","parse-names":false,"suffix":""},{"dropping-particle":"","family":"Milner","given":"Joshua D.","non-dropping-particle":"","parse-names":false,"suffix":""},{"dropping-particle":"","family":"Holland","given":"Steven","non-dropping-particle":"","parse-names":false,"suffix":""},{"dropping-particle":"","family":"Casanova","given":"Jean Laurent","non-dropping-particle":"","parse-names":false,"suffix":""},{"dropping-particle":"","family":"Puel","given":"Anne","non-dropping-particle":"","parse-names":false,"suffix":""}],"container-title":"Blood","id":"ITEM-1","issued":{"date-parts":[["2016"]]},"title":"Heterozygous STAT1 gain-of-function mutations underlie an unexpectedly broad clinical phenotype","type":"article-journal"},"uris":["http://www.mendeley.com/documents/?uuid=a85d3d7f-8a13-4c11-b980-df37d5dc7fb2"]}],"mendeley":{"formattedCitation":"[27]","plainTextFormattedCitation":"[27]","previouslyFormattedCitation":"[27]"},"properties":{"noteIndex":0},"schema":"https://github.com/citation-style-language/schema/raw/master/csl-citation.json"}</w:instrText>
      </w:r>
      <w:r w:rsidR="004A2E59" w:rsidRPr="000745A1">
        <w:rPr>
          <w:rFonts w:ascii="Times New Roman" w:hAnsi="Times New Roman" w:cs="Times New Roman"/>
          <w:color w:val="231F20"/>
        </w:rPr>
        <w:fldChar w:fldCharType="separate"/>
      </w:r>
      <w:r w:rsidR="0098199B">
        <w:rPr>
          <w:rFonts w:ascii="Times New Roman" w:hAnsi="Times New Roman" w:cs="Times New Roman"/>
          <w:noProof/>
          <w:color w:val="231F20"/>
        </w:rPr>
        <w:t>[9</w:t>
      </w:r>
      <w:r w:rsidR="004A2E59" w:rsidRPr="000745A1">
        <w:rPr>
          <w:rFonts w:ascii="Times New Roman" w:hAnsi="Times New Roman" w:cs="Times New Roman"/>
          <w:noProof/>
          <w:color w:val="231F20"/>
        </w:rPr>
        <w:t>]</w:t>
      </w:r>
      <w:r w:rsidR="004A2E59" w:rsidRPr="000745A1">
        <w:rPr>
          <w:rFonts w:ascii="Times New Roman" w:hAnsi="Times New Roman" w:cs="Times New Roman"/>
          <w:color w:val="231F20"/>
        </w:rPr>
        <w:fldChar w:fldCharType="end"/>
      </w:r>
      <w:r w:rsidR="004A2E59" w:rsidRPr="000745A1">
        <w:rPr>
          <w:rFonts w:ascii="Times New Roman" w:hAnsi="Times New Roman" w:cs="Times New Roman"/>
          <w:color w:val="231F20"/>
        </w:rPr>
        <w:t xml:space="preserve">. The other family who had three affected members one of the genetic reports available and showed a mutation in STA1 exon 14. Four of them were on regular antifungal therapy and the remaining two were on antifungal prophylaxis. </w:t>
      </w:r>
    </w:p>
    <w:p w14:paraId="726D4509" w14:textId="3E3C7362"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t>The remaining one patient in this category was diagnosed to have h</w:t>
      </w:r>
      <w:r w:rsidR="00936BA7" w:rsidRPr="000745A1">
        <w:rPr>
          <w:rFonts w:ascii="Times New Roman" w:hAnsi="Times New Roman" w:cs="Times New Roman"/>
          <w:color w:val="231F20"/>
        </w:rPr>
        <w:t>y</w:t>
      </w:r>
      <w:r w:rsidRPr="000745A1">
        <w:rPr>
          <w:rFonts w:ascii="Times New Roman" w:hAnsi="Times New Roman" w:cs="Times New Roman"/>
          <w:color w:val="231F20"/>
        </w:rPr>
        <w:t xml:space="preserve">dradenitis suppurativa. </w:t>
      </w:r>
    </w:p>
    <w:p w14:paraId="64FE53FE" w14:textId="77777777"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p>
    <w:p w14:paraId="0BE91C81" w14:textId="2A1141DD"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VII</w:t>
      </w:r>
      <w:r w:rsidR="004A0C79">
        <w:rPr>
          <w:rFonts w:ascii="Times New Roman" w:hAnsi="Times New Roman" w:cs="Times New Roman"/>
          <w:b/>
          <w:color w:val="231F20"/>
        </w:rPr>
        <w:t>: Auto</w:t>
      </w:r>
      <w:r w:rsidRPr="000745A1">
        <w:rPr>
          <w:rFonts w:ascii="Times New Roman" w:hAnsi="Times New Roman" w:cs="Times New Roman"/>
          <w:b/>
          <w:color w:val="231F20"/>
        </w:rPr>
        <w:t>inflammatory disorders (</w:t>
      </w:r>
      <w:r w:rsidRPr="004A0C79">
        <w:rPr>
          <w:rFonts w:ascii="Times New Roman" w:hAnsi="Times New Roman" w:cs="Times New Roman"/>
          <w:b/>
          <w:i/>
          <w:color w:val="231F20"/>
        </w:rPr>
        <w:t>n</w:t>
      </w:r>
      <w:r w:rsidR="004A0C79">
        <w:rPr>
          <w:rFonts w:ascii="Times New Roman" w:hAnsi="Times New Roman" w:cs="Times New Roman"/>
          <w:b/>
          <w:color w:val="231F20"/>
        </w:rPr>
        <w:t xml:space="preserve"> </w:t>
      </w:r>
      <w:r w:rsidRPr="000745A1">
        <w:rPr>
          <w:rFonts w:ascii="Times New Roman" w:hAnsi="Times New Roman" w:cs="Times New Roman"/>
          <w:b/>
          <w:color w:val="231F20"/>
        </w:rPr>
        <w:t>=</w:t>
      </w:r>
      <w:r w:rsidR="004A0C79">
        <w:rPr>
          <w:rFonts w:ascii="Times New Roman" w:hAnsi="Times New Roman" w:cs="Times New Roman"/>
          <w:b/>
          <w:color w:val="231F20"/>
        </w:rPr>
        <w:t xml:space="preserve"> </w:t>
      </w:r>
      <w:r w:rsidRPr="000745A1">
        <w:rPr>
          <w:rFonts w:ascii="Times New Roman" w:hAnsi="Times New Roman" w:cs="Times New Roman"/>
          <w:b/>
          <w:color w:val="231F20"/>
        </w:rPr>
        <w:t>1</w:t>
      </w:r>
      <w:r w:rsidR="00936BA7" w:rsidRPr="000745A1">
        <w:rPr>
          <w:rFonts w:ascii="Times New Roman" w:hAnsi="Times New Roman" w:cs="Times New Roman"/>
          <w:b/>
          <w:color w:val="231F20"/>
        </w:rPr>
        <w:t>1</w:t>
      </w:r>
      <w:r w:rsidRPr="000745A1">
        <w:rPr>
          <w:rFonts w:ascii="Times New Roman" w:hAnsi="Times New Roman" w:cs="Times New Roman"/>
          <w:b/>
          <w:color w:val="231F20"/>
        </w:rPr>
        <w:t>)</w:t>
      </w:r>
    </w:p>
    <w:p w14:paraId="08F7438E" w14:textId="4074219C" w:rsidR="004A2E59" w:rsidRPr="000745A1" w:rsidRDefault="004A2E59" w:rsidP="004A0C79">
      <w:pPr>
        <w:autoSpaceDE w:val="0"/>
        <w:autoSpaceDN w:val="0"/>
        <w:adjustRightInd w:val="0"/>
        <w:spacing w:before="240" w:after="0" w:line="480" w:lineRule="auto"/>
        <w:jc w:val="both"/>
        <w:rPr>
          <w:rFonts w:ascii="Times New Roman" w:hAnsi="Times New Roman" w:cs="Times New Roman"/>
          <w:color w:val="231F20"/>
        </w:rPr>
      </w:pPr>
      <w:r w:rsidRPr="000745A1">
        <w:rPr>
          <w:rFonts w:ascii="Times New Roman" w:hAnsi="Times New Roman" w:cs="Times New Roman"/>
          <w:color w:val="231F20"/>
        </w:rPr>
        <w:t>A total of 1</w:t>
      </w:r>
      <w:r w:rsidR="00936BA7" w:rsidRPr="000745A1">
        <w:rPr>
          <w:rFonts w:ascii="Times New Roman" w:hAnsi="Times New Roman" w:cs="Times New Roman"/>
          <w:color w:val="231F20"/>
        </w:rPr>
        <w:t>1</w:t>
      </w:r>
      <w:r w:rsidRPr="000745A1">
        <w:rPr>
          <w:rFonts w:ascii="Times New Roman" w:hAnsi="Times New Roman" w:cs="Times New Roman"/>
          <w:color w:val="231F20"/>
        </w:rPr>
        <w:t xml:space="preserve"> children were diagnosed to have the auto-inflammatory syndrome. They all presented with recurrent fever (2), PUO (</w:t>
      </w:r>
      <w:r w:rsidR="00936BA7" w:rsidRPr="000745A1">
        <w:rPr>
          <w:rFonts w:ascii="Times New Roman" w:hAnsi="Times New Roman" w:cs="Times New Roman"/>
          <w:color w:val="231F20"/>
        </w:rPr>
        <w:t>8</w:t>
      </w:r>
      <w:r w:rsidRPr="000745A1">
        <w:rPr>
          <w:rFonts w:ascii="Times New Roman" w:hAnsi="Times New Roman" w:cs="Times New Roman"/>
          <w:color w:val="231F20"/>
        </w:rPr>
        <w:t xml:space="preserve">), and leukocytosis (1). All of them had prolonged fever for more than 3 weeks and all the infective workup blood culture, urine culture, tuberculosis work up including Mantoux test, chest x-ray, </w:t>
      </w:r>
      <w:r w:rsidRPr="000745A1">
        <w:rPr>
          <w:rFonts w:ascii="Times New Roman" w:hAnsi="Times New Roman" w:cs="Times New Roman"/>
          <w:color w:val="222222"/>
          <w:shd w:val="clear" w:color="auto" w:fill="FFFFFF"/>
        </w:rPr>
        <w:t>Cartridge based nucleic acid amplification technique (</w:t>
      </w:r>
      <w:r w:rsidRPr="000745A1">
        <w:rPr>
          <w:rFonts w:ascii="Times New Roman" w:hAnsi="Times New Roman" w:cs="Times New Roman"/>
          <w:color w:val="231F20"/>
        </w:rPr>
        <w:t>CBNATT) on ga</w:t>
      </w:r>
      <w:r w:rsidR="00824CCB" w:rsidRPr="000745A1">
        <w:rPr>
          <w:rFonts w:ascii="Times New Roman" w:hAnsi="Times New Roman" w:cs="Times New Roman"/>
          <w:color w:val="231F20"/>
        </w:rPr>
        <w:t>stric aspirate (6</w:t>
      </w:r>
      <w:r w:rsidRPr="000745A1">
        <w:rPr>
          <w:rFonts w:ascii="Times New Roman" w:hAnsi="Times New Roman" w:cs="Times New Roman"/>
          <w:color w:val="231F20"/>
        </w:rPr>
        <w:t>) lymph node biopsy</w:t>
      </w:r>
      <w:r w:rsidR="00ED4A65">
        <w:rPr>
          <w:rFonts w:ascii="Times New Roman" w:hAnsi="Times New Roman" w:cs="Times New Roman"/>
          <w:color w:val="231F20"/>
        </w:rPr>
        <w:t xml:space="preserve"> </w:t>
      </w:r>
      <w:r w:rsidRPr="000745A1">
        <w:rPr>
          <w:rFonts w:ascii="Times New Roman" w:hAnsi="Times New Roman" w:cs="Times New Roman"/>
          <w:color w:val="231F20"/>
        </w:rPr>
        <w:t xml:space="preserve">(4), were negative. The autoimmune (Antinuclear antibody, C3 level) </w:t>
      </w:r>
      <w:r w:rsidR="0089398D" w:rsidRPr="000745A1">
        <w:rPr>
          <w:rFonts w:ascii="Times New Roman" w:hAnsi="Times New Roman" w:cs="Times New Roman"/>
          <w:color w:val="231F20"/>
        </w:rPr>
        <w:t>workup was negative in all patients</w:t>
      </w:r>
      <w:r w:rsidRPr="000745A1">
        <w:rPr>
          <w:rFonts w:ascii="Times New Roman" w:hAnsi="Times New Roman" w:cs="Times New Roman"/>
          <w:color w:val="231F20"/>
        </w:rPr>
        <w:t>. All of them underwent a bone marrow examination, which was normal. The CBC in all patients showed neutrophilic leucocytosis and platelets were more than 450000 cells/cm</w:t>
      </w:r>
      <w:r w:rsidRPr="000745A1">
        <w:rPr>
          <w:rFonts w:ascii="Times New Roman" w:hAnsi="Times New Roman" w:cs="Times New Roman"/>
          <w:color w:val="231F20"/>
          <w:vertAlign w:val="superscript"/>
        </w:rPr>
        <w:t>3</w:t>
      </w:r>
      <w:r w:rsidRPr="000745A1">
        <w:rPr>
          <w:rFonts w:ascii="Times New Roman" w:hAnsi="Times New Roman" w:cs="Times New Roman"/>
          <w:color w:val="231F20"/>
        </w:rPr>
        <w:t xml:space="preserve">. The inflammatory markers such as CRP (30-150mg/L) and ESR (40-86mm/hr) were high. All these children </w:t>
      </w:r>
      <w:r w:rsidR="00936BA7" w:rsidRPr="000745A1">
        <w:rPr>
          <w:rFonts w:ascii="Times New Roman" w:hAnsi="Times New Roman" w:cs="Times New Roman"/>
          <w:color w:val="231F20"/>
        </w:rPr>
        <w:t>we</w:t>
      </w:r>
      <w:r w:rsidRPr="000745A1">
        <w:rPr>
          <w:rFonts w:ascii="Times New Roman" w:hAnsi="Times New Roman" w:cs="Times New Roman"/>
          <w:color w:val="231F20"/>
        </w:rPr>
        <w:t xml:space="preserve">re alive at the last follow up. </w:t>
      </w:r>
    </w:p>
    <w:p w14:paraId="10E74507" w14:textId="77777777" w:rsidR="004A2E59" w:rsidRPr="000745A1" w:rsidRDefault="004A2E59" w:rsidP="004A2E59">
      <w:pPr>
        <w:autoSpaceDE w:val="0"/>
        <w:autoSpaceDN w:val="0"/>
        <w:adjustRightInd w:val="0"/>
        <w:spacing w:after="0" w:line="480" w:lineRule="auto"/>
        <w:jc w:val="both"/>
        <w:rPr>
          <w:rFonts w:ascii="Times New Roman" w:hAnsi="Times New Roman" w:cs="Times New Roman"/>
          <w:color w:val="231F20"/>
        </w:rPr>
      </w:pPr>
    </w:p>
    <w:p w14:paraId="134FD7FD" w14:textId="24419123" w:rsidR="004A2E59" w:rsidRPr="000745A1" w:rsidRDefault="004A2E59" w:rsidP="008B081A">
      <w:pPr>
        <w:autoSpaceDE w:val="0"/>
        <w:autoSpaceDN w:val="0"/>
        <w:adjustRightInd w:val="0"/>
        <w:spacing w:after="0" w:line="480" w:lineRule="auto"/>
        <w:jc w:val="both"/>
        <w:outlineLvl w:val="0"/>
        <w:rPr>
          <w:rFonts w:ascii="Times New Roman" w:hAnsi="Times New Roman" w:cs="Times New Roman"/>
          <w:b/>
          <w:color w:val="231F20"/>
        </w:rPr>
      </w:pPr>
      <w:r w:rsidRPr="000745A1">
        <w:rPr>
          <w:rFonts w:ascii="Times New Roman" w:hAnsi="Times New Roman" w:cs="Times New Roman"/>
          <w:b/>
          <w:color w:val="231F20"/>
        </w:rPr>
        <w:t>VIII</w:t>
      </w:r>
      <w:r w:rsidR="004A0C79">
        <w:rPr>
          <w:rFonts w:ascii="Times New Roman" w:hAnsi="Times New Roman" w:cs="Times New Roman"/>
          <w:b/>
          <w:color w:val="231F20"/>
        </w:rPr>
        <w:t>:</w:t>
      </w:r>
      <w:r w:rsidRPr="000745A1">
        <w:rPr>
          <w:rFonts w:ascii="Times New Roman" w:hAnsi="Times New Roman" w:cs="Times New Roman"/>
          <w:b/>
          <w:color w:val="231F20"/>
        </w:rPr>
        <w:t xml:space="preserve"> Complement deficiencies (</w:t>
      </w:r>
      <w:r w:rsidRPr="004A0C79">
        <w:rPr>
          <w:rFonts w:ascii="Times New Roman" w:hAnsi="Times New Roman" w:cs="Times New Roman"/>
          <w:b/>
          <w:i/>
          <w:color w:val="231F20"/>
        </w:rPr>
        <w:t>n</w:t>
      </w:r>
      <w:r w:rsidR="004A0C79">
        <w:rPr>
          <w:rFonts w:ascii="Times New Roman" w:hAnsi="Times New Roman" w:cs="Times New Roman"/>
          <w:b/>
          <w:color w:val="231F20"/>
        </w:rPr>
        <w:t xml:space="preserve"> </w:t>
      </w:r>
      <w:r w:rsidRPr="000745A1">
        <w:rPr>
          <w:rFonts w:ascii="Times New Roman" w:hAnsi="Times New Roman" w:cs="Times New Roman"/>
          <w:b/>
          <w:color w:val="231F20"/>
        </w:rPr>
        <w:t>=</w:t>
      </w:r>
      <w:r w:rsidR="004A0C79">
        <w:rPr>
          <w:rFonts w:ascii="Times New Roman" w:hAnsi="Times New Roman" w:cs="Times New Roman"/>
          <w:b/>
          <w:color w:val="231F20"/>
        </w:rPr>
        <w:t xml:space="preserve"> </w:t>
      </w:r>
      <w:r w:rsidRPr="000745A1">
        <w:rPr>
          <w:rFonts w:ascii="Times New Roman" w:hAnsi="Times New Roman" w:cs="Times New Roman"/>
          <w:b/>
          <w:color w:val="231F20"/>
        </w:rPr>
        <w:t>10)</w:t>
      </w:r>
    </w:p>
    <w:p w14:paraId="791DD275" w14:textId="6D93329B" w:rsidR="00982A4E" w:rsidRPr="000745A1" w:rsidRDefault="004A2E59" w:rsidP="00F72A0D">
      <w:pPr>
        <w:autoSpaceDE w:val="0"/>
        <w:autoSpaceDN w:val="0"/>
        <w:adjustRightInd w:val="0"/>
        <w:spacing w:after="0" w:line="480" w:lineRule="auto"/>
        <w:jc w:val="both"/>
        <w:rPr>
          <w:rFonts w:ascii="Times New Roman" w:hAnsi="Times New Roman" w:cs="Times New Roman"/>
          <w:color w:val="231F20"/>
        </w:rPr>
      </w:pPr>
      <w:r w:rsidRPr="000745A1">
        <w:rPr>
          <w:rFonts w:ascii="Times New Roman" w:hAnsi="Times New Roman" w:cs="Times New Roman"/>
          <w:color w:val="231F20"/>
        </w:rPr>
        <w:lastRenderedPageBreak/>
        <w:t>Seven of ten children in this group were referred to our cent</w:t>
      </w:r>
      <w:r w:rsidR="004D5502">
        <w:rPr>
          <w:rFonts w:ascii="Times New Roman" w:hAnsi="Times New Roman" w:cs="Times New Roman"/>
          <w:color w:val="231F20"/>
        </w:rPr>
        <w:t>re for evaluation of atypical h</w:t>
      </w:r>
      <w:r w:rsidRPr="000745A1">
        <w:rPr>
          <w:rFonts w:ascii="Times New Roman" w:hAnsi="Times New Roman" w:cs="Times New Roman"/>
          <w:color w:val="231F20"/>
        </w:rPr>
        <w:t>emolytic uremic syndro</w:t>
      </w:r>
      <w:r w:rsidR="004D5502">
        <w:rPr>
          <w:rFonts w:ascii="Times New Roman" w:hAnsi="Times New Roman" w:cs="Times New Roman"/>
          <w:color w:val="231F20"/>
        </w:rPr>
        <w:t>me (HUS). They presented with h</w:t>
      </w:r>
      <w:r w:rsidRPr="000745A1">
        <w:rPr>
          <w:rFonts w:ascii="Times New Roman" w:hAnsi="Times New Roman" w:cs="Times New Roman"/>
          <w:color w:val="231F20"/>
        </w:rPr>
        <w:t>emolysis, low platelets, unconjugated jaundice and acute kidney injury (AKI) with no prior history of gastroenteritis. Autoimmune workup (ANA) was negative and C3 was</w:t>
      </w:r>
      <w:r w:rsidR="00B85610" w:rsidRPr="000745A1">
        <w:rPr>
          <w:rFonts w:ascii="Times New Roman" w:hAnsi="Times New Roman" w:cs="Times New Roman"/>
          <w:color w:val="231F20"/>
        </w:rPr>
        <w:t xml:space="preserve"> in the normal range in all patient</w:t>
      </w:r>
      <w:r w:rsidRPr="000745A1">
        <w:rPr>
          <w:rFonts w:ascii="Times New Roman" w:hAnsi="Times New Roman" w:cs="Times New Roman"/>
          <w:color w:val="231F20"/>
        </w:rPr>
        <w:t xml:space="preserve">s. The antibodies to complement factor H levels were </w:t>
      </w:r>
      <w:r w:rsidR="00F53892">
        <w:rPr>
          <w:rFonts w:ascii="Times New Roman" w:hAnsi="Times New Roman" w:cs="Times New Roman"/>
          <w:color w:val="231F20"/>
        </w:rPr>
        <w:t>high between 260-</w:t>
      </w:r>
      <w:r w:rsidRPr="000745A1">
        <w:rPr>
          <w:rFonts w:ascii="Times New Roman" w:hAnsi="Times New Roman" w:cs="Times New Roman"/>
          <w:color w:val="231F20"/>
        </w:rPr>
        <w:t xml:space="preserve">1565 AU/mL (Normal &lt; 150AU/mL) in all seven children. One of the remaining three children with complement deficiencies was referred with repeated episodes of swelling of lips and face and abdominal pain. Her C4 levels were low and suggestive of hereditary angioedema. The other one was referred with cytopenia and features of lupus at </w:t>
      </w:r>
      <w:r w:rsidR="00EA61B7">
        <w:rPr>
          <w:rFonts w:ascii="Times New Roman" w:hAnsi="Times New Roman" w:cs="Times New Roman"/>
          <w:color w:val="231F20"/>
        </w:rPr>
        <w:t>3 y</w:t>
      </w:r>
      <w:r w:rsidRPr="000745A1">
        <w:rPr>
          <w:rFonts w:ascii="Times New Roman" w:hAnsi="Times New Roman" w:cs="Times New Roman"/>
          <w:color w:val="231F20"/>
        </w:rPr>
        <w:t xml:space="preserve"> of age</w:t>
      </w:r>
      <w:r w:rsidR="00936BA7" w:rsidRPr="000745A1">
        <w:rPr>
          <w:rFonts w:ascii="Times New Roman" w:hAnsi="Times New Roman" w:cs="Times New Roman"/>
          <w:color w:val="231F20"/>
        </w:rPr>
        <w:t xml:space="preserve"> with abnormal CH 50 assay</w:t>
      </w:r>
      <w:r w:rsidRPr="000745A1">
        <w:rPr>
          <w:rFonts w:ascii="Times New Roman" w:hAnsi="Times New Roman" w:cs="Times New Roman"/>
          <w:color w:val="231F20"/>
        </w:rPr>
        <w:t xml:space="preserve"> diagnosed to have C1q deficiency. The child diagnosed with unclassified complement deficiencies presented with recurrent bacterial meningitis and CH50 assay was abnormal. Of the seven children with atypical HUS, five have died due to renal failure. The remaining two are on follow up. The child with unclassified complement deficiencies is on follow up with prophylactic antibiotics. </w:t>
      </w:r>
    </w:p>
    <w:p w14:paraId="6C3D3946" w14:textId="0269C363" w:rsidR="008B081A" w:rsidRPr="000745A1" w:rsidRDefault="008B081A" w:rsidP="008B081A">
      <w:pPr>
        <w:autoSpaceDE w:val="0"/>
        <w:autoSpaceDN w:val="0"/>
        <w:adjustRightInd w:val="0"/>
        <w:spacing w:after="0" w:line="480" w:lineRule="auto"/>
        <w:jc w:val="both"/>
        <w:outlineLvl w:val="0"/>
        <w:rPr>
          <w:rFonts w:ascii="Times New Roman" w:hAnsi="Times New Roman" w:cs="Times New Roman"/>
          <w:b/>
          <w:bCs/>
          <w:color w:val="231F20"/>
        </w:rPr>
      </w:pPr>
    </w:p>
    <w:p w14:paraId="7F634457" w14:textId="4C0B145A" w:rsidR="008B081A" w:rsidRPr="000745A1" w:rsidRDefault="00F72A0D" w:rsidP="008B081A">
      <w:pPr>
        <w:autoSpaceDE w:val="0"/>
        <w:autoSpaceDN w:val="0"/>
        <w:adjustRightInd w:val="0"/>
        <w:spacing w:after="0" w:line="480" w:lineRule="auto"/>
        <w:jc w:val="both"/>
        <w:outlineLvl w:val="0"/>
        <w:rPr>
          <w:rFonts w:ascii="Times New Roman" w:hAnsi="Times New Roman" w:cs="Times New Roman"/>
          <w:b/>
          <w:bCs/>
          <w:color w:val="231F20"/>
        </w:rPr>
      </w:pPr>
      <w:r w:rsidRPr="000745A1">
        <w:rPr>
          <w:rFonts w:ascii="Times New Roman" w:hAnsi="Times New Roman" w:cs="Times New Roman"/>
          <w:b/>
          <w:bCs/>
          <w:color w:val="231F20"/>
        </w:rPr>
        <w:t>IX</w:t>
      </w:r>
      <w:r w:rsidR="004A0C79">
        <w:rPr>
          <w:rFonts w:ascii="Times New Roman" w:hAnsi="Times New Roman" w:cs="Times New Roman"/>
          <w:b/>
          <w:bCs/>
          <w:color w:val="231F20"/>
        </w:rPr>
        <w:t>:</w:t>
      </w:r>
      <w:r w:rsidRPr="000745A1">
        <w:rPr>
          <w:rFonts w:ascii="Times New Roman" w:hAnsi="Times New Roman" w:cs="Times New Roman"/>
          <w:b/>
          <w:bCs/>
          <w:color w:val="231F20"/>
        </w:rPr>
        <w:t xml:space="preserve"> Bone marrow </w:t>
      </w:r>
      <w:r w:rsidR="00001898">
        <w:rPr>
          <w:rFonts w:ascii="Times New Roman" w:hAnsi="Times New Roman" w:cs="Times New Roman"/>
          <w:b/>
          <w:bCs/>
          <w:color w:val="231F20"/>
        </w:rPr>
        <w:t>f</w:t>
      </w:r>
      <w:r w:rsidRPr="000745A1">
        <w:rPr>
          <w:rFonts w:ascii="Times New Roman" w:hAnsi="Times New Roman" w:cs="Times New Roman"/>
          <w:b/>
          <w:bCs/>
          <w:color w:val="231F20"/>
        </w:rPr>
        <w:t xml:space="preserve">ailure </w:t>
      </w:r>
      <w:r w:rsidR="007024E4" w:rsidRPr="000745A1">
        <w:rPr>
          <w:rFonts w:ascii="Times New Roman" w:hAnsi="Times New Roman" w:cs="Times New Roman"/>
          <w:b/>
          <w:bCs/>
          <w:color w:val="231F20"/>
        </w:rPr>
        <w:t>(</w:t>
      </w:r>
      <w:r w:rsidR="007024E4" w:rsidRPr="000745A1">
        <w:rPr>
          <w:rFonts w:ascii="Times New Roman" w:hAnsi="Times New Roman" w:cs="Times New Roman"/>
          <w:b/>
          <w:bCs/>
          <w:i/>
          <w:color w:val="231F20"/>
        </w:rPr>
        <w:t>n</w:t>
      </w:r>
      <w:r w:rsidR="000745A1">
        <w:rPr>
          <w:rFonts w:ascii="Times New Roman" w:hAnsi="Times New Roman" w:cs="Times New Roman"/>
          <w:b/>
          <w:bCs/>
          <w:color w:val="231F20"/>
        </w:rPr>
        <w:t xml:space="preserve"> </w:t>
      </w:r>
      <w:r w:rsidR="007024E4" w:rsidRPr="000745A1">
        <w:rPr>
          <w:rFonts w:ascii="Times New Roman" w:hAnsi="Times New Roman" w:cs="Times New Roman"/>
          <w:b/>
          <w:bCs/>
          <w:color w:val="231F20"/>
        </w:rPr>
        <w:t>=</w:t>
      </w:r>
      <w:r w:rsidR="000745A1">
        <w:rPr>
          <w:rFonts w:ascii="Times New Roman" w:hAnsi="Times New Roman" w:cs="Times New Roman"/>
          <w:b/>
          <w:bCs/>
          <w:color w:val="231F20"/>
        </w:rPr>
        <w:t xml:space="preserve"> </w:t>
      </w:r>
      <w:r w:rsidR="007024E4" w:rsidRPr="000745A1">
        <w:rPr>
          <w:rFonts w:ascii="Times New Roman" w:hAnsi="Times New Roman" w:cs="Times New Roman"/>
          <w:b/>
          <w:bCs/>
          <w:color w:val="231F20"/>
        </w:rPr>
        <w:t>3)</w:t>
      </w:r>
    </w:p>
    <w:p w14:paraId="2960564B" w14:textId="20A42FCD" w:rsidR="00D4234C" w:rsidRDefault="00F72A0D" w:rsidP="008F7334">
      <w:pPr>
        <w:autoSpaceDE w:val="0"/>
        <w:autoSpaceDN w:val="0"/>
        <w:adjustRightInd w:val="0"/>
        <w:spacing w:before="240" w:after="0" w:line="480" w:lineRule="auto"/>
        <w:jc w:val="both"/>
        <w:rPr>
          <w:rFonts w:ascii="Times New Roman" w:hAnsi="Times New Roman" w:cs="Times New Roman"/>
          <w:color w:val="231F20"/>
        </w:rPr>
      </w:pPr>
      <w:r w:rsidRPr="000745A1">
        <w:rPr>
          <w:rFonts w:ascii="Times New Roman" w:hAnsi="Times New Roman" w:cs="Times New Roman"/>
          <w:color w:val="231F20"/>
        </w:rPr>
        <w:t>Three children w</w:t>
      </w:r>
      <w:r w:rsidR="007024E4" w:rsidRPr="000745A1">
        <w:rPr>
          <w:rFonts w:ascii="Times New Roman" w:hAnsi="Times New Roman" w:cs="Times New Roman"/>
          <w:color w:val="231F20"/>
        </w:rPr>
        <w:t>ith Dyskeratosis Congenita</w:t>
      </w:r>
      <w:r w:rsidRPr="000745A1">
        <w:rPr>
          <w:rFonts w:ascii="Times New Roman" w:hAnsi="Times New Roman" w:cs="Times New Roman"/>
          <w:color w:val="231F20"/>
        </w:rPr>
        <w:t xml:space="preserve"> were </w:t>
      </w:r>
      <w:r w:rsidR="008B081A" w:rsidRPr="000745A1">
        <w:rPr>
          <w:rFonts w:ascii="Times New Roman" w:hAnsi="Times New Roman" w:cs="Times New Roman"/>
          <w:color w:val="231F20"/>
        </w:rPr>
        <w:t>i</w:t>
      </w:r>
      <w:r w:rsidRPr="000745A1">
        <w:rPr>
          <w:rFonts w:ascii="Times New Roman" w:hAnsi="Times New Roman" w:cs="Times New Roman"/>
          <w:color w:val="231F20"/>
        </w:rPr>
        <w:t>ncluded in this category of which two children died due to severe infections.</w:t>
      </w:r>
      <w:r w:rsidR="008B081A" w:rsidRPr="000745A1">
        <w:rPr>
          <w:rFonts w:ascii="Times New Roman" w:hAnsi="Times New Roman" w:cs="Times New Roman"/>
          <w:color w:val="231F20"/>
        </w:rPr>
        <w:t xml:space="preserve"> They were referred to us for evaluation of pancytopenia.</w:t>
      </w:r>
    </w:p>
    <w:p w14:paraId="55CA8D09" w14:textId="222F62A9" w:rsidR="000B5ED5" w:rsidRPr="00524595" w:rsidRDefault="000B5ED5" w:rsidP="00524595">
      <w:pPr>
        <w:autoSpaceDE w:val="0"/>
        <w:autoSpaceDN w:val="0"/>
        <w:adjustRightInd w:val="0"/>
        <w:spacing w:before="240" w:after="0" w:line="480" w:lineRule="auto"/>
        <w:jc w:val="both"/>
        <w:rPr>
          <w:rFonts w:ascii="Times New Roman" w:hAnsi="Times New Roman" w:cs="Times New Roman"/>
          <w:b/>
          <w:color w:val="231F20"/>
        </w:rPr>
      </w:pPr>
      <w:r w:rsidRPr="00524595">
        <w:rPr>
          <w:rFonts w:ascii="Times New Roman" w:hAnsi="Times New Roman" w:cs="Times New Roman"/>
          <w:b/>
          <w:color w:val="231F20"/>
        </w:rPr>
        <w:t>References</w:t>
      </w:r>
    </w:p>
    <w:p w14:paraId="173BF527"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t>1. Narula G, Khodaiji S, Bableshwar A, Bindra M. Age-related reference intervals for immunoglobulin levels and lymphocyte subsets in Indian children. Indian J Pathol Microbiol. 2017</w:t>
      </w:r>
      <w:r w:rsidRPr="00F90845">
        <w:rPr>
          <w:rFonts w:ascii="Times New Roman" w:hAnsi="Times New Roman" w:cs="Times New Roman"/>
          <w:color w:val="212121"/>
          <w:shd w:val="clear" w:color="auto" w:fill="FFFFFF"/>
        </w:rPr>
        <w:t>;60:360</w:t>
      </w:r>
      <w:r w:rsidRPr="00F90845">
        <w:rPr>
          <w:rFonts w:ascii="Times New Roman" w:hAnsi="Times New Roman" w:cs="Times New Roman"/>
          <w:noProof/>
        </w:rPr>
        <w:t>–</w:t>
      </w:r>
      <w:r w:rsidRPr="00F90845">
        <w:rPr>
          <w:rFonts w:ascii="Times New Roman" w:hAnsi="Times New Roman" w:cs="Times New Roman"/>
          <w:color w:val="212121"/>
          <w:shd w:val="clear" w:color="auto" w:fill="FFFFFF"/>
        </w:rPr>
        <w:t>4.</w:t>
      </w:r>
    </w:p>
    <w:p w14:paraId="72388C44"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t>2. Tosato F, Bucciol G, Pantano G, et al. Lymphocytes subsets reference values in childhood. Cytom Part A. 2015</w:t>
      </w:r>
      <w:r w:rsidRPr="00F90845">
        <w:rPr>
          <w:rFonts w:ascii="Times New Roman" w:hAnsi="Times New Roman" w:cs="Times New Roman"/>
          <w:color w:val="212121"/>
          <w:shd w:val="clear" w:color="auto" w:fill="FFFFFF"/>
        </w:rPr>
        <w:t>;87:81</w:t>
      </w:r>
      <w:r w:rsidRPr="00F90845">
        <w:rPr>
          <w:rFonts w:ascii="Times New Roman" w:hAnsi="Times New Roman" w:cs="Times New Roman"/>
          <w:noProof/>
        </w:rPr>
        <w:t>–</w:t>
      </w:r>
      <w:r w:rsidRPr="00F90845">
        <w:rPr>
          <w:rFonts w:ascii="Times New Roman" w:hAnsi="Times New Roman" w:cs="Times New Roman"/>
          <w:color w:val="212121"/>
          <w:shd w:val="clear" w:color="auto" w:fill="FFFFFF"/>
        </w:rPr>
        <w:t>5.</w:t>
      </w:r>
    </w:p>
    <w:p w14:paraId="7E6A0842"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t>3. Schimke LF, Sawalle-Belohradsky J, Roesler J, et al. Diagnostic approach to the hyper-IgE syndromes: Immunologic and clinical key findings to differentiate hyper-IgE syndromes from atopic dermatitis. J Allergy Clin Immunol. 2010;</w:t>
      </w:r>
      <w:r w:rsidRPr="00F90845">
        <w:rPr>
          <w:rFonts w:ascii="Times New Roman" w:hAnsi="Times New Roman" w:cs="Times New Roman"/>
          <w:color w:val="212121"/>
          <w:shd w:val="clear" w:color="auto" w:fill="FFFFFF"/>
        </w:rPr>
        <w:t>126:611</w:t>
      </w:r>
      <w:r w:rsidRPr="00F90845">
        <w:rPr>
          <w:rFonts w:ascii="Times New Roman" w:hAnsi="Times New Roman" w:cs="Times New Roman"/>
          <w:noProof/>
        </w:rPr>
        <w:t>–</w:t>
      </w:r>
      <w:r w:rsidRPr="00F90845">
        <w:rPr>
          <w:rFonts w:ascii="Times New Roman" w:hAnsi="Times New Roman" w:cs="Times New Roman"/>
          <w:color w:val="212121"/>
          <w:shd w:val="clear" w:color="auto" w:fill="FFFFFF"/>
        </w:rPr>
        <w:t>7.</w:t>
      </w:r>
      <w:r w:rsidRPr="00F90845">
        <w:rPr>
          <w:rFonts w:ascii="Times New Roman" w:hAnsi="Times New Roman" w:cs="Times New Roman"/>
          <w:noProof/>
        </w:rPr>
        <w:t xml:space="preserve"> </w:t>
      </w:r>
    </w:p>
    <w:p w14:paraId="44CBBA0C"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t>4. Henter JI, Horne A, Aricó M, et al. HLH-2004: Diagnostic and therapeutic guidelines for hemophagocytic lymphohistiocytosis. Pediatr. Blood Cancer. 2007;</w:t>
      </w:r>
      <w:r w:rsidRPr="00F90845">
        <w:rPr>
          <w:rFonts w:ascii="Times New Roman" w:hAnsi="Times New Roman" w:cs="Times New Roman"/>
          <w:color w:val="212121"/>
          <w:shd w:val="clear" w:color="auto" w:fill="FFFFFF"/>
        </w:rPr>
        <w:t>48:124</w:t>
      </w:r>
      <w:r w:rsidRPr="00F90845">
        <w:rPr>
          <w:rFonts w:ascii="Times New Roman" w:hAnsi="Times New Roman" w:cs="Times New Roman"/>
          <w:noProof/>
        </w:rPr>
        <w:t>–</w:t>
      </w:r>
      <w:r w:rsidRPr="00F90845">
        <w:rPr>
          <w:rFonts w:ascii="Times New Roman" w:hAnsi="Times New Roman" w:cs="Times New Roman"/>
          <w:color w:val="212121"/>
          <w:shd w:val="clear" w:color="auto" w:fill="FFFFFF"/>
        </w:rPr>
        <w:t>31.</w:t>
      </w:r>
    </w:p>
    <w:p w14:paraId="56AD31C1"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t>5. Rodina YA, Matveev VE, Balashov DN, Dubrovina ME, Shcherbina AY. Chediak-Higashi syndrome. Pediatr Hematol. 2016;15,27–33.</w:t>
      </w:r>
      <w:r w:rsidRPr="00F90845">
        <w:rPr>
          <w:rFonts w:ascii="Times New Roman" w:hAnsi="Times New Roman" w:cs="Times New Roman"/>
          <w:color w:val="666666"/>
          <w:shd w:val="clear" w:color="auto" w:fill="FFFFFF"/>
        </w:rPr>
        <w:t> </w:t>
      </w:r>
    </w:p>
    <w:p w14:paraId="4D5A9952"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color w:val="212121"/>
          <w:shd w:val="clear" w:color="auto" w:fill="FFFFFF"/>
        </w:rPr>
      </w:pPr>
      <w:r w:rsidRPr="00F90845">
        <w:rPr>
          <w:rFonts w:ascii="Times New Roman" w:hAnsi="Times New Roman" w:cs="Times New Roman"/>
          <w:noProof/>
        </w:rPr>
        <w:t xml:space="preserve">6. Morra M, Howie D, Grande MS, et al. </w:t>
      </w:r>
      <w:r w:rsidRPr="00F90845">
        <w:rPr>
          <w:rFonts w:ascii="Times New Roman" w:hAnsi="Times New Roman" w:cs="Times New Roman"/>
          <w:color w:val="212121"/>
          <w:shd w:val="clear" w:color="auto" w:fill="FFFFFF"/>
        </w:rPr>
        <w:t>X-linked lymphoproliferative disease: a progressive immunodeficiency. Annu Rev Immunol. 2001;19:657</w:t>
      </w:r>
      <w:r w:rsidRPr="00F90845">
        <w:rPr>
          <w:rFonts w:ascii="Times New Roman" w:hAnsi="Times New Roman" w:cs="Times New Roman"/>
          <w:noProof/>
        </w:rPr>
        <w:t>–</w:t>
      </w:r>
      <w:r w:rsidRPr="00F90845">
        <w:rPr>
          <w:rFonts w:ascii="Times New Roman" w:hAnsi="Times New Roman" w:cs="Times New Roman"/>
          <w:color w:val="212121"/>
          <w:shd w:val="clear" w:color="auto" w:fill="FFFFFF"/>
        </w:rPr>
        <w:t>82.</w:t>
      </w:r>
    </w:p>
    <w:p w14:paraId="27B8C152"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lastRenderedPageBreak/>
        <w:t>7. Winter S, Martin E, Boutboul D, et al.  Loss of RASGRP 1 in humans impairs T</w:t>
      </w:r>
      <w:r w:rsidRPr="00F90845">
        <w:rPr>
          <w:rFonts w:ascii="Cambria Math" w:hAnsi="Cambria Math" w:cs="Cambria Math"/>
          <w:noProof/>
        </w:rPr>
        <w:t>‐</w:t>
      </w:r>
      <w:r w:rsidRPr="00F90845">
        <w:rPr>
          <w:rFonts w:ascii="Times New Roman" w:hAnsi="Times New Roman" w:cs="Times New Roman"/>
          <w:noProof/>
        </w:rPr>
        <w:t>cell expansion leading to Epstein</w:t>
      </w:r>
      <w:r w:rsidRPr="00F90845">
        <w:rPr>
          <w:rFonts w:ascii="Cambria Math" w:hAnsi="Cambria Math" w:cs="Cambria Math"/>
          <w:noProof/>
        </w:rPr>
        <w:t>‐</w:t>
      </w:r>
      <w:r w:rsidRPr="00F90845">
        <w:rPr>
          <w:rFonts w:ascii="Times New Roman" w:hAnsi="Times New Roman" w:cs="Times New Roman"/>
          <w:noProof/>
        </w:rPr>
        <w:t xml:space="preserve">Barr virus susceptibility . EMBO Mol Med. 2018;10:188–99. </w:t>
      </w:r>
    </w:p>
    <w:p w14:paraId="75DD3B28"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t>8. Okada S, Markle JG, Deenick EK, et al. Impairment of immunity to candida and mycobacterium in humans with bi-allelic RORC mutations. Science. 2015;</w:t>
      </w:r>
      <w:r w:rsidRPr="00F90845">
        <w:rPr>
          <w:rFonts w:ascii="Times New Roman" w:hAnsi="Times New Roman" w:cs="Times New Roman"/>
          <w:color w:val="212121"/>
          <w:shd w:val="clear" w:color="auto" w:fill="FFFFFF"/>
        </w:rPr>
        <w:t>349:606</w:t>
      </w:r>
      <w:r w:rsidRPr="00F90845">
        <w:rPr>
          <w:rFonts w:ascii="Times New Roman" w:hAnsi="Times New Roman" w:cs="Times New Roman"/>
          <w:noProof/>
        </w:rPr>
        <w:t>–</w:t>
      </w:r>
      <w:r w:rsidRPr="00F90845">
        <w:rPr>
          <w:rFonts w:ascii="Times New Roman" w:hAnsi="Times New Roman" w:cs="Times New Roman"/>
          <w:color w:val="212121"/>
          <w:shd w:val="clear" w:color="auto" w:fill="FFFFFF"/>
        </w:rPr>
        <w:t>13. </w:t>
      </w:r>
      <w:r w:rsidRPr="00F90845">
        <w:rPr>
          <w:rFonts w:ascii="Times New Roman" w:hAnsi="Times New Roman" w:cs="Times New Roman"/>
          <w:noProof/>
        </w:rPr>
        <w:t xml:space="preserve"> </w:t>
      </w:r>
    </w:p>
    <w:p w14:paraId="43335B9A" w14:textId="77777777" w:rsidR="00F15CF1" w:rsidRPr="00F90845" w:rsidRDefault="00F15CF1" w:rsidP="00524595">
      <w:pPr>
        <w:widowControl w:val="0"/>
        <w:autoSpaceDE w:val="0"/>
        <w:autoSpaceDN w:val="0"/>
        <w:adjustRightInd w:val="0"/>
        <w:spacing w:after="0" w:line="360" w:lineRule="auto"/>
        <w:jc w:val="both"/>
        <w:rPr>
          <w:rFonts w:ascii="Times New Roman" w:hAnsi="Times New Roman" w:cs="Times New Roman"/>
          <w:noProof/>
        </w:rPr>
      </w:pPr>
      <w:r w:rsidRPr="00F90845">
        <w:rPr>
          <w:rFonts w:ascii="Times New Roman" w:hAnsi="Times New Roman" w:cs="Times New Roman"/>
          <w:noProof/>
        </w:rPr>
        <w:t>9. Toubiana J, Okada S, Hiller J, et al</w:t>
      </w:r>
      <w:r w:rsidRPr="00F90845">
        <w:rPr>
          <w:rFonts w:ascii="Times New Roman" w:hAnsi="Times New Roman" w:cs="Times New Roman"/>
          <w:color w:val="212121"/>
          <w:shd w:val="clear" w:color="auto" w:fill="FFFFFF"/>
        </w:rPr>
        <w:t>; International STAT1 Gain-of-Function Study Group. </w:t>
      </w:r>
      <w:r w:rsidRPr="00F90845">
        <w:rPr>
          <w:rFonts w:ascii="Times New Roman" w:hAnsi="Times New Roman" w:cs="Times New Roman"/>
          <w:noProof/>
        </w:rPr>
        <w:t xml:space="preserve"> Heterozygous STAT1 gain-of-function mutations underlie an unexpectedly broad clinical phenotype. Blood. 2016</w:t>
      </w:r>
      <w:r w:rsidRPr="00F90845">
        <w:rPr>
          <w:rFonts w:ascii="Times New Roman" w:hAnsi="Times New Roman" w:cs="Times New Roman"/>
          <w:color w:val="212121"/>
          <w:shd w:val="clear" w:color="auto" w:fill="FFFFFF"/>
        </w:rPr>
        <w:t>;127:3154</w:t>
      </w:r>
      <w:r w:rsidRPr="00F90845">
        <w:rPr>
          <w:rFonts w:ascii="Times New Roman" w:hAnsi="Times New Roman" w:cs="Times New Roman"/>
          <w:noProof/>
        </w:rPr>
        <w:t>–</w:t>
      </w:r>
      <w:r w:rsidRPr="00F90845">
        <w:rPr>
          <w:rFonts w:ascii="Times New Roman" w:hAnsi="Times New Roman" w:cs="Times New Roman"/>
          <w:color w:val="212121"/>
          <w:shd w:val="clear" w:color="auto" w:fill="FFFFFF"/>
        </w:rPr>
        <w:t>64.</w:t>
      </w:r>
    </w:p>
    <w:p w14:paraId="244DF658" w14:textId="77777777" w:rsidR="00F15CF1" w:rsidRPr="00F90845" w:rsidRDefault="00F15CF1" w:rsidP="00524595">
      <w:pPr>
        <w:autoSpaceDE w:val="0"/>
        <w:autoSpaceDN w:val="0"/>
        <w:adjustRightInd w:val="0"/>
        <w:spacing w:before="240" w:after="0" w:line="480" w:lineRule="auto"/>
        <w:jc w:val="both"/>
        <w:rPr>
          <w:rFonts w:ascii="Times New Roman" w:hAnsi="Times New Roman" w:cs="Times New Roman"/>
          <w:color w:val="231F20"/>
        </w:rPr>
      </w:pPr>
    </w:p>
    <w:p w14:paraId="4098EFE7" w14:textId="67A8454D" w:rsidR="00D4234C" w:rsidRPr="008F7334" w:rsidRDefault="00D4234C" w:rsidP="00524595">
      <w:pPr>
        <w:autoSpaceDE w:val="0"/>
        <w:autoSpaceDN w:val="0"/>
        <w:adjustRightInd w:val="0"/>
        <w:spacing w:before="240" w:after="0" w:line="480" w:lineRule="auto"/>
        <w:jc w:val="both"/>
        <w:rPr>
          <w:rFonts w:ascii="Times New Roman" w:hAnsi="Times New Roman" w:cs="Times New Roman"/>
          <w:color w:val="231F20"/>
        </w:rPr>
      </w:pPr>
    </w:p>
    <w:sectPr w:rsidR="00D4234C" w:rsidRPr="008F73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unga">
    <w:panose1 w:val="00000400000000000000"/>
    <w:charset w:val="00"/>
    <w:family w:val="swiss"/>
    <w:pitch w:val="variable"/>
    <w:sig w:usb0="004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Cambria Math">
    <w:panose1 w:val="00000000000000000000"/>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WwBAJjUwsLSwMLIyUdpeDU4uLM/DyQAtNaAD67fggsAAAA"/>
  </w:docVars>
  <w:rsids>
    <w:rsidRoot w:val="00040BD2"/>
    <w:rsid w:val="00001898"/>
    <w:rsid w:val="00024059"/>
    <w:rsid w:val="00032A35"/>
    <w:rsid w:val="00040BD2"/>
    <w:rsid w:val="000745A1"/>
    <w:rsid w:val="000A2BAE"/>
    <w:rsid w:val="000A7FDB"/>
    <w:rsid w:val="000B5ED5"/>
    <w:rsid w:val="00101524"/>
    <w:rsid w:val="00107447"/>
    <w:rsid w:val="001C148E"/>
    <w:rsid w:val="0021528C"/>
    <w:rsid w:val="00230750"/>
    <w:rsid w:val="002462FB"/>
    <w:rsid w:val="00251D7A"/>
    <w:rsid w:val="0025395C"/>
    <w:rsid w:val="002619C9"/>
    <w:rsid w:val="002B0D86"/>
    <w:rsid w:val="002D10E4"/>
    <w:rsid w:val="002E7A63"/>
    <w:rsid w:val="002F173F"/>
    <w:rsid w:val="003277C7"/>
    <w:rsid w:val="00356864"/>
    <w:rsid w:val="00383A77"/>
    <w:rsid w:val="004610B0"/>
    <w:rsid w:val="0048505A"/>
    <w:rsid w:val="004A0C79"/>
    <w:rsid w:val="004A2E59"/>
    <w:rsid w:val="004D5502"/>
    <w:rsid w:val="004E11E5"/>
    <w:rsid w:val="00524595"/>
    <w:rsid w:val="0053192E"/>
    <w:rsid w:val="00550EF9"/>
    <w:rsid w:val="005723A5"/>
    <w:rsid w:val="00582A53"/>
    <w:rsid w:val="005D494A"/>
    <w:rsid w:val="00616832"/>
    <w:rsid w:val="0063678C"/>
    <w:rsid w:val="006C314E"/>
    <w:rsid w:val="006C3C66"/>
    <w:rsid w:val="006F37A4"/>
    <w:rsid w:val="007024E4"/>
    <w:rsid w:val="007174F0"/>
    <w:rsid w:val="0072221B"/>
    <w:rsid w:val="0076521B"/>
    <w:rsid w:val="00786137"/>
    <w:rsid w:val="007F5A8E"/>
    <w:rsid w:val="00824CCB"/>
    <w:rsid w:val="00884790"/>
    <w:rsid w:val="00885187"/>
    <w:rsid w:val="0089398D"/>
    <w:rsid w:val="008A0BB4"/>
    <w:rsid w:val="008A1E71"/>
    <w:rsid w:val="008B081A"/>
    <w:rsid w:val="008F7334"/>
    <w:rsid w:val="00917F6C"/>
    <w:rsid w:val="00936BA7"/>
    <w:rsid w:val="0098199B"/>
    <w:rsid w:val="00982A4E"/>
    <w:rsid w:val="00A03293"/>
    <w:rsid w:val="00A16E55"/>
    <w:rsid w:val="00AF69D2"/>
    <w:rsid w:val="00B80394"/>
    <w:rsid w:val="00B85610"/>
    <w:rsid w:val="00C161CA"/>
    <w:rsid w:val="00C755DE"/>
    <w:rsid w:val="00D4234C"/>
    <w:rsid w:val="00DA522C"/>
    <w:rsid w:val="00DC33ED"/>
    <w:rsid w:val="00E467A7"/>
    <w:rsid w:val="00E57335"/>
    <w:rsid w:val="00E82535"/>
    <w:rsid w:val="00E844F9"/>
    <w:rsid w:val="00E95F8E"/>
    <w:rsid w:val="00E9757E"/>
    <w:rsid w:val="00EA61B7"/>
    <w:rsid w:val="00ED07D1"/>
    <w:rsid w:val="00ED4A65"/>
    <w:rsid w:val="00EE6F69"/>
    <w:rsid w:val="00F15CF1"/>
    <w:rsid w:val="00F53892"/>
    <w:rsid w:val="00F72A0D"/>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F081"/>
  <w15:chartTrackingRefBased/>
  <w15:docId w15:val="{470B9792-B13B-4673-93C8-457D9C2F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E5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7A63"/>
    <w:rPr>
      <w:color w:val="0000FF"/>
      <w:u w:val="single"/>
    </w:rPr>
  </w:style>
  <w:style w:type="paragraph" w:styleId="BalloonText">
    <w:name w:val="Balloon Text"/>
    <w:basedOn w:val="Normal"/>
    <w:link w:val="BalloonTextChar"/>
    <w:uiPriority w:val="99"/>
    <w:semiHidden/>
    <w:unhideWhenUsed/>
    <w:rsid w:val="00550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EF9"/>
    <w:rPr>
      <w:rFonts w:ascii="Segoe UI" w:eastAsiaTheme="minorEastAsia" w:hAnsi="Segoe UI" w:cs="Segoe UI"/>
      <w:sz w:val="18"/>
      <w:szCs w:val="18"/>
    </w:rPr>
  </w:style>
  <w:style w:type="paragraph" w:customStyle="1" w:styleId="details">
    <w:name w:val="details"/>
    <w:basedOn w:val="Normal"/>
    <w:rsid w:val="006F37A4"/>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5951">
      <w:bodyDiv w:val="1"/>
      <w:marLeft w:val="0"/>
      <w:marRight w:val="0"/>
      <w:marTop w:val="0"/>
      <w:marBottom w:val="0"/>
      <w:divBdr>
        <w:top w:val="none" w:sz="0" w:space="0" w:color="auto"/>
        <w:left w:val="none" w:sz="0" w:space="0" w:color="auto"/>
        <w:bottom w:val="none" w:sz="0" w:space="0" w:color="auto"/>
        <w:right w:val="none" w:sz="0" w:space="0" w:color="auto"/>
      </w:divBdr>
    </w:div>
    <w:div w:id="433091499">
      <w:bodyDiv w:val="1"/>
      <w:marLeft w:val="0"/>
      <w:marRight w:val="0"/>
      <w:marTop w:val="0"/>
      <w:marBottom w:val="0"/>
      <w:divBdr>
        <w:top w:val="none" w:sz="0" w:space="0" w:color="auto"/>
        <w:left w:val="none" w:sz="0" w:space="0" w:color="auto"/>
        <w:bottom w:val="none" w:sz="0" w:space="0" w:color="auto"/>
        <w:right w:val="none" w:sz="0" w:space="0" w:color="auto"/>
      </w:divBdr>
    </w:div>
    <w:div w:id="88533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7853</Words>
  <Characters>44764</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dc:creator>
  <cp:keywords/>
  <dc:description/>
  <cp:lastModifiedBy>admin</cp:lastModifiedBy>
  <cp:revision>2</cp:revision>
  <dcterms:created xsi:type="dcterms:W3CDTF">2021-08-13T10:31:00Z</dcterms:created>
  <dcterms:modified xsi:type="dcterms:W3CDTF">2021-08-13T10:31:00Z</dcterms:modified>
</cp:coreProperties>
</file>