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219BE" w14:textId="77777777" w:rsidR="009D1C85" w:rsidRPr="009D1C85" w:rsidRDefault="009D1C85" w:rsidP="009D1C85">
      <w:pPr>
        <w:pStyle w:val="Ttulo2"/>
        <w:spacing w:after="120" w:line="259" w:lineRule="auto"/>
        <w:jc w:val="both"/>
        <w:rPr>
          <w:rFonts w:ascii="Calibri Light" w:eastAsia="Calibri Light" w:hAnsi="Calibri Light" w:cs="Calibri Light"/>
          <w:color w:val="2F5496"/>
          <w:lang w:val="en-GB"/>
        </w:rPr>
      </w:pPr>
      <w:r w:rsidRPr="009D1C85">
        <w:rPr>
          <w:rFonts w:ascii="Calibri Light" w:eastAsia="Calibri Light" w:hAnsi="Calibri Light" w:cs="Calibri Light"/>
          <w:color w:val="2F5496"/>
          <w:lang w:val="en-GB"/>
        </w:rPr>
        <w:t>ANNEX 3 Highlighting the gap between immigrants and native populations.</w:t>
      </w:r>
    </w:p>
    <w:p w14:paraId="3E8DAAF6" w14:textId="6B1AF2FF" w:rsidR="0010466A" w:rsidRDefault="00F2579D" w:rsidP="00F2579D">
      <w:pPr>
        <w:spacing w:line="259" w:lineRule="auto"/>
        <w:jc w:val="both"/>
        <w:rPr>
          <w:rFonts w:ascii="Times New Roman" w:eastAsia="Times New Roman" w:hAnsi="Times New Roman" w:cs="Times New Roman"/>
          <w:color w:val="000000" w:themeColor="text1"/>
          <w:sz w:val="20"/>
          <w:szCs w:val="20"/>
          <w:lang w:val="en-GB"/>
        </w:rPr>
      </w:pPr>
      <w:r w:rsidRPr="00F2579D">
        <w:rPr>
          <w:rFonts w:ascii="Times New Roman" w:eastAsia="Times New Roman" w:hAnsi="Times New Roman" w:cs="Times New Roman"/>
          <w:color w:val="000000" w:themeColor="text1"/>
          <w:sz w:val="20"/>
          <w:szCs w:val="20"/>
          <w:lang w:val="en-GB"/>
        </w:rPr>
        <w:t>This Annex analyses the existing gap between the current situation for the migrant and the native-born populations not only in Spain but also in some chosen European countries representing the diversity of the EU-27 (Belgium, France, Germany, Italy, Sweden and Poland)</w:t>
      </w:r>
      <w:r w:rsidR="00D255EA">
        <w:rPr>
          <w:rStyle w:val="Refdenotaalpie"/>
          <w:rFonts w:ascii="Times New Roman" w:eastAsia="Times New Roman" w:hAnsi="Times New Roman" w:cs="Times New Roman"/>
          <w:color w:val="000000" w:themeColor="text1"/>
          <w:sz w:val="20"/>
          <w:szCs w:val="20"/>
          <w:lang w:val="en-GB"/>
        </w:rPr>
        <w:footnoteReference w:id="2"/>
      </w:r>
      <w:r w:rsidRPr="00F2579D">
        <w:rPr>
          <w:rFonts w:ascii="Times New Roman" w:eastAsia="Times New Roman" w:hAnsi="Times New Roman" w:cs="Times New Roman"/>
          <w:color w:val="000000" w:themeColor="text1"/>
          <w:sz w:val="20"/>
          <w:szCs w:val="20"/>
          <w:lang w:val="en-GB"/>
        </w:rPr>
        <w:t>.</w:t>
      </w:r>
      <w:r w:rsidR="00A90B88">
        <w:rPr>
          <w:rFonts w:ascii="Times New Roman" w:eastAsia="Times New Roman" w:hAnsi="Times New Roman" w:cs="Times New Roman"/>
          <w:color w:val="000000" w:themeColor="text1"/>
          <w:sz w:val="20"/>
          <w:szCs w:val="20"/>
          <w:lang w:val="en-GB"/>
        </w:rPr>
        <w:t xml:space="preserve"> </w:t>
      </w:r>
    </w:p>
    <w:p w14:paraId="65176BA4" w14:textId="239C6044" w:rsidR="00F54D82" w:rsidRPr="00F54D82" w:rsidRDefault="00F54D82" w:rsidP="00F54D82">
      <w:pPr>
        <w:spacing w:line="259" w:lineRule="auto"/>
        <w:jc w:val="both"/>
        <w:rPr>
          <w:rFonts w:ascii="Times New Roman" w:eastAsia="Times New Roman" w:hAnsi="Times New Roman" w:cs="Times New Roman"/>
          <w:color w:val="000000" w:themeColor="text1"/>
          <w:sz w:val="20"/>
          <w:szCs w:val="20"/>
          <w:lang w:val="en-GB"/>
        </w:rPr>
      </w:pPr>
      <w:r w:rsidRPr="00F54D82">
        <w:rPr>
          <w:rFonts w:ascii="Times New Roman" w:eastAsia="Times New Roman" w:hAnsi="Times New Roman" w:cs="Times New Roman"/>
          <w:color w:val="000000" w:themeColor="text1"/>
          <w:sz w:val="20"/>
          <w:szCs w:val="20"/>
          <w:lang w:val="en-GB"/>
        </w:rPr>
        <w:t>Belgium, France, Germany, Italy, Spain, Sweden and Poland are countries chosen for their different migratory realities</w:t>
      </w:r>
      <w:r w:rsidR="001857D4">
        <w:rPr>
          <w:rFonts w:ascii="Times New Roman" w:eastAsia="Times New Roman" w:hAnsi="Times New Roman" w:cs="Times New Roman"/>
          <w:color w:val="000000" w:themeColor="text1"/>
          <w:sz w:val="20"/>
          <w:szCs w:val="20"/>
          <w:lang w:val="en-GB"/>
        </w:rPr>
        <w:t>,</w:t>
      </w:r>
      <w:r w:rsidRPr="00F54D82">
        <w:rPr>
          <w:rFonts w:ascii="Times New Roman" w:eastAsia="Times New Roman" w:hAnsi="Times New Roman" w:cs="Times New Roman"/>
          <w:color w:val="000000" w:themeColor="text1"/>
          <w:sz w:val="20"/>
          <w:szCs w:val="20"/>
          <w:lang w:val="en-GB"/>
        </w:rPr>
        <w:t xml:space="preserve"> which, when analysed together and comparatively, can give an idea of the diversity existing in the EU as a whole. </w:t>
      </w:r>
    </w:p>
    <w:p w14:paraId="4E896F68" w14:textId="77777777" w:rsidR="00F54D82" w:rsidRPr="00F54D82" w:rsidRDefault="00F54D82" w:rsidP="00F54D82">
      <w:pPr>
        <w:spacing w:line="259" w:lineRule="auto"/>
        <w:jc w:val="both"/>
        <w:rPr>
          <w:rFonts w:ascii="Times New Roman" w:eastAsia="Times New Roman" w:hAnsi="Times New Roman" w:cs="Times New Roman"/>
          <w:color w:val="000000" w:themeColor="text1"/>
          <w:sz w:val="20"/>
          <w:szCs w:val="20"/>
          <w:lang w:val="en-GB"/>
        </w:rPr>
      </w:pPr>
      <w:r w:rsidRPr="00F54D82">
        <w:rPr>
          <w:rFonts w:ascii="Times New Roman" w:eastAsia="Times New Roman" w:hAnsi="Times New Roman" w:cs="Times New Roman"/>
          <w:color w:val="000000" w:themeColor="text1"/>
          <w:sz w:val="20"/>
          <w:szCs w:val="20"/>
          <w:lang w:val="en-GB"/>
        </w:rPr>
        <w:t>To begin with, these countries represent Western, Central, Southern and Northern Europe, which provides a global view of migration flows across the continent. Spain's location in southern Europe makes it a critical entry point for migrants crossing the Mediterranean and Atlantic routes. Italy is a maritime border with much of the Maghreb and Poland, a former Soviet orbiting state, becomes the EU's eastern border.</w:t>
      </w:r>
    </w:p>
    <w:p w14:paraId="0983DA27" w14:textId="4A906912" w:rsidR="00F54D82" w:rsidRPr="00F54D82" w:rsidRDefault="00F54D82" w:rsidP="00F54D82">
      <w:pPr>
        <w:spacing w:line="259" w:lineRule="auto"/>
        <w:jc w:val="both"/>
        <w:rPr>
          <w:rFonts w:ascii="Times New Roman" w:eastAsia="Times New Roman" w:hAnsi="Times New Roman" w:cs="Times New Roman"/>
          <w:color w:val="000000" w:themeColor="text1"/>
          <w:sz w:val="20"/>
          <w:szCs w:val="20"/>
          <w:lang w:val="en-GB"/>
        </w:rPr>
      </w:pPr>
      <w:r w:rsidRPr="00F54D82">
        <w:rPr>
          <w:rFonts w:ascii="Times New Roman" w:eastAsia="Times New Roman" w:hAnsi="Times New Roman" w:cs="Times New Roman"/>
          <w:color w:val="000000" w:themeColor="text1"/>
          <w:sz w:val="20"/>
          <w:szCs w:val="20"/>
          <w:lang w:val="en-GB"/>
        </w:rPr>
        <w:t>The historical context of migration in these countries also plays an important role. France and Belgium have a long history of colonial links that influence their migration patterns. Germany's reunification and Poland's post-communist transition have shaped their current migration realities. Spain's historical ties with Latin America and its colonial past add to its cultural and demographic diversity. Italy's situation, with connections to Latin America and Africa, is similar to Spain's.</w:t>
      </w:r>
    </w:p>
    <w:p w14:paraId="2254B6D4" w14:textId="77777777" w:rsidR="00F54D82" w:rsidRPr="00F54D82" w:rsidRDefault="00F54D82" w:rsidP="00F54D82">
      <w:pPr>
        <w:spacing w:line="259" w:lineRule="auto"/>
        <w:jc w:val="both"/>
        <w:rPr>
          <w:rFonts w:ascii="Times New Roman" w:eastAsia="Times New Roman" w:hAnsi="Times New Roman" w:cs="Times New Roman"/>
          <w:color w:val="000000" w:themeColor="text1"/>
          <w:sz w:val="20"/>
          <w:szCs w:val="20"/>
          <w:lang w:val="en-GB"/>
        </w:rPr>
      </w:pPr>
      <w:r w:rsidRPr="00F54D82">
        <w:rPr>
          <w:rFonts w:ascii="Times New Roman" w:eastAsia="Times New Roman" w:hAnsi="Times New Roman" w:cs="Times New Roman"/>
          <w:color w:val="000000" w:themeColor="text1"/>
          <w:sz w:val="20"/>
          <w:szCs w:val="20"/>
          <w:lang w:val="en-GB"/>
        </w:rPr>
        <w:t>On the other hand, economic conditions in these countries also vary significantly, which influences migration trends and the type of immigrants they are able to attract. Germany and Sweden, with their strong economies, have for decades attracted both skilled and unskilled immigration. Spain and Italy, traditional emigrant-sending countries until very recently and with economies more focused on the primary sector, are characterised by the attraction of unskilled workers. Poland remains a sending state, although its booming economy is becoming increasingly attractive to migrants, especially from former Iron Curtain countries.</w:t>
      </w:r>
    </w:p>
    <w:p w14:paraId="67021850" w14:textId="26F6A062" w:rsidR="0010466A" w:rsidRDefault="00F54D82" w:rsidP="00F54D82">
      <w:pPr>
        <w:spacing w:line="259" w:lineRule="auto"/>
        <w:jc w:val="both"/>
        <w:rPr>
          <w:rFonts w:ascii="Times New Roman" w:eastAsia="Times New Roman" w:hAnsi="Times New Roman" w:cs="Times New Roman"/>
          <w:color w:val="000000" w:themeColor="text1"/>
          <w:sz w:val="20"/>
          <w:szCs w:val="20"/>
          <w:lang w:val="en-GB"/>
        </w:rPr>
      </w:pPr>
      <w:r w:rsidRPr="00F54D82">
        <w:rPr>
          <w:rFonts w:ascii="Times New Roman" w:eastAsia="Times New Roman" w:hAnsi="Times New Roman" w:cs="Times New Roman"/>
          <w:color w:val="000000" w:themeColor="text1"/>
          <w:sz w:val="20"/>
          <w:szCs w:val="20"/>
          <w:lang w:val="en-GB"/>
        </w:rPr>
        <w:t>In terms of asylum and refugee policies, Sweden and Germany have been more open to accepting refugees, especially during the so-called 2015 crisis, while Poland has been more restrictive. Spain has actively managed asylum and refugee flows, especially from Africa, and Italy has relaxed or tightened its reception policy depending on the different governments the country has had.</w:t>
      </w:r>
    </w:p>
    <w:p w14:paraId="6D9F3A87" w14:textId="77777777" w:rsidR="003E5311" w:rsidRPr="00860DC5" w:rsidRDefault="003E5311" w:rsidP="003E5311">
      <w:pPr>
        <w:pStyle w:val="NormalWeb"/>
        <w:rPr>
          <w:sz w:val="20"/>
          <w:szCs w:val="20"/>
          <w:lang w:val="en-GB"/>
        </w:rPr>
      </w:pPr>
      <w:r w:rsidRPr="00860DC5">
        <w:rPr>
          <w:sz w:val="20"/>
          <w:szCs w:val="20"/>
          <w:lang w:val="en-GB"/>
        </w:rPr>
        <w:t>As far as the COVID-19 pandemic is concerned, it should be highlighted that it has had a disproportionate impact on migrant communities across several European countries, largely influenced by socio-economic factors, housing density, and occupational exposure.</w:t>
      </w:r>
    </w:p>
    <w:p w14:paraId="109534E6" w14:textId="651B8FCE" w:rsidR="003E5311" w:rsidRPr="00A07434" w:rsidRDefault="003E5311" w:rsidP="00A07434">
      <w:pPr>
        <w:spacing w:line="259" w:lineRule="auto"/>
        <w:jc w:val="both"/>
        <w:rPr>
          <w:rFonts w:ascii="Times New Roman" w:eastAsia="Times New Roman" w:hAnsi="Times New Roman" w:cs="Times New Roman"/>
          <w:color w:val="000000" w:themeColor="text1"/>
        </w:rPr>
      </w:pPr>
      <w:r w:rsidRPr="00A07434">
        <w:rPr>
          <w:rFonts w:ascii="Times New Roman" w:eastAsia="Times New Roman" w:hAnsi="Times New Roman" w:cs="Times New Roman"/>
          <w:color w:val="000000" w:themeColor="text1"/>
          <w:sz w:val="20"/>
          <w:szCs w:val="20"/>
          <w:lang w:val="en-GB"/>
        </w:rPr>
        <w:t xml:space="preserve">In Belgium, a study revealed significant mortality inequalities during the first three COVID-19 waves, with elderly Turkish men and women experiencing notably higher excess mortality rates than native Belgians </w:t>
      </w:r>
      <w:r w:rsidRPr="00A07434">
        <w:rPr>
          <w:rFonts w:ascii="Times New Roman" w:eastAsia="Times New Roman" w:hAnsi="Times New Roman" w:cs="Times New Roman"/>
          <w:color w:val="000000" w:themeColor="text1"/>
          <w:sz w:val="20"/>
          <w:szCs w:val="20"/>
          <w:lang w:val="en-GB"/>
        </w:rPr>
        <w:fldChar w:fldCharType="begin" w:fldLock="1"/>
      </w:r>
      <w:r w:rsidRPr="00A07434">
        <w:rPr>
          <w:rFonts w:ascii="Times New Roman" w:eastAsia="Times New Roman" w:hAnsi="Times New Roman" w:cs="Times New Roman"/>
          <w:color w:val="000000" w:themeColor="text1"/>
          <w:sz w:val="20"/>
          <w:szCs w:val="20"/>
          <w:lang w:val="en-GB"/>
        </w:rPr>
        <w:instrText>ADDIN CSL_CITATION {"citationItems":[{"id":"ITEM-1","itemData":{"DOI":"10.1007/s10389-023-02180-0","ISSN":"1613-2238","abstract":"Research shows migrant groups have an increased risk of COVID-19 incidence, hospitalization and mortality. Much less is known about how these findings have developed throughout the different stages of the crisis. This study assesses patterns in excess mortality by migrant group during the first three COVID-19 waves in Belgium, while taking sociodemographic and socioeconomic indicators into account.","author":[{"dropping-particle":"","family":"Vanthomme","given":"Katrien","non-dropping-particle":"","parse-names":false,"suffix":""},{"dropping-particle":"","family":"Gadeyne","given":"Sylvie","non-dropping-particle":"","parse-names":false,"suffix":""},{"dropping-particle":"","family":"Devleesschauwer","given":"Brecht","non-dropping-particle":"","parse-names":false,"suffix":""},{"dropping-particle":"","family":"Borre","given":"Laura","non-dropping-particle":"Van den","parse-names":false,"suffix":""}],"container-title":"Journal of Public Health","id":"ITEM-1","issued":{"date-parts":[["2023"]]},"title":"Excess mortality among native Belgians and migrant groups in Belgium during the first three COVID-19 waves: the evolving dynamics of social inequalities","type":"article-journal"},"uris":["http://www.mendeley.com/documents/?uuid=62784ac5-7444-48c3-b4b5-0d3a69a53d77","http://www.mendeley.com/documents/?uuid=3d78801c-6cc7-4a46-bbc4-9fc9e5446455"]}],"mendeley":{"formattedCitation":"(Vanthomme et al., 2023)","plainTextFormattedCitation":"(Vanthomme et al., 2023)","previouslyFormattedCitation":"(Vanthomme et al., 2023)"},"properties":{"noteIndex":0},"schema":"https://github.com/citation-style-language/schema/raw/master/csl-citation.json"}</w:instrText>
      </w:r>
      <w:r w:rsidRPr="00A07434">
        <w:rPr>
          <w:rFonts w:ascii="Times New Roman" w:eastAsia="Times New Roman" w:hAnsi="Times New Roman" w:cs="Times New Roman"/>
          <w:color w:val="000000" w:themeColor="text1"/>
          <w:sz w:val="20"/>
          <w:szCs w:val="20"/>
          <w:lang w:val="en-GB"/>
        </w:rPr>
        <w:fldChar w:fldCharType="separate"/>
      </w:r>
      <w:r w:rsidRPr="00A07434">
        <w:rPr>
          <w:rFonts w:ascii="Times New Roman" w:eastAsia="Times New Roman" w:hAnsi="Times New Roman" w:cs="Times New Roman"/>
          <w:noProof/>
          <w:color w:val="000000" w:themeColor="text1"/>
          <w:sz w:val="20"/>
          <w:szCs w:val="20"/>
          <w:lang w:val="en-GB"/>
        </w:rPr>
        <w:t>(Vanthomme et al., 2023)</w:t>
      </w:r>
      <w:r w:rsidRPr="00A07434">
        <w:rPr>
          <w:rFonts w:ascii="Times New Roman" w:eastAsia="Times New Roman" w:hAnsi="Times New Roman" w:cs="Times New Roman"/>
          <w:color w:val="000000" w:themeColor="text1"/>
          <w:sz w:val="20"/>
          <w:szCs w:val="20"/>
          <w:lang w:val="en-GB"/>
        </w:rPr>
        <w:fldChar w:fldCharType="end"/>
      </w:r>
      <w:r w:rsidRPr="00A07434">
        <w:rPr>
          <w:rFonts w:ascii="Times New Roman" w:eastAsia="Times New Roman" w:hAnsi="Times New Roman" w:cs="Times New Roman"/>
          <w:color w:val="000000" w:themeColor="text1"/>
          <w:sz w:val="20"/>
          <w:szCs w:val="20"/>
          <w:lang w:val="en-GB"/>
        </w:rPr>
        <w:t xml:space="preserve">. In </w:t>
      </w:r>
      <w:r w:rsidRPr="00A07434">
        <w:rPr>
          <w:rFonts w:ascii="Times New Roman" w:eastAsia="Times New Roman" w:hAnsi="Times New Roman" w:cs="Times New Roman"/>
          <w:color w:val="000000" w:themeColor="text1"/>
          <w:lang w:val="en-GB"/>
        </w:rPr>
        <w:t>France,</w:t>
      </w:r>
      <w:r w:rsidRPr="00A07434">
        <w:rPr>
          <w:rFonts w:ascii="Times New Roman" w:eastAsia="Times New Roman" w:hAnsi="Times New Roman" w:cs="Times New Roman"/>
          <w:color w:val="000000" w:themeColor="text1"/>
          <w:sz w:val="20"/>
          <w:szCs w:val="20"/>
          <w:lang w:val="en-GB"/>
        </w:rPr>
        <w:t xml:space="preserve"> studies </w:t>
      </w:r>
      <w:r w:rsidRPr="00A07434">
        <w:rPr>
          <w:rFonts w:ascii="Times New Roman" w:eastAsia="Times New Roman" w:hAnsi="Times New Roman" w:cs="Times New Roman"/>
          <w:color w:val="000000" w:themeColor="text1"/>
          <w:sz w:val="20"/>
          <w:szCs w:val="20"/>
          <w:lang w:val="en-GB"/>
        </w:rPr>
        <w:fldChar w:fldCharType="begin" w:fldLock="1"/>
      </w:r>
      <w:r w:rsidRPr="00A07434">
        <w:rPr>
          <w:rFonts w:ascii="Times New Roman" w:eastAsia="Times New Roman" w:hAnsi="Times New Roman" w:cs="Times New Roman"/>
          <w:color w:val="000000" w:themeColor="text1"/>
          <w:sz w:val="20"/>
          <w:szCs w:val="20"/>
          <w:lang w:val="en-GB"/>
        </w:rPr>
        <w:instrText>ADDIN CSL_CITATION {"citationItems":[{"id":"ITEM-1","itemData":{"DOI":"10.1093/eurpub/ckac046","ISSN":"1464360X","PMID":"35478253","abstract":"Background: Immigrants and ethnic/racialized minorities have been identified as being at higher risk of coronavirus disease-19 (COVID-19) infection, but few studies report on their exposures and prevention behaviours. This study aims to examine the social distribution of COVID-19 exposure (overcrowding, working outside the home, use of public transport to go to work) and prevention behaviours (use of face masks, washing hands, respect for physical distance) in France during the first wave of the epidemic. Methods: We used the EpiCov population-based survey from a random sample of individuals aged 15 years or more. We determined the distribution of the self-reported outcomes according to migratory status and sex, using χ2 tests. We modelled the probability of outcomes with logistic regression. Finally, we focused the analysis on the Greater Paris area and accounted for neighbourhood characteristics. Results: A total of 111 824 participants were included in the study. Overall, immigrant groups from non-European countries were more exposed to COVID-19-related factors and more respectful of prevention measures. The probability of overcrowding and the use of public transport was higher for immigrants from sub-Saharan Africa [adjusted odds ratio (aOR) = 3.71 (3.19; 4.32), aOR = 6.36 (4.86; 8.32)] than for the majority population. Immigrant groups were less likely to have a non-systematic use of face masks and to breach physical distancing than the majority population [for immigrants from sub-Saharan Africa, aOR = 0.32 (0.28; 0.37) and aOR = 0.71 (0.61; 0.81), respectively]. Living in a neighbourhood with a higher share of immigrants was associated with higher exposure and better prevention behaviours. Conclusions: In France, immigrants had a higher exposure to COVID-19-related factors and more systematic prevention behaviours.","author":[{"dropping-particle":"","family":"Gosselin","given":"Anne","non-dropping-particle":"","parse-names":false,"suffix":""},{"dropping-particle":"","family":"Warszawski","given":"Josiane","non-dropping-particle":"","parse-names":false,"suffix":""},{"dropping-particle":"","family":"Bajos","given":"Nathalie","non-dropping-particle":"","parse-names":false,"suffix":""}],"container-title":"European Journal of Public Health","id":"ITEM-1","issue":"4","issued":{"date-parts":[["2022"]]},"page":"655-663","title":"Higher risk, higher protection: COVID-19 risk among immigrants in France - results from the population-based EpiCov survey","type":"article-journal","volume":"32"},"uris":["http://www.mendeley.com/documents/?uuid=e0ea0981-4614-4edf-9067-4f4e7d19fe0e","http://www.mendeley.com/documents/?uuid=676576e3-4cd5-4260-84cc-e33a40d4c42f"]}],"mendeley":{"formattedCitation":"(Gosselin et al., 2022)","plainTextFormattedCitation":"(Gosselin et al., 2022)","previouslyFormattedCitation":"(Gosselin et al., 2022)"},"properties":{"noteIndex":0},"schema":"https://github.com/citation-style-language/schema/raw/master/csl-citation.json"}</w:instrText>
      </w:r>
      <w:r w:rsidRPr="00A07434">
        <w:rPr>
          <w:rFonts w:ascii="Times New Roman" w:eastAsia="Times New Roman" w:hAnsi="Times New Roman" w:cs="Times New Roman"/>
          <w:color w:val="000000" w:themeColor="text1"/>
          <w:sz w:val="20"/>
          <w:szCs w:val="20"/>
          <w:lang w:val="en-GB"/>
        </w:rPr>
        <w:fldChar w:fldCharType="separate"/>
      </w:r>
      <w:r w:rsidRPr="00A07434">
        <w:rPr>
          <w:rFonts w:ascii="Times New Roman" w:eastAsia="Times New Roman" w:hAnsi="Times New Roman" w:cs="Times New Roman"/>
          <w:noProof/>
          <w:color w:val="000000" w:themeColor="text1"/>
          <w:sz w:val="20"/>
          <w:szCs w:val="20"/>
          <w:lang w:val="en-GB"/>
        </w:rPr>
        <w:t>(Gosselin et al., 2022)</w:t>
      </w:r>
      <w:r w:rsidRPr="00A07434">
        <w:rPr>
          <w:rFonts w:ascii="Times New Roman" w:eastAsia="Times New Roman" w:hAnsi="Times New Roman" w:cs="Times New Roman"/>
          <w:color w:val="000000" w:themeColor="text1"/>
          <w:sz w:val="20"/>
          <w:szCs w:val="20"/>
          <w:lang w:val="en-GB"/>
        </w:rPr>
        <w:fldChar w:fldCharType="end"/>
      </w:r>
      <w:r w:rsidRPr="00A07434">
        <w:rPr>
          <w:rFonts w:ascii="Times New Roman" w:eastAsia="Times New Roman" w:hAnsi="Times New Roman" w:cs="Times New Roman"/>
          <w:color w:val="000000" w:themeColor="text1"/>
          <w:sz w:val="20"/>
          <w:szCs w:val="20"/>
          <w:lang w:val="en-GB"/>
        </w:rPr>
        <w:t xml:space="preserve"> have shown that COVID-19 mortality rates were significantly higher among immigrant communities, particularly those from sub-Saharan Africa and North Africa, where a disparity in seroprevalence between these groups and the majority population was noted; living in a neighbourhood with a higher share of migrants was also associated with higher exposure. Germany, while specific data on COVID-19 cases and deaths by migration background remain limited, evidence suggests that people with migration backgrounds faced higher infection and mortality rates attributed to factors such as lower socio-economic status or crowded housing </w:t>
      </w:r>
      <w:r w:rsidRPr="00A07434">
        <w:rPr>
          <w:rFonts w:ascii="Times New Roman" w:eastAsia="Times New Roman" w:hAnsi="Times New Roman" w:cs="Times New Roman"/>
          <w:color w:val="000000" w:themeColor="text1"/>
          <w:sz w:val="20"/>
          <w:szCs w:val="20"/>
          <w:lang w:val="en-GB"/>
        </w:rPr>
        <w:fldChar w:fldCharType="begin" w:fldLock="1"/>
      </w:r>
      <w:r w:rsidRPr="00A07434">
        <w:rPr>
          <w:rFonts w:ascii="Times New Roman" w:eastAsia="Times New Roman" w:hAnsi="Times New Roman" w:cs="Times New Roman"/>
          <w:color w:val="000000" w:themeColor="text1"/>
          <w:sz w:val="20"/>
          <w:szCs w:val="20"/>
          <w:lang w:val="en-GB"/>
        </w:rPr>
        <w:instrText>ADDIN CSL_CITATION {"citationItems":[{"id":"ITEM-1","itemData":{"DOI":"10.1093/eurpub/ckaa168","ISSN":"1464360X","PMID":"32818263","abstract":"Background: Reports from the UK and the USA suggest that coronavirus disease 2019 (COVID-19) predominantly affects poorer neighbourhoods. This article paints a more complex picture by distinguishing between a first and second phase of the pandemic. The initial spread of infections and its correlation with socio-economic factors depends on how the virus first entered a country. The second phase of the pandemic begins when individuals start taking precautionary measures and governments implement lockdowns. In this phase, the spread of the virus depends on the ability of individuals to socially distance themselves, which is to some extent socially stratified. Methods: We analyze the geographical distribution of known cumulative cases and fatalities per capita in an ecological analysis across local districts in Germany distinguishing between the first and the second phase of the pandemic. Results: In Germany, the virus first entered via individuals returning from skiing in the Alps and other international travel. In this first phase, we find a positive association between the wealth of a district and infection rates and a negative association with indicators of social deprivation. During the second phase and controlling for path dependency, districts with a higher share of university-educated employees record fewer new infections and deaths and richer districts record fewer deaths, districts with a higher unemployment rate record more deaths. Conclusions: The social stratification of COVID-19 changes substantively across the two phases of the pandemic in Germany. Only in the second phase and controlling for temporal dependence does COVID-19 predominantly hit poorer districts.","author":[{"dropping-particle":"","family":"Plümper","given":"Thomas","non-dropping-particle":"","parse-names":false,"suffix":""},{"dropping-particle":"","family":"Neumayer","given":"Eric","non-dropping-particle":"","parse-names":false,"suffix":""}],"container-title":"European Journal of Public Health","id":"ITEM-1","issue":"6","issued":{"date-parts":[["2020"]]},"page":"1176-1180","title":"The pandemic predominantly hits poor neighbourhoods? SARS-CoV-2 infections and COVID-19 fatalities in German districts","type":"article-journal","volume":"30"},"uris":["http://www.mendeley.com/documents/?uuid=bb0081c0-073e-497f-9aec-04e5e77e1951","http://www.mendeley.com/documents/?uuid=b57e2a3d-7c68-4604-8fcd-0f987eacb7a1"]}],"mendeley":{"formattedCitation":"(Plümper &amp; Neumayer, 2020)","plainTextFormattedCitation":"(Plümper &amp; Neumayer, 2020)","previouslyFormattedCitation":"(Plümper &amp; Neumayer, 2020)"},"properties":{"noteIndex":0},"schema":"https://github.com/citation-style-language/schema/raw/master/csl-citation.json"}</w:instrText>
      </w:r>
      <w:r w:rsidRPr="00A07434">
        <w:rPr>
          <w:rFonts w:ascii="Times New Roman" w:eastAsia="Times New Roman" w:hAnsi="Times New Roman" w:cs="Times New Roman"/>
          <w:color w:val="000000" w:themeColor="text1"/>
          <w:sz w:val="20"/>
          <w:szCs w:val="20"/>
          <w:lang w:val="en-GB"/>
        </w:rPr>
        <w:fldChar w:fldCharType="separate"/>
      </w:r>
      <w:r w:rsidRPr="00A07434">
        <w:rPr>
          <w:rFonts w:ascii="Times New Roman" w:eastAsia="Times New Roman" w:hAnsi="Times New Roman" w:cs="Times New Roman"/>
          <w:noProof/>
          <w:color w:val="000000" w:themeColor="text1"/>
          <w:sz w:val="20"/>
          <w:szCs w:val="20"/>
          <w:lang w:val="en-GB"/>
        </w:rPr>
        <w:t>(Plümper &amp; Neumayer, 2020)</w:t>
      </w:r>
      <w:r w:rsidRPr="00A07434">
        <w:rPr>
          <w:rFonts w:ascii="Times New Roman" w:eastAsia="Times New Roman" w:hAnsi="Times New Roman" w:cs="Times New Roman"/>
          <w:color w:val="000000" w:themeColor="text1"/>
          <w:sz w:val="20"/>
          <w:szCs w:val="20"/>
          <w:lang w:val="en-GB"/>
        </w:rPr>
        <w:fldChar w:fldCharType="end"/>
      </w:r>
      <w:r w:rsidRPr="00A07434">
        <w:rPr>
          <w:rFonts w:ascii="Times New Roman" w:eastAsia="Times New Roman" w:hAnsi="Times New Roman" w:cs="Times New Roman"/>
          <w:color w:val="000000" w:themeColor="text1"/>
          <w:sz w:val="20"/>
          <w:szCs w:val="20"/>
          <w:lang w:val="en-GB"/>
        </w:rPr>
        <w:t xml:space="preserve">. In Sweden, </w:t>
      </w:r>
      <w:r w:rsidRPr="00A07434">
        <w:rPr>
          <w:rFonts w:ascii="Times New Roman" w:eastAsia="Times New Roman" w:hAnsi="Times New Roman" w:cs="Times New Roman"/>
          <w:color w:val="000000" w:themeColor="text1"/>
          <w:sz w:val="20"/>
          <w:szCs w:val="20"/>
          <w:lang w:val="en-GB"/>
        </w:rPr>
        <w:fldChar w:fldCharType="begin" w:fldLock="1"/>
      </w:r>
      <w:r w:rsidRPr="00A07434">
        <w:rPr>
          <w:rFonts w:ascii="Times New Roman" w:eastAsia="Times New Roman" w:hAnsi="Times New Roman" w:cs="Times New Roman"/>
          <w:color w:val="000000" w:themeColor="text1"/>
          <w:sz w:val="20"/>
          <w:szCs w:val="20"/>
          <w:lang w:val="en-GB"/>
        </w:rPr>
        <w:instrText>ADDIN CSL_CITATION {"citationItems":[{"id":"ITEM-1","itemData":{"DOI":"10.1038/s41467-023-40568-4","ISSN":"20411723","PMID":"37582909","abstract":"Migrants have been more affected by the COVID-19 pandemic. Whether this has varied over the course of the pandemic remains unknown. We examined how inequalities in intensive care unit (ICU) admission and death related to COVID-19 by country of birth have evolved over the course of the pandemic, while considering the contribution of social conditions and vaccination uptake. A population-based cohort study was conducted including adults living in Sweden between March 1, 2020 and June 1, 2022 (n = 7,870,441). Poisson regressions found that migrants from Africa, Middle East, Asia and European countries without EU28/EEA, UK and Switzerland had higher risk of COVID-19 mortality and ICU admission than Swedish-born. High risks of COVID-19 ICU admission was also found in migrants from South America. Inequalities were generally reduced through subsequent waves of the pandemic. In many migrant groups socioeconomic status and living conditions contributed to the disparities while vaccination campaigns were decisive when such became available.","author":[{"dropping-particle":"","family":"Rostila","given":"Mikael","non-dropping-particle":"","parse-names":false,"suffix":""},{"dropping-particle":"","family":"Cederström","given":"Agneta","non-dropping-particle":"","parse-names":false,"suffix":""},{"dropping-particle":"","family":"Wallace","given":"Matthew","non-dropping-particle":"","parse-names":false,"suffix":""},{"dropping-particle":"","family":"Aradhya","given":"Siddartha","non-dropping-particle":"","parse-names":false,"suffix":""},{"dropping-particle":"","family":"Ahrne","given":"Malin","non-dropping-particle":"","parse-names":false,"suffix":""},{"dropping-particle":"","family":"Juárez","given":"Sol P.","non-dropping-particle":"","parse-names":false,"suffix":""}],"container-title":"Nature Communications","id":"ITEM-1","issue":"1","issued":{"date-parts":[["2023"]]},"page":"1-9","publisher":"Springer US","title":"Inequalities in COVID-19 severe morbidity and mortality by country of birth in Sweden","type":"article-journal","volume":"14"},"uris":["http://www.mendeley.com/documents/?uuid=6ebffa31-42d4-48ff-bceb-aa7a177b19eb","http://www.mendeley.com/documents/?uuid=bde22f36-d6fe-4374-8048-c449fdcd593d"]}],"mendeley":{"formattedCitation":"(Rostila et al., 2023)","manualFormatting":"Rostila et al. (2023)","plainTextFormattedCitation":"(Rostila et al., 2023)","previouslyFormattedCitation":"(Rostila et al., 2023)"},"properties":{"noteIndex":0},"schema":"https://github.com/citation-style-language/schema/raw/master/csl-citation.json"}</w:instrText>
      </w:r>
      <w:r w:rsidRPr="00A07434">
        <w:rPr>
          <w:rFonts w:ascii="Times New Roman" w:eastAsia="Times New Roman" w:hAnsi="Times New Roman" w:cs="Times New Roman"/>
          <w:color w:val="000000" w:themeColor="text1"/>
          <w:sz w:val="20"/>
          <w:szCs w:val="20"/>
          <w:lang w:val="en-GB"/>
        </w:rPr>
        <w:fldChar w:fldCharType="separate"/>
      </w:r>
      <w:r w:rsidRPr="00A07434">
        <w:rPr>
          <w:rFonts w:ascii="Times New Roman" w:eastAsia="Times New Roman" w:hAnsi="Times New Roman" w:cs="Times New Roman"/>
          <w:noProof/>
          <w:color w:val="000000" w:themeColor="text1"/>
          <w:sz w:val="20"/>
          <w:szCs w:val="20"/>
          <w:lang w:val="en-GB"/>
        </w:rPr>
        <w:t>Rostila et al. (2023)</w:t>
      </w:r>
      <w:r w:rsidRPr="00A07434">
        <w:rPr>
          <w:rFonts w:ascii="Times New Roman" w:eastAsia="Times New Roman" w:hAnsi="Times New Roman" w:cs="Times New Roman"/>
          <w:color w:val="000000" w:themeColor="text1"/>
          <w:sz w:val="20"/>
          <w:szCs w:val="20"/>
          <w:lang w:val="en-GB"/>
        </w:rPr>
        <w:fldChar w:fldCharType="end"/>
      </w:r>
      <w:r w:rsidRPr="00A07434">
        <w:rPr>
          <w:rFonts w:ascii="Times New Roman" w:eastAsia="Times New Roman" w:hAnsi="Times New Roman" w:cs="Times New Roman"/>
          <w:color w:val="000000" w:themeColor="text1"/>
          <w:sz w:val="20"/>
          <w:szCs w:val="20"/>
          <w:lang w:val="en-GB"/>
        </w:rPr>
        <w:t xml:space="preserve"> reported how inequalities in intensive care unit admission and the contribution of social conditions and vaccination uptake increased the immigrant mortality rate.</w:t>
      </w:r>
    </w:p>
    <w:p w14:paraId="471B05BD" w14:textId="77777777" w:rsidR="003E5311" w:rsidRPr="00A07434" w:rsidRDefault="003E5311" w:rsidP="00A07434">
      <w:pPr>
        <w:spacing w:line="259" w:lineRule="auto"/>
        <w:jc w:val="both"/>
        <w:rPr>
          <w:rFonts w:ascii="Times New Roman" w:eastAsia="Times New Roman" w:hAnsi="Times New Roman" w:cs="Times New Roman"/>
          <w:color w:val="000000" w:themeColor="text1"/>
          <w:sz w:val="20"/>
          <w:szCs w:val="20"/>
          <w:lang w:val="en-GB"/>
        </w:rPr>
      </w:pPr>
      <w:r w:rsidRPr="00A07434">
        <w:rPr>
          <w:rFonts w:ascii="Times New Roman" w:eastAsia="Times New Roman" w:hAnsi="Times New Roman" w:cs="Times New Roman"/>
          <w:color w:val="000000" w:themeColor="text1"/>
          <w:sz w:val="20"/>
          <w:szCs w:val="20"/>
          <w:lang w:val="en-GB"/>
        </w:rPr>
        <w:t xml:space="preserve">In Southern and Western European countries, comparable trends were observed. In </w:t>
      </w:r>
      <w:r w:rsidRPr="00A71FDC">
        <w:rPr>
          <w:rFonts w:ascii="Times New Roman" w:eastAsia="Times New Roman" w:hAnsi="Times New Roman" w:cs="Times New Roman"/>
          <w:color w:val="000000" w:themeColor="text1"/>
          <w:sz w:val="20"/>
          <w:szCs w:val="20"/>
          <w:lang w:val="en-GB"/>
        </w:rPr>
        <w:t xml:space="preserve">Italy, </w:t>
      </w:r>
      <w:r w:rsidRPr="00A07434">
        <w:rPr>
          <w:rFonts w:ascii="Times New Roman" w:eastAsia="Times New Roman" w:hAnsi="Times New Roman" w:cs="Times New Roman"/>
          <w:color w:val="000000" w:themeColor="text1"/>
          <w:sz w:val="20"/>
          <w:szCs w:val="20"/>
          <w:lang w:val="en-GB"/>
        </w:rPr>
        <w:t xml:space="preserve">migrant populations living in deprived neighbourhoods (mainly men), were also heavily affected by COVID-19, with socio-economic challenges, crowded housing, and occupational risks contributing to higher infection rates. Migrants in Poland, particularly those from Ukraine, face a heightened risk of COVID-19 due to various socio-economic and health-related factors. The influx of Ukrainian female migrants has highlighted issues such as vaccine hesitancy, </w:t>
      </w:r>
      <w:r w:rsidRPr="00A07434">
        <w:rPr>
          <w:rFonts w:ascii="Times New Roman" w:eastAsia="Times New Roman" w:hAnsi="Times New Roman" w:cs="Times New Roman"/>
          <w:color w:val="000000" w:themeColor="text1"/>
          <w:sz w:val="20"/>
          <w:szCs w:val="20"/>
          <w:lang w:val="en-GB"/>
        </w:rPr>
        <w:lastRenderedPageBreak/>
        <w:t xml:space="preserve">influenced by negative experiences with healthcare in their home country and discrimination in Poland </w:t>
      </w:r>
      <w:r w:rsidRPr="00A07434">
        <w:rPr>
          <w:rFonts w:ascii="Times New Roman" w:eastAsia="Times New Roman" w:hAnsi="Times New Roman" w:cs="Times New Roman"/>
          <w:color w:val="000000" w:themeColor="text1"/>
          <w:sz w:val="20"/>
          <w:szCs w:val="20"/>
          <w:lang w:val="en-GB"/>
        </w:rPr>
        <w:fldChar w:fldCharType="begin" w:fldLock="1"/>
      </w:r>
      <w:r w:rsidRPr="00A07434">
        <w:rPr>
          <w:rFonts w:ascii="Times New Roman" w:eastAsia="Times New Roman" w:hAnsi="Times New Roman" w:cs="Times New Roman"/>
          <w:color w:val="000000" w:themeColor="text1"/>
          <w:sz w:val="20"/>
          <w:szCs w:val="20"/>
          <w:lang w:val="en-GB"/>
        </w:rPr>
        <w:instrText>ADDIN CSL_CITATION {"citationItems":[{"id":"ITEM-1","itemData":{"DOI":"10.3389/fpubh.2024.1380627","ISSN":"22962565","PMID":"39193195","abstract":"Background: Ukraine has one of the lowest COVID-19 vaccination rates in Europe. This may pose a significant epidemiological risk in the context of the refugee crisis and the fact that, since 2020, SARS-CoV-2 has been spreading and changing globally. Objective: To evaluate determinants of vaccination decision making among Ukrainian female migrants (UFMs). Methods: A qualitative study with 45 UFMs was conducted between December 2021 and January 2022. UFMs, from 2 Polish provinces, differing in age, education and length of stay were invited with the use of the snowball technique. Using a semi-structured topic guide, eight focus groups were conducted in person, recorded and transcribed. Thematic, qualitative analysis was made; key themes which emerged from the data (with the help of the Working Group Determinants of Vaccine Hesitancy Matrix), were related to contextual, individual/group and contextual vaccine/vaccination-specific influences. Results: Mothers were found to be playing a crucial role in children and adolescent COVID-19 vaccine decision-making process. Universal trust in the Polish healthcare system and vaccination procedures, employer requirements and willingness to preserve jobs, desire to get back to normal and social influences were paramount prerequisites to let UFMs make a decision to get vaccinated. However, COVID-19 vaccines also faced backlash among UFMs. Negative experiences with vaccines provided in Ukraine, doubts about the rapid vaccine development, combined with lack of confidence in vaccine safety, specifically regarding child vaccination, might have a bearing on UFMs’ decision about declining COVID-19 vaccine while on migration. Discrimination through HCWs during vaccination visits was also reported. Corrupted Ukrainian healthcare system, which facilitates proof forgery regarding vaccination certificates, could act as a negative influencer of UFMs’ vaccine decision-making. Conclusion: The results provide the novel information, expressed in economic UFMs’ own words. Findings show that influencers of the decision-making process regarding the COVID-19 vaccination are complex and polarized; elements of hesitancy may persist after migration. Any continuation of UFMs’ vaccination with COVID-19 vaccine should be subject to designing accessible information to address modifiable demotivators of the vaccine decision-making process identified in this study.","author":[{"dropping-particle":"","family":"Ganczak","given":"Maria","non-dropping-particle":"","parse-names":false,"suffix":""},{"dropping-particle":"","family":"Kalinowski","given":"Pawel","non-dropping-particle":"","parse-names":false,"suffix":""},{"dropping-particle":"","family":"Twardowski","given":"Piotr","non-dropping-particle":"","parse-names":false,"suffix":""},{"dropping-particle":"","family":"Osicka","given":"Dominika A.","non-dropping-particle":"","parse-names":false,"suffix":""},{"dropping-particle":"","family":"Pasek","given":"Oskar","non-dropping-particle":"","parse-names":false,"suffix":""},{"dropping-particle":"","family":"Duda-Duma","given":"Łukasz","non-dropping-particle":"","parse-names":false,"suffix":""},{"dropping-particle":"","family":"Vervoort","given":"Johanna P.M.","non-dropping-particle":"","parse-names":false,"suffix":""},{"dropping-particle":"","family":"Edelstein","given":"Michael","non-dropping-particle":"","parse-names":false,"suffix":""},{"dropping-particle":"","family":"Kowalska","given":"Marta","non-dropping-particle":"","parse-names":false,"suffix":""}],"container-title":"Frontiers in Public Health","id":"ITEM-1","issue":"August","issued":{"date-parts":[["2024"]]},"page":"1-8","title":"“Why would we?” A qualitative study on COVID-19 vaccination decision making among Ukrainian economic female migrants in Poland","type":"article-journal","volume":"12"},"uris":["http://www.mendeley.com/documents/?uuid=1d9c6dbc-af36-4f7d-8751-34f584080efc","http://www.mendeley.com/documents/?uuid=b23152cc-0959-4020-9635-62b22766c217"]}],"mendeley":{"formattedCitation":"(Ganczak et al., 2024)","plainTextFormattedCitation":"(Ganczak et al., 2024)","previouslyFormattedCitation":"(Ganczak et al., 2024)"},"properties":{"noteIndex":0},"schema":"https://github.com/citation-style-language/schema/raw/master/csl-citation.json"}</w:instrText>
      </w:r>
      <w:r w:rsidRPr="00A07434">
        <w:rPr>
          <w:rFonts w:ascii="Times New Roman" w:eastAsia="Times New Roman" w:hAnsi="Times New Roman" w:cs="Times New Roman"/>
          <w:color w:val="000000" w:themeColor="text1"/>
          <w:sz w:val="20"/>
          <w:szCs w:val="20"/>
          <w:lang w:val="en-GB"/>
        </w:rPr>
        <w:fldChar w:fldCharType="separate"/>
      </w:r>
      <w:r w:rsidRPr="00A07434">
        <w:rPr>
          <w:rFonts w:ascii="Times New Roman" w:eastAsia="Times New Roman" w:hAnsi="Times New Roman" w:cs="Times New Roman"/>
          <w:noProof/>
          <w:color w:val="000000" w:themeColor="text1"/>
          <w:sz w:val="20"/>
          <w:szCs w:val="20"/>
          <w:lang w:val="en-GB"/>
        </w:rPr>
        <w:t>(Ganczak et al., 2024)</w:t>
      </w:r>
      <w:r w:rsidRPr="00A07434">
        <w:rPr>
          <w:rFonts w:ascii="Times New Roman" w:eastAsia="Times New Roman" w:hAnsi="Times New Roman" w:cs="Times New Roman"/>
          <w:color w:val="000000" w:themeColor="text1"/>
          <w:sz w:val="20"/>
          <w:szCs w:val="20"/>
          <w:lang w:val="en-GB"/>
        </w:rPr>
        <w:fldChar w:fldCharType="end"/>
      </w:r>
      <w:r w:rsidRPr="00A07434">
        <w:rPr>
          <w:rFonts w:ascii="Times New Roman" w:eastAsia="Times New Roman" w:hAnsi="Times New Roman" w:cs="Times New Roman"/>
          <w:color w:val="000000" w:themeColor="text1"/>
          <w:sz w:val="20"/>
          <w:szCs w:val="20"/>
          <w:lang w:val="en-GB"/>
        </w:rPr>
        <w:t>.</w:t>
      </w:r>
    </w:p>
    <w:p w14:paraId="72A37982" w14:textId="658EB61A" w:rsidR="00F2579D" w:rsidRPr="00F2579D" w:rsidRDefault="00A76327" w:rsidP="00F2579D">
      <w:pPr>
        <w:spacing w:line="259" w:lineRule="auto"/>
        <w:jc w:val="both"/>
        <w:rPr>
          <w:rFonts w:ascii="Times New Roman" w:eastAsia="Times New Roman" w:hAnsi="Times New Roman" w:cs="Times New Roman"/>
          <w:color w:val="000000" w:themeColor="text1"/>
          <w:sz w:val="20"/>
          <w:szCs w:val="20"/>
          <w:lang w:val="en-GB"/>
        </w:rPr>
      </w:pPr>
      <w:r>
        <w:rPr>
          <w:rFonts w:ascii="Times New Roman" w:eastAsia="Times New Roman" w:hAnsi="Times New Roman" w:cs="Times New Roman"/>
          <w:color w:val="000000" w:themeColor="text1"/>
          <w:sz w:val="20"/>
          <w:szCs w:val="20"/>
          <w:lang w:val="en-GB"/>
        </w:rPr>
        <w:t>Regarding the economic disparities, w</w:t>
      </w:r>
      <w:r w:rsidR="00F2579D" w:rsidRPr="00F2579D">
        <w:rPr>
          <w:rFonts w:ascii="Times New Roman" w:eastAsia="Times New Roman" w:hAnsi="Times New Roman" w:cs="Times New Roman"/>
          <w:color w:val="000000" w:themeColor="text1"/>
          <w:sz w:val="20"/>
          <w:szCs w:val="20"/>
          <w:lang w:val="en-GB"/>
        </w:rPr>
        <w:t>e have examined the following data:</w:t>
      </w:r>
    </w:p>
    <w:p w14:paraId="40B8AAD8" w14:textId="061FB919" w:rsidR="00F2579D" w:rsidRPr="00F2579D" w:rsidRDefault="00F2579D" w:rsidP="00F2579D">
      <w:pPr>
        <w:spacing w:line="259" w:lineRule="auto"/>
        <w:jc w:val="both"/>
        <w:rPr>
          <w:rFonts w:ascii="Times New Roman" w:eastAsia="Times New Roman" w:hAnsi="Times New Roman" w:cs="Times New Roman"/>
          <w:color w:val="000000" w:themeColor="text1"/>
          <w:sz w:val="20"/>
          <w:szCs w:val="20"/>
          <w:lang w:val="en-GB"/>
        </w:rPr>
      </w:pPr>
      <w:r w:rsidRPr="00F2579D">
        <w:rPr>
          <w:rFonts w:ascii="Times New Roman" w:eastAsia="Times New Roman" w:hAnsi="Times New Roman" w:cs="Times New Roman"/>
          <w:color w:val="000000" w:themeColor="text1"/>
          <w:sz w:val="20"/>
          <w:szCs w:val="20"/>
          <w:lang w:val="en-GB"/>
        </w:rPr>
        <w:t xml:space="preserve">1. </w:t>
      </w:r>
      <w:r w:rsidR="00AF1012">
        <w:rPr>
          <w:rFonts w:ascii="Times New Roman" w:eastAsia="Times New Roman" w:hAnsi="Times New Roman" w:cs="Times New Roman"/>
          <w:color w:val="000000" w:themeColor="text1"/>
          <w:sz w:val="20"/>
          <w:szCs w:val="20"/>
          <w:lang w:val="en-GB"/>
        </w:rPr>
        <w:t xml:space="preserve">Table 1: </w:t>
      </w:r>
      <w:r w:rsidRPr="00F2579D">
        <w:rPr>
          <w:rFonts w:ascii="Times New Roman" w:eastAsia="Times New Roman" w:hAnsi="Times New Roman" w:cs="Times New Roman"/>
          <w:color w:val="000000" w:themeColor="text1"/>
          <w:sz w:val="20"/>
          <w:szCs w:val="20"/>
          <w:lang w:val="en-GB"/>
        </w:rPr>
        <w:t xml:space="preserve">Legal/administrative documents (i.e. laws and/or regulations, policy documents, etc.) about the rights of the entitlement of the migrants </w:t>
      </w:r>
      <w:r w:rsidR="00217B77">
        <w:rPr>
          <w:rFonts w:ascii="Times New Roman" w:eastAsia="Times New Roman" w:hAnsi="Times New Roman" w:cs="Times New Roman"/>
          <w:color w:val="000000" w:themeColor="text1"/>
          <w:sz w:val="20"/>
          <w:szCs w:val="20"/>
          <w:lang w:val="en-GB"/>
        </w:rPr>
        <w:t>into</w:t>
      </w:r>
      <w:r w:rsidRPr="00F2579D">
        <w:rPr>
          <w:rFonts w:ascii="Times New Roman" w:eastAsia="Times New Roman" w:hAnsi="Times New Roman" w:cs="Times New Roman"/>
          <w:color w:val="000000" w:themeColor="text1"/>
          <w:sz w:val="20"/>
          <w:szCs w:val="20"/>
          <w:lang w:val="en-GB"/>
        </w:rPr>
        <w:t xml:space="preserve"> the social protection in general, and health and other social </w:t>
      </w:r>
      <w:r w:rsidR="00217B77">
        <w:rPr>
          <w:rFonts w:ascii="Times New Roman" w:eastAsia="Times New Roman" w:hAnsi="Times New Roman" w:cs="Times New Roman"/>
          <w:color w:val="000000" w:themeColor="text1"/>
          <w:sz w:val="20"/>
          <w:szCs w:val="20"/>
          <w:lang w:val="en-GB"/>
        </w:rPr>
        <w:t>exclusion-related</w:t>
      </w:r>
      <w:r w:rsidRPr="00F2579D">
        <w:rPr>
          <w:rFonts w:ascii="Times New Roman" w:eastAsia="Times New Roman" w:hAnsi="Times New Roman" w:cs="Times New Roman"/>
          <w:color w:val="000000" w:themeColor="text1"/>
          <w:sz w:val="20"/>
          <w:szCs w:val="20"/>
          <w:lang w:val="en-GB"/>
        </w:rPr>
        <w:t xml:space="preserve"> social protection rights in particular; </w:t>
      </w:r>
    </w:p>
    <w:p w14:paraId="077F0207" w14:textId="5FDBBE7D" w:rsidR="00F2579D" w:rsidRPr="00F2579D" w:rsidRDefault="00F2579D" w:rsidP="00F2579D">
      <w:pPr>
        <w:spacing w:line="259" w:lineRule="auto"/>
        <w:jc w:val="both"/>
        <w:rPr>
          <w:rFonts w:ascii="Times New Roman" w:eastAsia="Times New Roman" w:hAnsi="Times New Roman" w:cs="Times New Roman"/>
          <w:color w:val="000000" w:themeColor="text1"/>
          <w:sz w:val="20"/>
          <w:szCs w:val="20"/>
          <w:lang w:val="en-GB"/>
        </w:rPr>
      </w:pPr>
      <w:r w:rsidRPr="00F2579D">
        <w:rPr>
          <w:rFonts w:ascii="Times New Roman" w:eastAsia="Times New Roman" w:hAnsi="Times New Roman" w:cs="Times New Roman"/>
          <w:color w:val="000000" w:themeColor="text1"/>
          <w:sz w:val="20"/>
          <w:szCs w:val="20"/>
          <w:lang w:val="en-GB"/>
        </w:rPr>
        <w:t xml:space="preserve">2. </w:t>
      </w:r>
      <w:r w:rsidR="00AF1012">
        <w:rPr>
          <w:rFonts w:ascii="Times New Roman" w:eastAsia="Times New Roman" w:hAnsi="Times New Roman" w:cs="Times New Roman"/>
          <w:color w:val="000000" w:themeColor="text1"/>
          <w:sz w:val="20"/>
          <w:szCs w:val="20"/>
          <w:lang w:val="en-GB"/>
        </w:rPr>
        <w:t xml:space="preserve">Table 2: </w:t>
      </w:r>
      <w:r w:rsidRPr="00F2579D">
        <w:rPr>
          <w:rFonts w:ascii="Times New Roman" w:eastAsia="Times New Roman" w:hAnsi="Times New Roman" w:cs="Times New Roman"/>
          <w:color w:val="000000" w:themeColor="text1"/>
          <w:sz w:val="20"/>
          <w:szCs w:val="20"/>
          <w:lang w:val="en-GB"/>
        </w:rPr>
        <w:t xml:space="preserve">Figures for the socio-economic disparities between the migrants and the native-born population </w:t>
      </w:r>
    </w:p>
    <w:p w14:paraId="2E7D8D0D" w14:textId="77777777" w:rsidR="00F2579D" w:rsidRPr="00F2579D" w:rsidRDefault="00F2579D" w:rsidP="00F2579D">
      <w:pPr>
        <w:spacing w:line="259" w:lineRule="auto"/>
        <w:ind w:left="284"/>
        <w:jc w:val="both"/>
        <w:rPr>
          <w:rFonts w:ascii="Times New Roman" w:eastAsia="Times New Roman" w:hAnsi="Times New Roman" w:cs="Times New Roman"/>
          <w:color w:val="000000" w:themeColor="text1"/>
          <w:sz w:val="20"/>
          <w:szCs w:val="20"/>
          <w:lang w:val="en-GB"/>
        </w:rPr>
      </w:pPr>
      <w:r w:rsidRPr="00F2579D">
        <w:rPr>
          <w:rFonts w:ascii="Times New Roman" w:eastAsia="Times New Roman" w:hAnsi="Times New Roman" w:cs="Times New Roman"/>
          <w:color w:val="000000" w:themeColor="text1"/>
          <w:sz w:val="20"/>
          <w:szCs w:val="20"/>
          <w:lang w:val="en-GB"/>
        </w:rPr>
        <w:t>•</w:t>
      </w:r>
      <w:r w:rsidRPr="00F2579D">
        <w:rPr>
          <w:rFonts w:ascii="Times New Roman" w:eastAsia="Times New Roman" w:hAnsi="Times New Roman" w:cs="Times New Roman"/>
          <w:color w:val="000000" w:themeColor="text1"/>
          <w:sz w:val="20"/>
          <w:szCs w:val="20"/>
          <w:lang w:val="en-GB"/>
        </w:rPr>
        <w:tab/>
        <w:t>Gap with the native-born in the unemployment rate</w:t>
      </w:r>
    </w:p>
    <w:p w14:paraId="219902A4" w14:textId="77777777" w:rsidR="00F2579D" w:rsidRPr="00F2579D" w:rsidRDefault="00F2579D" w:rsidP="00F2579D">
      <w:pPr>
        <w:spacing w:line="259" w:lineRule="auto"/>
        <w:ind w:left="284"/>
        <w:jc w:val="both"/>
        <w:rPr>
          <w:rFonts w:ascii="Times New Roman" w:eastAsia="Times New Roman" w:hAnsi="Times New Roman" w:cs="Times New Roman"/>
          <w:color w:val="000000" w:themeColor="text1"/>
          <w:sz w:val="20"/>
          <w:szCs w:val="20"/>
          <w:lang w:val="en-GB"/>
        </w:rPr>
      </w:pPr>
      <w:r w:rsidRPr="00F2579D">
        <w:rPr>
          <w:rFonts w:ascii="Times New Roman" w:eastAsia="Times New Roman" w:hAnsi="Times New Roman" w:cs="Times New Roman"/>
          <w:color w:val="000000" w:themeColor="text1"/>
          <w:sz w:val="20"/>
          <w:szCs w:val="20"/>
          <w:lang w:val="en-GB"/>
        </w:rPr>
        <w:t>•</w:t>
      </w:r>
      <w:r w:rsidRPr="00F2579D">
        <w:rPr>
          <w:rFonts w:ascii="Times New Roman" w:eastAsia="Times New Roman" w:hAnsi="Times New Roman" w:cs="Times New Roman"/>
          <w:color w:val="000000" w:themeColor="text1"/>
          <w:sz w:val="20"/>
          <w:szCs w:val="20"/>
          <w:lang w:val="en-GB"/>
        </w:rPr>
        <w:tab/>
        <w:t xml:space="preserve">Median income of the foreign-born as a percentage of native-born </w:t>
      </w:r>
    </w:p>
    <w:p w14:paraId="06071C08" w14:textId="77777777" w:rsidR="00F2579D" w:rsidRPr="00F2579D" w:rsidRDefault="00F2579D" w:rsidP="00F2579D">
      <w:pPr>
        <w:spacing w:line="259" w:lineRule="auto"/>
        <w:ind w:left="284"/>
        <w:jc w:val="both"/>
        <w:rPr>
          <w:rFonts w:ascii="Times New Roman" w:eastAsia="Times New Roman" w:hAnsi="Times New Roman" w:cs="Times New Roman"/>
          <w:color w:val="000000" w:themeColor="text1"/>
          <w:sz w:val="20"/>
          <w:szCs w:val="20"/>
          <w:lang w:val="en-GB"/>
        </w:rPr>
      </w:pPr>
      <w:r w:rsidRPr="00F2579D">
        <w:rPr>
          <w:rFonts w:ascii="Times New Roman" w:eastAsia="Times New Roman" w:hAnsi="Times New Roman" w:cs="Times New Roman"/>
          <w:color w:val="000000" w:themeColor="text1"/>
          <w:sz w:val="20"/>
          <w:szCs w:val="20"/>
          <w:lang w:val="en-GB"/>
        </w:rPr>
        <w:t>•</w:t>
      </w:r>
      <w:r w:rsidRPr="00F2579D">
        <w:rPr>
          <w:rFonts w:ascii="Times New Roman" w:eastAsia="Times New Roman" w:hAnsi="Times New Roman" w:cs="Times New Roman"/>
          <w:color w:val="000000" w:themeColor="text1"/>
          <w:sz w:val="20"/>
          <w:szCs w:val="20"/>
          <w:lang w:val="en-GB"/>
        </w:rPr>
        <w:tab/>
        <w:t>Gap with the native-born regarding the percentage of people over 18 at risk of poverty or social exclusion</w:t>
      </w:r>
    </w:p>
    <w:p w14:paraId="59CB1933" w14:textId="77777777" w:rsidR="00F2579D" w:rsidRPr="00F2579D" w:rsidRDefault="00F2579D" w:rsidP="00F2579D">
      <w:pPr>
        <w:spacing w:line="259" w:lineRule="auto"/>
        <w:ind w:left="284"/>
        <w:jc w:val="both"/>
        <w:rPr>
          <w:rFonts w:ascii="Times New Roman" w:eastAsia="Times New Roman" w:hAnsi="Times New Roman" w:cs="Times New Roman"/>
          <w:color w:val="000000" w:themeColor="text1"/>
          <w:sz w:val="20"/>
          <w:szCs w:val="20"/>
          <w:lang w:val="en-GB"/>
        </w:rPr>
      </w:pPr>
      <w:r w:rsidRPr="00F2579D">
        <w:rPr>
          <w:rFonts w:ascii="Times New Roman" w:eastAsia="Times New Roman" w:hAnsi="Times New Roman" w:cs="Times New Roman"/>
          <w:color w:val="000000" w:themeColor="text1"/>
          <w:sz w:val="20"/>
          <w:szCs w:val="20"/>
          <w:lang w:val="en-GB"/>
        </w:rPr>
        <w:t>•</w:t>
      </w:r>
      <w:r w:rsidRPr="00F2579D">
        <w:rPr>
          <w:rFonts w:ascii="Times New Roman" w:eastAsia="Times New Roman" w:hAnsi="Times New Roman" w:cs="Times New Roman"/>
          <w:color w:val="000000" w:themeColor="text1"/>
          <w:sz w:val="20"/>
          <w:szCs w:val="20"/>
          <w:lang w:val="en-GB"/>
        </w:rPr>
        <w:tab/>
        <w:t>Gap with the native born regarding the percentage that have Tertiary education</w:t>
      </w:r>
    </w:p>
    <w:p w14:paraId="5F929F81" w14:textId="77777777" w:rsidR="00F2579D" w:rsidRPr="00F2579D" w:rsidRDefault="00F2579D" w:rsidP="00F2579D">
      <w:pPr>
        <w:spacing w:line="259" w:lineRule="auto"/>
        <w:ind w:left="284"/>
        <w:jc w:val="both"/>
        <w:rPr>
          <w:rFonts w:ascii="Times New Roman" w:eastAsia="Times New Roman" w:hAnsi="Times New Roman" w:cs="Times New Roman"/>
          <w:color w:val="000000" w:themeColor="text1"/>
          <w:sz w:val="20"/>
          <w:szCs w:val="20"/>
          <w:lang w:val="en-GB"/>
        </w:rPr>
      </w:pPr>
      <w:r w:rsidRPr="00F2579D">
        <w:rPr>
          <w:rFonts w:ascii="Times New Roman" w:eastAsia="Times New Roman" w:hAnsi="Times New Roman" w:cs="Times New Roman"/>
          <w:color w:val="000000" w:themeColor="text1"/>
          <w:sz w:val="20"/>
          <w:szCs w:val="20"/>
          <w:lang w:val="en-GB"/>
        </w:rPr>
        <w:t>•</w:t>
      </w:r>
      <w:r w:rsidRPr="00F2579D">
        <w:rPr>
          <w:rFonts w:ascii="Times New Roman" w:eastAsia="Times New Roman" w:hAnsi="Times New Roman" w:cs="Times New Roman"/>
          <w:color w:val="000000" w:themeColor="text1"/>
          <w:sz w:val="20"/>
          <w:szCs w:val="20"/>
          <w:lang w:val="en-GB"/>
        </w:rPr>
        <w:tab/>
        <w:t>Gap with the native born regarding the percentage that have less than Primary education</w:t>
      </w:r>
    </w:p>
    <w:p w14:paraId="16FDF9DF" w14:textId="690DFA4E" w:rsidR="00F2579D" w:rsidRPr="00F2579D" w:rsidRDefault="00F2579D" w:rsidP="00B73979">
      <w:pPr>
        <w:spacing w:line="259" w:lineRule="auto"/>
        <w:ind w:firstLine="284"/>
        <w:jc w:val="both"/>
        <w:rPr>
          <w:rFonts w:ascii="Times New Roman" w:eastAsia="Times New Roman" w:hAnsi="Times New Roman" w:cs="Times New Roman"/>
          <w:color w:val="000000" w:themeColor="text1"/>
          <w:sz w:val="20"/>
          <w:szCs w:val="20"/>
          <w:lang w:val="en-GB"/>
        </w:rPr>
      </w:pPr>
      <w:r w:rsidRPr="00F2579D">
        <w:rPr>
          <w:rFonts w:ascii="Times New Roman" w:eastAsia="Times New Roman" w:hAnsi="Times New Roman" w:cs="Times New Roman"/>
          <w:color w:val="000000" w:themeColor="text1"/>
          <w:sz w:val="20"/>
          <w:szCs w:val="20"/>
          <w:lang w:val="en-GB"/>
        </w:rPr>
        <w:t xml:space="preserve"> Statistical facts for the inequalities in the access to health services between these two </w:t>
      </w:r>
    </w:p>
    <w:p w14:paraId="2867A9F8" w14:textId="6117B9FF" w:rsidR="00F2579D" w:rsidRPr="00F2579D" w:rsidRDefault="00F2579D" w:rsidP="00F2579D">
      <w:pPr>
        <w:spacing w:line="259" w:lineRule="auto"/>
        <w:ind w:left="284"/>
        <w:jc w:val="both"/>
        <w:rPr>
          <w:rFonts w:ascii="Times New Roman" w:eastAsia="Times New Roman" w:hAnsi="Times New Roman" w:cs="Times New Roman"/>
          <w:color w:val="000000" w:themeColor="text1"/>
          <w:sz w:val="20"/>
          <w:szCs w:val="20"/>
          <w:lang w:val="en-GB"/>
        </w:rPr>
      </w:pPr>
      <w:r w:rsidRPr="00F2579D">
        <w:rPr>
          <w:rFonts w:ascii="Times New Roman" w:eastAsia="Times New Roman" w:hAnsi="Times New Roman" w:cs="Times New Roman"/>
          <w:color w:val="000000" w:themeColor="text1"/>
          <w:sz w:val="20"/>
          <w:szCs w:val="20"/>
          <w:lang w:val="en-GB"/>
        </w:rPr>
        <w:t>•</w:t>
      </w:r>
      <w:r w:rsidRPr="00F2579D">
        <w:rPr>
          <w:rFonts w:ascii="Times New Roman" w:eastAsia="Times New Roman" w:hAnsi="Times New Roman" w:cs="Times New Roman"/>
          <w:color w:val="000000" w:themeColor="text1"/>
          <w:sz w:val="20"/>
          <w:szCs w:val="20"/>
          <w:lang w:val="en-GB"/>
        </w:rPr>
        <w:tab/>
        <w:t xml:space="preserve">Gap in perceived Health Status (Good </w:t>
      </w:r>
      <w:r>
        <w:rPr>
          <w:rFonts w:ascii="Times New Roman" w:eastAsia="Times New Roman" w:hAnsi="Times New Roman" w:cs="Times New Roman"/>
          <w:color w:val="000000" w:themeColor="text1"/>
          <w:sz w:val="20"/>
          <w:szCs w:val="20"/>
          <w:lang w:val="en-GB"/>
        </w:rPr>
        <w:t>health</w:t>
      </w:r>
      <w:r w:rsidRPr="00F2579D">
        <w:rPr>
          <w:rFonts w:ascii="Times New Roman" w:eastAsia="Times New Roman" w:hAnsi="Times New Roman" w:cs="Times New Roman"/>
          <w:color w:val="000000" w:themeColor="text1"/>
          <w:sz w:val="20"/>
          <w:szCs w:val="20"/>
          <w:lang w:val="en-GB"/>
        </w:rPr>
        <w:t>)</w:t>
      </w:r>
    </w:p>
    <w:p w14:paraId="2BF04D49" w14:textId="77777777" w:rsidR="00F2579D" w:rsidRPr="00F2579D" w:rsidRDefault="00F2579D" w:rsidP="00F2579D">
      <w:pPr>
        <w:spacing w:line="259" w:lineRule="auto"/>
        <w:ind w:left="284"/>
        <w:jc w:val="both"/>
        <w:rPr>
          <w:rFonts w:ascii="Times New Roman" w:eastAsia="Times New Roman" w:hAnsi="Times New Roman" w:cs="Times New Roman"/>
          <w:color w:val="000000" w:themeColor="text1"/>
          <w:sz w:val="20"/>
          <w:szCs w:val="20"/>
          <w:lang w:val="en-GB"/>
        </w:rPr>
      </w:pPr>
      <w:r w:rsidRPr="00F2579D">
        <w:rPr>
          <w:rFonts w:ascii="Times New Roman" w:eastAsia="Times New Roman" w:hAnsi="Times New Roman" w:cs="Times New Roman"/>
          <w:color w:val="000000" w:themeColor="text1"/>
          <w:sz w:val="20"/>
          <w:szCs w:val="20"/>
          <w:lang w:val="en-GB"/>
        </w:rPr>
        <w:t>•</w:t>
      </w:r>
      <w:r w:rsidRPr="00F2579D">
        <w:rPr>
          <w:rFonts w:ascii="Times New Roman" w:eastAsia="Times New Roman" w:hAnsi="Times New Roman" w:cs="Times New Roman"/>
          <w:color w:val="000000" w:themeColor="text1"/>
          <w:sz w:val="20"/>
          <w:szCs w:val="20"/>
          <w:lang w:val="en-GB"/>
        </w:rPr>
        <w:tab/>
        <w:t>Gap in self-reported unmet needs for medical examination</w:t>
      </w:r>
    </w:p>
    <w:p w14:paraId="1BB35371" w14:textId="7AB4EF61" w:rsidR="00656C21" w:rsidRPr="00656C21" w:rsidRDefault="00656C21" w:rsidP="00656C21">
      <w:pPr>
        <w:spacing w:line="259" w:lineRule="auto"/>
        <w:jc w:val="both"/>
        <w:rPr>
          <w:rFonts w:ascii="Times New Roman" w:eastAsia="Times New Roman" w:hAnsi="Times New Roman" w:cs="Times New Roman"/>
          <w:color w:val="000000" w:themeColor="text1"/>
          <w:sz w:val="20"/>
          <w:szCs w:val="20"/>
          <w:lang w:val="en-GB"/>
        </w:rPr>
      </w:pPr>
      <w:r>
        <w:rPr>
          <w:rFonts w:ascii="Times New Roman" w:eastAsia="Times New Roman" w:hAnsi="Times New Roman" w:cs="Times New Roman"/>
          <w:color w:val="000000" w:themeColor="text1"/>
          <w:sz w:val="20"/>
          <w:szCs w:val="20"/>
          <w:lang w:val="en-GB"/>
        </w:rPr>
        <w:t>Table 1</w:t>
      </w:r>
      <w:r w:rsidRPr="00656C21">
        <w:rPr>
          <w:rFonts w:ascii="Times New Roman" w:eastAsia="Times New Roman" w:hAnsi="Times New Roman" w:cs="Times New Roman"/>
          <w:color w:val="000000" w:themeColor="text1"/>
          <w:sz w:val="20"/>
          <w:szCs w:val="20"/>
          <w:lang w:val="en-GB"/>
        </w:rPr>
        <w:t xml:space="preserve"> provides a comparative overview of social protection measures for migrants in Belgium, Germany, France, Italy, Spain, Sweden, and Poland. Across these countries, there are several similarities in how social benefits are structured for migrants. For instance, health-related protections are a common feature, with most countries requiring mandatory health insurance to ensure access to primary and emergency care. Countries like France and Italy offer universal health coverage for all legal residents, including migrants</w:t>
      </w:r>
      <w:r w:rsidR="00537CBD">
        <w:rPr>
          <w:rFonts w:ascii="Times New Roman" w:eastAsia="Times New Roman" w:hAnsi="Times New Roman" w:cs="Times New Roman"/>
          <w:color w:val="000000" w:themeColor="text1"/>
          <w:sz w:val="20"/>
          <w:szCs w:val="20"/>
          <w:lang w:val="en-GB"/>
        </w:rPr>
        <w:t>. At the same time,</w:t>
      </w:r>
      <w:r w:rsidRPr="00656C21">
        <w:rPr>
          <w:rFonts w:ascii="Times New Roman" w:eastAsia="Times New Roman" w:hAnsi="Times New Roman" w:cs="Times New Roman"/>
          <w:color w:val="000000" w:themeColor="text1"/>
          <w:sz w:val="20"/>
          <w:szCs w:val="20"/>
          <w:lang w:val="en-GB"/>
        </w:rPr>
        <w:t xml:space="preserve"> Italy and Spain ensure that emergency health services are accessible to all residents, including undocumented migrants.</w:t>
      </w:r>
    </w:p>
    <w:p w14:paraId="4994E0E7" w14:textId="0DFF3B99" w:rsidR="00656C21" w:rsidRPr="00656C21" w:rsidRDefault="00537CBD" w:rsidP="00656C21">
      <w:pPr>
        <w:spacing w:line="259" w:lineRule="auto"/>
        <w:jc w:val="both"/>
        <w:rPr>
          <w:rFonts w:ascii="Times New Roman" w:eastAsia="Times New Roman" w:hAnsi="Times New Roman" w:cs="Times New Roman"/>
          <w:color w:val="000000" w:themeColor="text1"/>
          <w:sz w:val="20"/>
          <w:szCs w:val="20"/>
          <w:lang w:val="en-GB"/>
        </w:rPr>
      </w:pPr>
      <w:r>
        <w:rPr>
          <w:rFonts w:ascii="Times New Roman" w:eastAsia="Times New Roman" w:hAnsi="Times New Roman" w:cs="Times New Roman"/>
          <w:color w:val="000000" w:themeColor="text1"/>
          <w:sz w:val="20"/>
          <w:szCs w:val="20"/>
          <w:lang w:val="en-GB"/>
        </w:rPr>
        <w:t>As</w:t>
      </w:r>
      <w:r w:rsidR="000439A0">
        <w:rPr>
          <w:rFonts w:ascii="Times New Roman" w:eastAsia="Times New Roman" w:hAnsi="Times New Roman" w:cs="Times New Roman"/>
          <w:color w:val="000000" w:themeColor="text1"/>
          <w:sz w:val="20"/>
          <w:szCs w:val="20"/>
          <w:lang w:val="en-GB"/>
        </w:rPr>
        <w:t xml:space="preserve"> for </w:t>
      </w:r>
      <w:r w:rsidR="00656C21" w:rsidRPr="00656C21">
        <w:rPr>
          <w:rFonts w:ascii="Times New Roman" w:eastAsia="Times New Roman" w:hAnsi="Times New Roman" w:cs="Times New Roman"/>
          <w:color w:val="000000" w:themeColor="text1"/>
          <w:sz w:val="20"/>
          <w:szCs w:val="20"/>
          <w:lang w:val="en-GB"/>
        </w:rPr>
        <w:t>social benefits, access is often based on residency status. Migrants in Belgium, Germany, France, Italy, Spain, and Poland need valid residence permits to access social benefits. EU nationals generally have better access to social benefits under EU regulations in these countries. Additionally, access to unemployment and family benefits in Belgium, Germany, Italy, Spain, and Sweden often depends on employment history and prior contributions, with legal residency being a prerequisite for social assistance and family benefits.</w:t>
      </w:r>
    </w:p>
    <w:p w14:paraId="6F84E95D" w14:textId="77777777" w:rsidR="00656C21" w:rsidRPr="00656C21" w:rsidRDefault="00656C21" w:rsidP="00656C21">
      <w:pPr>
        <w:spacing w:line="259" w:lineRule="auto"/>
        <w:jc w:val="both"/>
        <w:rPr>
          <w:rFonts w:ascii="Times New Roman" w:eastAsia="Times New Roman" w:hAnsi="Times New Roman" w:cs="Times New Roman"/>
          <w:color w:val="000000" w:themeColor="text1"/>
          <w:sz w:val="20"/>
          <w:szCs w:val="20"/>
          <w:lang w:val="en-GB"/>
        </w:rPr>
      </w:pPr>
      <w:r w:rsidRPr="00656C21">
        <w:rPr>
          <w:rFonts w:ascii="Times New Roman" w:eastAsia="Times New Roman" w:hAnsi="Times New Roman" w:cs="Times New Roman"/>
          <w:color w:val="000000" w:themeColor="text1"/>
          <w:sz w:val="20"/>
          <w:szCs w:val="20"/>
          <w:lang w:val="en-GB"/>
        </w:rPr>
        <w:t>However, there are notable differences in the extent of social protection offered. Sweden provides comprehensive social protection rights based on residency or employment status, covering a wide range of benefits. In contrast, countries like Poland and Germany have more restrictions on social benefits for non-EU nationals, often requiring specific agreements or permits. Health coverage for undocumented migrants also varies, with France providing state medical aid (AME) for undocumented migrants, while Italy and Spain focus on emergency health services. Germany covers basic health needs for asylum seekers, whereas other countries may have different provisions for undocumented migrants.</w:t>
      </w:r>
    </w:p>
    <w:p w14:paraId="58F980C1" w14:textId="77777777" w:rsidR="00656C21" w:rsidRDefault="00656C21" w:rsidP="00656C21">
      <w:pPr>
        <w:spacing w:line="259" w:lineRule="auto"/>
        <w:jc w:val="both"/>
        <w:rPr>
          <w:rFonts w:ascii="Times New Roman" w:eastAsia="Times New Roman" w:hAnsi="Times New Roman" w:cs="Times New Roman"/>
          <w:color w:val="000000" w:themeColor="text1"/>
          <w:sz w:val="20"/>
          <w:szCs w:val="20"/>
          <w:lang w:val="en-GB"/>
        </w:rPr>
      </w:pPr>
      <w:r w:rsidRPr="00656C21">
        <w:rPr>
          <w:rFonts w:ascii="Times New Roman" w:eastAsia="Times New Roman" w:hAnsi="Times New Roman" w:cs="Times New Roman"/>
          <w:color w:val="000000" w:themeColor="text1"/>
          <w:sz w:val="20"/>
          <w:szCs w:val="20"/>
          <w:lang w:val="en-GB"/>
        </w:rPr>
        <w:t>Integration policies also differ among these countries. Sweden has implemented recent reforms linking benefits to work and language achievements, aiming to improve integration outcomes. France and Italy have targeted support measures to mitigate the economic impact on vulnerable populations, including migrants. Social housing and welfare benefits in Germany are generally restricted to those with residence permits, while other countries may have different eligibility criteria.</w:t>
      </w:r>
    </w:p>
    <w:p w14:paraId="74C32E63" w14:textId="77777777" w:rsidR="008A606D" w:rsidRPr="00F456EA" w:rsidRDefault="008A606D" w:rsidP="008A606D">
      <w:pPr>
        <w:spacing w:line="259" w:lineRule="auto"/>
        <w:jc w:val="both"/>
        <w:rPr>
          <w:rFonts w:ascii="Times New Roman" w:eastAsia="Times New Roman" w:hAnsi="Times New Roman" w:cs="Times New Roman"/>
          <w:sz w:val="20"/>
          <w:szCs w:val="20"/>
          <w:lang w:val="en-GB"/>
        </w:rPr>
      </w:pPr>
      <w:r w:rsidRPr="00F456EA">
        <w:rPr>
          <w:rFonts w:ascii="Times New Roman" w:eastAsia="Times New Roman" w:hAnsi="Times New Roman" w:cs="Times New Roman"/>
          <w:sz w:val="20"/>
          <w:szCs w:val="20"/>
          <w:lang w:val="en-GB"/>
        </w:rPr>
        <w:t>Overall, the table illustrates the varying degrees of social protection and healthcare access for migrants across these European countries, highlighting the importance of residency status, employment, and integration policies in determining eligibility for benefits.</w:t>
      </w:r>
    </w:p>
    <w:p w14:paraId="2698C920" w14:textId="77777777" w:rsidR="00217B77" w:rsidRDefault="00217B77" w:rsidP="00F2579D">
      <w:pPr>
        <w:rPr>
          <w:lang w:val="en-GB"/>
        </w:rPr>
      </w:pPr>
    </w:p>
    <w:p w14:paraId="7D2DD93F" w14:textId="77777777" w:rsidR="00656C21" w:rsidRDefault="00656C21" w:rsidP="00F2579D">
      <w:pPr>
        <w:rPr>
          <w:lang w:val="en-GB"/>
        </w:rPr>
        <w:sectPr w:rsidR="00656C21">
          <w:footerReference w:type="default" r:id="rId11"/>
          <w:pgSz w:w="11906" w:h="16838"/>
          <w:pgMar w:top="1440" w:right="1440" w:bottom="1440" w:left="1440" w:header="720" w:footer="720" w:gutter="0"/>
          <w:cols w:space="720"/>
          <w:docGrid w:linePitch="360"/>
        </w:sectPr>
      </w:pPr>
    </w:p>
    <w:p w14:paraId="4B309513" w14:textId="77777777" w:rsidR="00860DC5" w:rsidRDefault="00860DC5" w:rsidP="00860DC5">
      <w:pPr>
        <w:spacing w:after="0" w:line="240" w:lineRule="auto"/>
        <w:jc w:val="center"/>
        <w:rPr>
          <w:rFonts w:ascii="Times New Roman" w:eastAsia="Times New Roman" w:hAnsi="Times New Roman"/>
          <w:sz w:val="20"/>
          <w:szCs w:val="20"/>
          <w:lang w:val="en-GB"/>
        </w:rPr>
      </w:pPr>
    </w:p>
    <w:p w14:paraId="59E2A487" w14:textId="038973EA" w:rsidR="009D1C85" w:rsidRDefault="009D1C85" w:rsidP="00860DC5">
      <w:pPr>
        <w:spacing w:after="0" w:line="240" w:lineRule="auto"/>
        <w:jc w:val="center"/>
        <w:rPr>
          <w:rFonts w:ascii="Times New Roman" w:eastAsia="Times New Roman" w:hAnsi="Times New Roman"/>
          <w:sz w:val="20"/>
          <w:szCs w:val="20"/>
          <w:lang w:val="en-GB"/>
        </w:rPr>
      </w:pPr>
      <w:r w:rsidRPr="00F00AEF">
        <w:rPr>
          <w:rFonts w:ascii="Times New Roman" w:eastAsia="Times New Roman" w:hAnsi="Times New Roman"/>
          <w:sz w:val="20"/>
          <w:szCs w:val="20"/>
          <w:lang w:val="en-GB"/>
        </w:rPr>
        <w:t>Table 1. Migrant’s social protection in general, health and other social exclusion related protection for the selected countries</w:t>
      </w:r>
    </w:p>
    <w:p w14:paraId="56A58F3D" w14:textId="77777777" w:rsidR="00860DC5" w:rsidRPr="00F00AEF" w:rsidRDefault="00860DC5" w:rsidP="00860DC5">
      <w:pPr>
        <w:spacing w:after="0" w:line="240" w:lineRule="auto"/>
        <w:jc w:val="center"/>
        <w:rPr>
          <w:rFonts w:ascii="Times New Roman" w:eastAsia="Times New Roman" w:hAnsi="Times New Roman"/>
          <w:sz w:val="20"/>
          <w:szCs w:val="20"/>
          <w:lang w:val="en-GB"/>
        </w:rPr>
      </w:pPr>
    </w:p>
    <w:tbl>
      <w:tblPr>
        <w:tblW w:w="15787" w:type="dxa"/>
        <w:tblInd w:w="-152" w:type="dxa"/>
        <w:tblCellMar>
          <w:left w:w="70" w:type="dxa"/>
          <w:right w:w="70" w:type="dxa"/>
        </w:tblCellMar>
        <w:tblLook w:val="04A0" w:firstRow="1" w:lastRow="0" w:firstColumn="1" w:lastColumn="0" w:noHBand="0" w:noVBand="1"/>
      </w:tblPr>
      <w:tblGrid>
        <w:gridCol w:w="1843"/>
        <w:gridCol w:w="4882"/>
        <w:gridCol w:w="4526"/>
        <w:gridCol w:w="4536"/>
      </w:tblGrid>
      <w:tr w:rsidR="00217B77" w:rsidRPr="00934EE4" w14:paraId="1E243166" w14:textId="77777777" w:rsidTr="00860DC5">
        <w:trPr>
          <w:trHeight w:val="465"/>
        </w:trPr>
        <w:tc>
          <w:tcPr>
            <w:tcW w:w="1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6CEA67B" w14:textId="77777777" w:rsidR="009D1C85" w:rsidRPr="00F00AEF" w:rsidRDefault="009D1C85" w:rsidP="0072764F">
            <w:pPr>
              <w:spacing w:after="0" w:line="240" w:lineRule="auto"/>
              <w:jc w:val="center"/>
              <w:rPr>
                <w:rFonts w:ascii="Times New Roman" w:eastAsia="Times New Roman" w:hAnsi="Times New Roman"/>
                <w:b/>
                <w:bCs/>
                <w:sz w:val="20"/>
                <w:szCs w:val="20"/>
              </w:rPr>
            </w:pPr>
            <w:r w:rsidRPr="00F00AEF">
              <w:rPr>
                <w:rFonts w:ascii="Times New Roman" w:eastAsia="Times New Roman" w:hAnsi="Times New Roman"/>
                <w:b/>
                <w:bCs/>
                <w:sz w:val="20"/>
                <w:szCs w:val="20"/>
              </w:rPr>
              <w:t>Country</w:t>
            </w:r>
          </w:p>
        </w:tc>
        <w:tc>
          <w:tcPr>
            <w:tcW w:w="4882" w:type="dxa"/>
            <w:tcBorders>
              <w:top w:val="single" w:sz="8" w:space="0" w:color="auto"/>
              <w:left w:val="nil"/>
              <w:bottom w:val="single" w:sz="8" w:space="0" w:color="auto"/>
              <w:right w:val="single" w:sz="8" w:space="0" w:color="auto"/>
            </w:tcBorders>
            <w:shd w:val="clear" w:color="auto" w:fill="auto"/>
            <w:vAlign w:val="center"/>
            <w:hideMark/>
          </w:tcPr>
          <w:p w14:paraId="20D5BBEA" w14:textId="77777777" w:rsidR="009D1C85" w:rsidRPr="00F00AEF" w:rsidRDefault="009D1C85" w:rsidP="0072764F">
            <w:pPr>
              <w:spacing w:after="0" w:line="240" w:lineRule="auto"/>
              <w:jc w:val="center"/>
              <w:rPr>
                <w:rFonts w:ascii="Times New Roman" w:eastAsia="Times New Roman" w:hAnsi="Times New Roman"/>
                <w:b/>
                <w:bCs/>
                <w:sz w:val="20"/>
                <w:szCs w:val="20"/>
                <w:lang w:val="en-GB"/>
              </w:rPr>
            </w:pPr>
            <w:r w:rsidRPr="00F00AEF">
              <w:rPr>
                <w:rFonts w:ascii="Times New Roman" w:eastAsia="Times New Roman" w:hAnsi="Times New Roman"/>
                <w:b/>
                <w:bCs/>
                <w:sz w:val="20"/>
                <w:szCs w:val="20"/>
                <w:lang w:val="en-GB"/>
              </w:rPr>
              <w:t>General Social Protection for Migrants</w:t>
            </w:r>
          </w:p>
        </w:tc>
        <w:tc>
          <w:tcPr>
            <w:tcW w:w="4526" w:type="dxa"/>
            <w:tcBorders>
              <w:top w:val="single" w:sz="8" w:space="0" w:color="auto"/>
              <w:left w:val="nil"/>
              <w:bottom w:val="single" w:sz="8" w:space="0" w:color="auto"/>
              <w:right w:val="single" w:sz="8" w:space="0" w:color="auto"/>
            </w:tcBorders>
            <w:shd w:val="clear" w:color="auto" w:fill="auto"/>
            <w:vAlign w:val="center"/>
            <w:hideMark/>
          </w:tcPr>
          <w:p w14:paraId="4296C3D1" w14:textId="77777777" w:rsidR="009D1C85" w:rsidRPr="00F00AEF" w:rsidRDefault="009D1C85" w:rsidP="0072764F">
            <w:pPr>
              <w:spacing w:after="0" w:line="240" w:lineRule="auto"/>
              <w:jc w:val="center"/>
              <w:rPr>
                <w:rFonts w:ascii="Times New Roman" w:eastAsia="Times New Roman" w:hAnsi="Times New Roman"/>
                <w:b/>
                <w:bCs/>
                <w:sz w:val="20"/>
                <w:szCs w:val="20"/>
              </w:rPr>
            </w:pPr>
            <w:r w:rsidRPr="00F00AEF">
              <w:rPr>
                <w:rFonts w:ascii="Times New Roman" w:eastAsia="Times New Roman" w:hAnsi="Times New Roman"/>
                <w:b/>
                <w:bCs/>
                <w:sz w:val="20"/>
                <w:szCs w:val="20"/>
              </w:rPr>
              <w:t>Health-Related Protections</w:t>
            </w:r>
          </w:p>
        </w:tc>
        <w:tc>
          <w:tcPr>
            <w:tcW w:w="4536" w:type="dxa"/>
            <w:tcBorders>
              <w:top w:val="single" w:sz="8" w:space="0" w:color="auto"/>
              <w:left w:val="nil"/>
              <w:bottom w:val="single" w:sz="8" w:space="0" w:color="auto"/>
              <w:right w:val="single" w:sz="8" w:space="0" w:color="auto"/>
            </w:tcBorders>
            <w:shd w:val="clear" w:color="auto" w:fill="auto"/>
            <w:vAlign w:val="center"/>
            <w:hideMark/>
          </w:tcPr>
          <w:p w14:paraId="2CE31187" w14:textId="77777777" w:rsidR="009D1C85" w:rsidRPr="00F00AEF" w:rsidRDefault="009D1C85" w:rsidP="0072764F">
            <w:pPr>
              <w:spacing w:after="0" w:line="240" w:lineRule="auto"/>
              <w:jc w:val="center"/>
              <w:rPr>
                <w:rFonts w:ascii="Times New Roman" w:eastAsia="Times New Roman" w:hAnsi="Times New Roman"/>
                <w:b/>
                <w:bCs/>
                <w:sz w:val="20"/>
                <w:szCs w:val="20"/>
                <w:lang w:val="en-GB"/>
              </w:rPr>
            </w:pPr>
            <w:r w:rsidRPr="00F00AEF">
              <w:rPr>
                <w:rFonts w:ascii="Times New Roman" w:eastAsia="Times New Roman" w:hAnsi="Times New Roman"/>
                <w:b/>
                <w:bCs/>
                <w:sz w:val="20"/>
                <w:szCs w:val="20"/>
                <w:lang w:val="en-GB"/>
              </w:rPr>
              <w:t>Other Social Exclusion-Related Protections</w:t>
            </w:r>
          </w:p>
        </w:tc>
      </w:tr>
      <w:tr w:rsidR="00217B77" w:rsidRPr="00934EE4" w14:paraId="454FD5B4" w14:textId="77777777" w:rsidTr="00860DC5">
        <w:trPr>
          <w:trHeight w:val="1134"/>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6D87E939" w14:textId="77777777" w:rsidR="009D1C85" w:rsidRPr="00F00AEF" w:rsidRDefault="009D1C85" w:rsidP="0072764F">
            <w:pPr>
              <w:spacing w:after="0" w:line="240" w:lineRule="auto"/>
              <w:rPr>
                <w:rFonts w:ascii="Times New Roman" w:eastAsia="Times New Roman" w:hAnsi="Times New Roman"/>
                <w:b/>
                <w:bCs/>
                <w:sz w:val="20"/>
                <w:szCs w:val="20"/>
              </w:rPr>
            </w:pPr>
            <w:r w:rsidRPr="00F00AEF">
              <w:rPr>
                <w:rFonts w:ascii="Times New Roman" w:eastAsia="Times New Roman" w:hAnsi="Times New Roman"/>
                <w:b/>
                <w:bCs/>
                <w:sz w:val="20"/>
                <w:szCs w:val="20"/>
              </w:rPr>
              <w:t xml:space="preserve">Belgium </w:t>
            </w:r>
            <w:r w:rsidRPr="00F00AEF">
              <w:rPr>
                <w:rFonts w:ascii="Times New Roman" w:eastAsia="Times New Roman" w:hAnsi="Times New Roman"/>
                <w:b/>
                <w:bCs/>
                <w:sz w:val="20"/>
                <w:szCs w:val="20"/>
              </w:rPr>
              <w:fldChar w:fldCharType="begin" w:fldLock="1"/>
            </w:r>
            <w:r w:rsidRPr="00F00AEF">
              <w:rPr>
                <w:rFonts w:ascii="Times New Roman" w:eastAsia="Times New Roman" w:hAnsi="Times New Roman"/>
                <w:b/>
                <w:bCs/>
                <w:sz w:val="20"/>
                <w:szCs w:val="20"/>
              </w:rPr>
              <w:instrText>ADDIN CSL_CITATION {"citationItems":[{"id":"ITEM-1","itemData":{"DOI":"10.1007/978-3-030-51241-5_11","ISBN":"9783030512415","ISSN":"23644095","abstract":"Access to social benefits in Belgium is not conditional upon nationality but rather on periods of insurance to the Belgian social security system. Despite the lack of nationality conditions, a number of social benefits are made conditional upon residence of the beneficiary in Belgium. Consequently, even though the Belgian social security system appears, at first sight, as neutral regarding the migration trajectory of its beneficiaries, it might be more difficult for migrants to access, retain and export social security benefits from Belgium when compared to resident nationals. This chapter thus compares the conditions of access to social benefits for nationals and non-nationals residing in Belgium, as well as Belgian citizens residing abroad. It aims to analyse whether migration decisions impact access to and retention of social security benefits. More particularly, the analysis focuses on access to unemployment benefits, healthcare, old-age pensions, family benefits and guaranteed minimum income. Finally, this chapter also questions whether access to social benefits might have a consequence for the residence status of non-nationals in Belgium.","author":[{"dropping-particle":"","family":"Melin","given":"Pauline","non-dropping-particle":"","parse-names":false,"suffix":""}],"container-title":"IMISCOE Research Series","id":"ITEM-1","issue":"Volume 1","issued":{"date-parts":[["2020"]]},"page":"49-63","title":"Migrants’ Access to Social Protection in Belgium","type":"article-journal","volume":"1"},"uris":["http://www.mendeley.com/documents/?uuid=a1acbada-5f67-4ce2-94c4-87152b8a08b2","http://www.mendeley.com/documents/?uuid=9c46b7a3-eb89-41f0-9260-e5b2270e423c"]}],"mendeley":{"formattedCitation":"(Melin, 2020)","plainTextFormattedCitation":"(Melin, 2020)","previouslyFormattedCitation":"(Melin, 2020)"},"properties":{"noteIndex":0},"schema":"https://github.com/citation-style-language/schema/raw/master/csl-citation.json"}</w:instrText>
            </w:r>
            <w:r w:rsidRPr="00F00AEF">
              <w:rPr>
                <w:rFonts w:ascii="Times New Roman" w:eastAsia="Times New Roman" w:hAnsi="Times New Roman"/>
                <w:b/>
                <w:bCs/>
                <w:sz w:val="20"/>
                <w:szCs w:val="20"/>
              </w:rPr>
              <w:fldChar w:fldCharType="separate"/>
            </w:r>
            <w:r w:rsidRPr="00F00AEF">
              <w:rPr>
                <w:rFonts w:ascii="Times New Roman" w:eastAsia="Times New Roman" w:hAnsi="Times New Roman"/>
                <w:bCs/>
                <w:noProof/>
                <w:sz w:val="20"/>
                <w:szCs w:val="20"/>
              </w:rPr>
              <w:t>(Melin, 2020)</w:t>
            </w:r>
            <w:r w:rsidRPr="00F00AEF">
              <w:rPr>
                <w:rFonts w:ascii="Times New Roman" w:eastAsia="Times New Roman" w:hAnsi="Times New Roman"/>
                <w:b/>
                <w:bCs/>
                <w:sz w:val="20"/>
                <w:szCs w:val="20"/>
              </w:rPr>
              <w:fldChar w:fldCharType="end"/>
            </w:r>
          </w:p>
        </w:tc>
        <w:tc>
          <w:tcPr>
            <w:tcW w:w="4882" w:type="dxa"/>
            <w:tcBorders>
              <w:top w:val="nil"/>
              <w:left w:val="nil"/>
              <w:bottom w:val="single" w:sz="8" w:space="0" w:color="auto"/>
              <w:right w:val="single" w:sz="8" w:space="0" w:color="auto"/>
            </w:tcBorders>
            <w:shd w:val="clear" w:color="auto" w:fill="auto"/>
            <w:vAlign w:val="center"/>
            <w:hideMark/>
          </w:tcPr>
          <w:p w14:paraId="120B2160" w14:textId="77777777" w:rsidR="009D1C85" w:rsidRPr="00F00AEF" w:rsidRDefault="009D1C85" w:rsidP="0072764F">
            <w:pPr>
              <w:spacing w:after="0" w:line="240" w:lineRule="auto"/>
              <w:rPr>
                <w:rFonts w:ascii="Times New Roman" w:eastAsia="Times New Roman" w:hAnsi="Times New Roman"/>
                <w:sz w:val="18"/>
                <w:szCs w:val="18"/>
                <w:lang w:val="en-GB"/>
              </w:rPr>
            </w:pPr>
            <w:r w:rsidRPr="00F00AEF">
              <w:rPr>
                <w:rFonts w:ascii="Times New Roman" w:eastAsia="Times New Roman" w:hAnsi="Times New Roman"/>
                <w:sz w:val="18"/>
                <w:szCs w:val="18"/>
                <w:lang w:val="en-GB"/>
              </w:rPr>
              <w:t>Migrants can access social benefits similar to Belgian nationals once meeting residence and income criteria; EU nationals have priority access under EU regulations. Non-EU migrants often require a residence permit for entitlement.</w:t>
            </w:r>
          </w:p>
        </w:tc>
        <w:tc>
          <w:tcPr>
            <w:tcW w:w="4526" w:type="dxa"/>
            <w:tcBorders>
              <w:top w:val="nil"/>
              <w:left w:val="nil"/>
              <w:bottom w:val="single" w:sz="8" w:space="0" w:color="auto"/>
              <w:right w:val="single" w:sz="8" w:space="0" w:color="auto"/>
            </w:tcBorders>
            <w:shd w:val="clear" w:color="auto" w:fill="auto"/>
            <w:vAlign w:val="center"/>
            <w:hideMark/>
          </w:tcPr>
          <w:p w14:paraId="500C287B" w14:textId="77777777" w:rsidR="009D1C85" w:rsidRPr="00F00AEF" w:rsidRDefault="009D1C85" w:rsidP="0072764F">
            <w:pPr>
              <w:spacing w:after="0" w:line="240" w:lineRule="auto"/>
              <w:rPr>
                <w:rFonts w:ascii="Times New Roman" w:eastAsia="Times New Roman" w:hAnsi="Times New Roman"/>
                <w:sz w:val="18"/>
                <w:szCs w:val="18"/>
                <w:lang w:val="en-GB"/>
              </w:rPr>
            </w:pPr>
            <w:r w:rsidRPr="00F00AEF">
              <w:rPr>
                <w:rFonts w:ascii="Times New Roman" w:eastAsia="Times New Roman" w:hAnsi="Times New Roman"/>
                <w:sz w:val="18"/>
                <w:szCs w:val="18"/>
                <w:lang w:val="en-GB"/>
              </w:rPr>
              <w:t>Health insurance is required; access includes primary and emergency care for residents, with specific provisions for asylum seekers and refugees.</w:t>
            </w:r>
          </w:p>
        </w:tc>
        <w:tc>
          <w:tcPr>
            <w:tcW w:w="4536" w:type="dxa"/>
            <w:tcBorders>
              <w:top w:val="nil"/>
              <w:left w:val="nil"/>
              <w:bottom w:val="single" w:sz="8" w:space="0" w:color="auto"/>
              <w:right w:val="single" w:sz="8" w:space="0" w:color="auto"/>
            </w:tcBorders>
            <w:shd w:val="clear" w:color="auto" w:fill="auto"/>
            <w:vAlign w:val="center"/>
            <w:hideMark/>
          </w:tcPr>
          <w:p w14:paraId="7D79D0E5" w14:textId="77777777" w:rsidR="009D1C85" w:rsidRPr="00F00AEF" w:rsidRDefault="009D1C85" w:rsidP="0072764F">
            <w:pPr>
              <w:spacing w:after="0" w:line="240" w:lineRule="auto"/>
              <w:rPr>
                <w:rFonts w:ascii="Times New Roman" w:eastAsia="Times New Roman" w:hAnsi="Times New Roman"/>
                <w:sz w:val="18"/>
                <w:szCs w:val="18"/>
                <w:lang w:val="en-GB"/>
              </w:rPr>
            </w:pPr>
            <w:r w:rsidRPr="00F00AEF">
              <w:rPr>
                <w:rFonts w:ascii="Times New Roman" w:eastAsia="Times New Roman" w:hAnsi="Times New Roman"/>
                <w:sz w:val="18"/>
                <w:szCs w:val="18"/>
                <w:lang w:val="en-GB"/>
              </w:rPr>
              <w:t>Unemployment benefits are accessible based on prior contributions; social assistance is conditional on residency permits for non-EU nationals.</w:t>
            </w:r>
          </w:p>
        </w:tc>
      </w:tr>
      <w:tr w:rsidR="00217B77" w:rsidRPr="00934EE4" w14:paraId="71CBDD78" w14:textId="77777777" w:rsidTr="00860DC5">
        <w:trPr>
          <w:trHeight w:val="1134"/>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22C6459D" w14:textId="77777777" w:rsidR="009D1C85" w:rsidRPr="00F00AEF" w:rsidRDefault="009D1C85" w:rsidP="0072764F">
            <w:pPr>
              <w:spacing w:after="0" w:line="240" w:lineRule="auto"/>
              <w:rPr>
                <w:rFonts w:ascii="Times New Roman" w:eastAsia="Times New Roman" w:hAnsi="Times New Roman"/>
                <w:b/>
                <w:bCs/>
                <w:sz w:val="20"/>
                <w:szCs w:val="20"/>
              </w:rPr>
            </w:pPr>
            <w:r w:rsidRPr="00F00AEF">
              <w:rPr>
                <w:rFonts w:ascii="Times New Roman" w:eastAsia="Times New Roman" w:hAnsi="Times New Roman"/>
                <w:b/>
                <w:bCs/>
                <w:sz w:val="20"/>
                <w:szCs w:val="20"/>
              </w:rPr>
              <w:t xml:space="preserve">Germany </w:t>
            </w:r>
            <w:r w:rsidRPr="00F00AEF">
              <w:rPr>
                <w:rFonts w:ascii="Times New Roman" w:eastAsia="Times New Roman" w:hAnsi="Times New Roman"/>
                <w:b/>
                <w:bCs/>
                <w:sz w:val="20"/>
                <w:szCs w:val="20"/>
              </w:rPr>
              <w:fldChar w:fldCharType="begin" w:fldLock="1"/>
            </w:r>
            <w:r w:rsidRPr="00F00AEF">
              <w:rPr>
                <w:rFonts w:ascii="Times New Roman" w:eastAsia="Times New Roman" w:hAnsi="Times New Roman"/>
                <w:b/>
                <w:bCs/>
                <w:sz w:val="20"/>
                <w:szCs w:val="20"/>
              </w:rPr>
              <w:instrText>ADDIN CSL_CITATION {"citationItems":[{"id":"ITEM-1","itemData":{"DOI":"10.1007/978-3-030-51241-5_11","ISBN":"9783030512415","ISSN":"23644095","abstract":"The German social protection system can be characterized as a two-pillar system. The first pillar is a social insurance system financed by contributions, while the second one consists of a variety of tax-financed welfare programs. The contribu- tions to and the benefits from the institutions of social insurance make up the larger part of social protection finances. In 2017, public social expenditures in Germany reached 29.6% of the Gross Domestic Product (GDP), with 57% financed by social insurance contributions. Due to federal subsidies, the expenditures of social insur- ance exceed contributions by more than 100 billion €, so that total expenditures of social insurance make up two thirds of social protection (19.9% of GDP)","author":[{"dropping-particle":"","family":"Schnabel","given":"Reinhold","non-dropping-particle":"","parse-names":false,"suffix":""}],"container-title":"IMISCOE Research Series","id":"ITEM-1","issue":"Volume 1","issued":{"date-parts":[["2020"]]},"page":"179-193","title":"Migrants’ Access to Social Protection in Germany","type":"article-journal","volume":"1"},"uris":["http://www.mendeley.com/documents/?uuid=97fd5141-f150-406d-8c1d-51b574f85055","http://www.mendeley.com/documents/?uuid=85914cc7-4b17-4d86-97d7-af3d89d9d127"]}],"mendeley":{"formattedCitation":"(Schnabel, 2020)","plainTextFormattedCitation":"(Schnabel, 2020)","previouslyFormattedCitation":"(Schnabel, 2020)"},"properties":{"noteIndex":0},"schema":"https://github.com/citation-style-language/schema/raw/master/csl-citation.json"}</w:instrText>
            </w:r>
            <w:r w:rsidRPr="00F00AEF">
              <w:rPr>
                <w:rFonts w:ascii="Times New Roman" w:eastAsia="Times New Roman" w:hAnsi="Times New Roman"/>
                <w:b/>
                <w:bCs/>
                <w:sz w:val="20"/>
                <w:szCs w:val="20"/>
              </w:rPr>
              <w:fldChar w:fldCharType="separate"/>
            </w:r>
            <w:r w:rsidRPr="00F00AEF">
              <w:rPr>
                <w:rFonts w:ascii="Times New Roman" w:eastAsia="Times New Roman" w:hAnsi="Times New Roman"/>
                <w:bCs/>
                <w:noProof/>
                <w:sz w:val="20"/>
                <w:szCs w:val="20"/>
              </w:rPr>
              <w:t>(Schnabel, 2020)</w:t>
            </w:r>
            <w:r w:rsidRPr="00F00AEF">
              <w:rPr>
                <w:rFonts w:ascii="Times New Roman" w:eastAsia="Times New Roman" w:hAnsi="Times New Roman"/>
                <w:b/>
                <w:bCs/>
                <w:sz w:val="20"/>
                <w:szCs w:val="20"/>
              </w:rPr>
              <w:fldChar w:fldCharType="end"/>
            </w:r>
          </w:p>
        </w:tc>
        <w:tc>
          <w:tcPr>
            <w:tcW w:w="4882" w:type="dxa"/>
            <w:tcBorders>
              <w:top w:val="nil"/>
              <w:left w:val="nil"/>
              <w:bottom w:val="single" w:sz="8" w:space="0" w:color="auto"/>
              <w:right w:val="single" w:sz="8" w:space="0" w:color="auto"/>
            </w:tcBorders>
            <w:shd w:val="clear" w:color="auto" w:fill="auto"/>
            <w:vAlign w:val="center"/>
            <w:hideMark/>
          </w:tcPr>
          <w:p w14:paraId="2B696F1A" w14:textId="77777777" w:rsidR="009D1C85" w:rsidRPr="00F00AEF" w:rsidRDefault="009D1C85" w:rsidP="0072764F">
            <w:pPr>
              <w:spacing w:after="0" w:line="240" w:lineRule="auto"/>
              <w:rPr>
                <w:rFonts w:ascii="Times New Roman" w:eastAsia="Times New Roman" w:hAnsi="Times New Roman"/>
                <w:sz w:val="18"/>
                <w:szCs w:val="18"/>
                <w:lang w:val="en-GB"/>
              </w:rPr>
            </w:pPr>
            <w:r w:rsidRPr="00F00AEF">
              <w:rPr>
                <w:rFonts w:ascii="Times New Roman" w:eastAsia="Times New Roman" w:hAnsi="Times New Roman"/>
                <w:sz w:val="18"/>
                <w:szCs w:val="18"/>
                <w:lang w:val="en-GB"/>
              </w:rPr>
              <w:t>EU migrants have access to social benefits under EU coordination laws. Non-EU nationals need a residence permit and a work permit to access general social benefits, which may include unemployment insurance.</w:t>
            </w:r>
          </w:p>
        </w:tc>
        <w:tc>
          <w:tcPr>
            <w:tcW w:w="4526" w:type="dxa"/>
            <w:tcBorders>
              <w:top w:val="nil"/>
              <w:left w:val="nil"/>
              <w:bottom w:val="single" w:sz="8" w:space="0" w:color="auto"/>
              <w:right w:val="single" w:sz="8" w:space="0" w:color="auto"/>
            </w:tcBorders>
            <w:shd w:val="clear" w:color="auto" w:fill="auto"/>
            <w:vAlign w:val="center"/>
            <w:hideMark/>
          </w:tcPr>
          <w:p w14:paraId="06D814D6" w14:textId="77777777" w:rsidR="009D1C85" w:rsidRPr="00F00AEF" w:rsidRDefault="009D1C85" w:rsidP="0072764F">
            <w:pPr>
              <w:spacing w:after="0" w:line="240" w:lineRule="auto"/>
              <w:rPr>
                <w:rFonts w:ascii="Times New Roman" w:eastAsia="Times New Roman" w:hAnsi="Times New Roman"/>
                <w:sz w:val="18"/>
                <w:szCs w:val="18"/>
                <w:lang w:val="en-GB"/>
              </w:rPr>
            </w:pPr>
            <w:r w:rsidRPr="00F00AEF">
              <w:rPr>
                <w:rFonts w:ascii="Times New Roman" w:eastAsia="Times New Roman" w:hAnsi="Times New Roman"/>
                <w:sz w:val="18"/>
                <w:szCs w:val="18"/>
                <w:lang w:val="en-GB"/>
              </w:rPr>
              <w:t>Health care coverage is mandatory, and residency establishes eligibility for statutory health insurance. Access varies by migrant status, with asylum seekers covered for basic health needs.</w:t>
            </w:r>
          </w:p>
        </w:tc>
        <w:tc>
          <w:tcPr>
            <w:tcW w:w="4536" w:type="dxa"/>
            <w:tcBorders>
              <w:top w:val="nil"/>
              <w:left w:val="nil"/>
              <w:bottom w:val="single" w:sz="8" w:space="0" w:color="auto"/>
              <w:right w:val="single" w:sz="8" w:space="0" w:color="auto"/>
            </w:tcBorders>
            <w:shd w:val="clear" w:color="auto" w:fill="auto"/>
            <w:vAlign w:val="center"/>
            <w:hideMark/>
          </w:tcPr>
          <w:p w14:paraId="2AA407CC" w14:textId="77777777" w:rsidR="009D1C85" w:rsidRPr="00F00AEF" w:rsidRDefault="009D1C85" w:rsidP="0072764F">
            <w:pPr>
              <w:spacing w:after="0" w:line="240" w:lineRule="auto"/>
              <w:rPr>
                <w:rFonts w:ascii="Times New Roman" w:eastAsia="Times New Roman" w:hAnsi="Times New Roman"/>
                <w:sz w:val="18"/>
                <w:szCs w:val="18"/>
                <w:lang w:val="en-GB"/>
              </w:rPr>
            </w:pPr>
            <w:r w:rsidRPr="00F00AEF">
              <w:rPr>
                <w:rFonts w:ascii="Times New Roman" w:eastAsia="Times New Roman" w:hAnsi="Times New Roman"/>
                <w:sz w:val="18"/>
                <w:szCs w:val="18"/>
                <w:lang w:val="en-GB"/>
              </w:rPr>
              <w:t>Social housing and welfare benefits are available but are generally restricted to those with residence permits; work-related benefits require contributions to German social insurance.</w:t>
            </w:r>
          </w:p>
        </w:tc>
      </w:tr>
      <w:tr w:rsidR="00217B77" w:rsidRPr="00934EE4" w14:paraId="6B7BCC42" w14:textId="77777777" w:rsidTr="00860DC5">
        <w:trPr>
          <w:trHeight w:val="1134"/>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34FC45EC" w14:textId="77777777" w:rsidR="009D1C85" w:rsidRPr="00F00AEF" w:rsidRDefault="009D1C85" w:rsidP="0072764F">
            <w:pPr>
              <w:spacing w:after="0" w:line="240" w:lineRule="auto"/>
              <w:rPr>
                <w:rFonts w:ascii="Times New Roman" w:eastAsia="Times New Roman" w:hAnsi="Times New Roman"/>
                <w:b/>
                <w:bCs/>
                <w:sz w:val="20"/>
                <w:szCs w:val="20"/>
              </w:rPr>
            </w:pPr>
            <w:r w:rsidRPr="00F00AEF">
              <w:rPr>
                <w:rFonts w:ascii="Times New Roman" w:eastAsia="Times New Roman" w:hAnsi="Times New Roman"/>
                <w:b/>
                <w:bCs/>
                <w:sz w:val="20"/>
                <w:szCs w:val="20"/>
              </w:rPr>
              <w:t xml:space="preserve">France </w:t>
            </w:r>
            <w:r w:rsidRPr="00F00AEF">
              <w:rPr>
                <w:rFonts w:ascii="Times New Roman" w:eastAsia="Times New Roman" w:hAnsi="Times New Roman"/>
                <w:b/>
                <w:bCs/>
                <w:sz w:val="20"/>
                <w:szCs w:val="20"/>
              </w:rPr>
              <w:fldChar w:fldCharType="begin" w:fldLock="1"/>
            </w:r>
            <w:r w:rsidRPr="00F00AEF">
              <w:rPr>
                <w:rFonts w:ascii="Times New Roman" w:eastAsia="Times New Roman" w:hAnsi="Times New Roman"/>
                <w:b/>
                <w:bCs/>
                <w:sz w:val="20"/>
                <w:szCs w:val="20"/>
              </w:rPr>
              <w:instrText>ADDIN CSL_CITATION {"citationItems":[{"id":"ITEM-1","itemData":{"DOI":"10.1007/978-3-030-51241-5_19","ISBN":"9783030512415","ISSN":"23644095","abstract":"The French social protection system is characterized as both extensive and fragmented, having for long relied mostly on social security or insurance benefits, but having much evolved over the last decades (by including more universal and means-tested schemes, having known restrictions on social insurance protections and being at the dawn of a significant retrenchment). France is the European country having also first known modern immigration, with important inflows of migrants going back to the industrial Revolution at the end of the nineteenth century. Since the mid-1970s, the country has implemented publicly debated restrictive immigration policies.","author":[{"dropping-particle":"","family":"Isidro","given":"Lola","non-dropping-particle":"","parse-names":false,"suffix":""},{"dropping-particle":"","family":"Math","given":"Antoine","non-dropping-particle":"","parse-names":false,"suffix":""}],"container-title":"IMISCOE Research Series","id":"ITEM-1","issue":"Volume 1","issued":{"date-parts":[["2020"]]},"page":"165-178","title":"Migrants’ Access to Social Protection in France","type":"article-journal","volume":"1"},"uris":["http://www.mendeley.com/documents/?uuid=0a708bb8-e069-42ad-8c75-77ea48b4115c","http://www.mendeley.com/documents/?uuid=4078ffe4-b1d3-431f-89c4-3a08fd9ea126"]}],"mendeley":{"formattedCitation":"(Isidro &amp; Math, 2020)","plainTextFormattedCitation":"(Isidro &amp; Math, 2020)","previouslyFormattedCitation":"(Isidro &amp; Math, 2020)"},"properties":{"noteIndex":0},"schema":"https://github.com/citation-style-language/schema/raw/master/csl-citation.json"}</w:instrText>
            </w:r>
            <w:r w:rsidRPr="00F00AEF">
              <w:rPr>
                <w:rFonts w:ascii="Times New Roman" w:eastAsia="Times New Roman" w:hAnsi="Times New Roman"/>
                <w:b/>
                <w:bCs/>
                <w:sz w:val="20"/>
                <w:szCs w:val="20"/>
              </w:rPr>
              <w:fldChar w:fldCharType="separate"/>
            </w:r>
            <w:r w:rsidRPr="00F00AEF">
              <w:rPr>
                <w:rFonts w:ascii="Times New Roman" w:eastAsia="Times New Roman" w:hAnsi="Times New Roman"/>
                <w:bCs/>
                <w:noProof/>
                <w:sz w:val="20"/>
                <w:szCs w:val="20"/>
              </w:rPr>
              <w:t>(Isidro &amp; Math, 2020)</w:t>
            </w:r>
            <w:r w:rsidRPr="00F00AEF">
              <w:rPr>
                <w:rFonts w:ascii="Times New Roman" w:eastAsia="Times New Roman" w:hAnsi="Times New Roman"/>
                <w:b/>
                <w:bCs/>
                <w:sz w:val="20"/>
                <w:szCs w:val="20"/>
              </w:rPr>
              <w:fldChar w:fldCharType="end"/>
            </w:r>
          </w:p>
        </w:tc>
        <w:tc>
          <w:tcPr>
            <w:tcW w:w="4882" w:type="dxa"/>
            <w:tcBorders>
              <w:top w:val="nil"/>
              <w:left w:val="nil"/>
              <w:bottom w:val="single" w:sz="8" w:space="0" w:color="auto"/>
              <w:right w:val="single" w:sz="8" w:space="0" w:color="auto"/>
            </w:tcBorders>
            <w:shd w:val="clear" w:color="auto" w:fill="auto"/>
            <w:vAlign w:val="center"/>
            <w:hideMark/>
          </w:tcPr>
          <w:p w14:paraId="4D1335FE" w14:textId="77777777" w:rsidR="009D1C85" w:rsidRPr="00F00AEF" w:rsidRDefault="009D1C85" w:rsidP="0072764F">
            <w:pPr>
              <w:spacing w:after="0" w:line="240" w:lineRule="auto"/>
              <w:rPr>
                <w:rFonts w:ascii="Times New Roman" w:eastAsia="Times New Roman" w:hAnsi="Times New Roman"/>
                <w:sz w:val="18"/>
                <w:szCs w:val="18"/>
                <w:lang w:val="en-GB"/>
              </w:rPr>
            </w:pPr>
            <w:r w:rsidRPr="00F00AEF">
              <w:rPr>
                <w:rFonts w:ascii="Times New Roman" w:eastAsia="Times New Roman" w:hAnsi="Times New Roman"/>
                <w:sz w:val="18"/>
                <w:szCs w:val="18"/>
                <w:lang w:val="en-GB"/>
              </w:rPr>
              <w:t>Social protection access is primarily based on residency. EU migrants enjoy unrestricted access; non-EU migrants require a long-term residence permit.</w:t>
            </w:r>
          </w:p>
        </w:tc>
        <w:tc>
          <w:tcPr>
            <w:tcW w:w="4526" w:type="dxa"/>
            <w:tcBorders>
              <w:top w:val="nil"/>
              <w:left w:val="nil"/>
              <w:bottom w:val="single" w:sz="8" w:space="0" w:color="auto"/>
              <w:right w:val="single" w:sz="8" w:space="0" w:color="auto"/>
            </w:tcBorders>
            <w:shd w:val="clear" w:color="auto" w:fill="auto"/>
            <w:vAlign w:val="center"/>
            <w:hideMark/>
          </w:tcPr>
          <w:p w14:paraId="750B2125" w14:textId="77777777" w:rsidR="009D1C85" w:rsidRPr="00F00AEF" w:rsidRDefault="009D1C85" w:rsidP="0072764F">
            <w:pPr>
              <w:spacing w:after="0" w:line="240" w:lineRule="auto"/>
              <w:rPr>
                <w:rFonts w:ascii="Times New Roman" w:eastAsia="Times New Roman" w:hAnsi="Times New Roman"/>
                <w:sz w:val="18"/>
                <w:szCs w:val="18"/>
                <w:lang w:val="en-GB"/>
              </w:rPr>
            </w:pPr>
            <w:r w:rsidRPr="00F00AEF">
              <w:rPr>
                <w:rFonts w:ascii="Times New Roman" w:eastAsia="Times New Roman" w:hAnsi="Times New Roman"/>
                <w:sz w:val="18"/>
                <w:szCs w:val="18"/>
                <w:lang w:val="en-GB"/>
              </w:rPr>
              <w:t>Universal health coverage (PUMA) grants health care access for all legal residents, while undocumented migrants can apply for state medical aid (AME).</w:t>
            </w:r>
          </w:p>
        </w:tc>
        <w:tc>
          <w:tcPr>
            <w:tcW w:w="4536" w:type="dxa"/>
            <w:tcBorders>
              <w:top w:val="nil"/>
              <w:left w:val="nil"/>
              <w:bottom w:val="single" w:sz="8" w:space="0" w:color="auto"/>
              <w:right w:val="single" w:sz="8" w:space="0" w:color="auto"/>
            </w:tcBorders>
            <w:shd w:val="clear" w:color="auto" w:fill="auto"/>
            <w:vAlign w:val="center"/>
            <w:hideMark/>
          </w:tcPr>
          <w:p w14:paraId="47037A68" w14:textId="77777777" w:rsidR="009D1C85" w:rsidRPr="00F00AEF" w:rsidRDefault="009D1C85" w:rsidP="0072764F">
            <w:pPr>
              <w:spacing w:after="0" w:line="240" w:lineRule="auto"/>
              <w:rPr>
                <w:rFonts w:ascii="Times New Roman" w:eastAsia="Times New Roman" w:hAnsi="Times New Roman"/>
                <w:sz w:val="18"/>
                <w:szCs w:val="18"/>
                <w:lang w:val="en-GB"/>
              </w:rPr>
            </w:pPr>
            <w:r w:rsidRPr="00F00AEF">
              <w:rPr>
                <w:rFonts w:ascii="Times New Roman" w:eastAsia="Times New Roman" w:hAnsi="Times New Roman"/>
                <w:sz w:val="18"/>
                <w:szCs w:val="18"/>
                <w:lang w:val="en-GB"/>
              </w:rPr>
              <w:t>Family benefits, unemployment support, and social assistance are provided for legal residents, often requiring work permits for non-EU nationals.</w:t>
            </w:r>
          </w:p>
        </w:tc>
      </w:tr>
      <w:tr w:rsidR="00217B77" w:rsidRPr="00934EE4" w14:paraId="62EA15FE" w14:textId="77777777" w:rsidTr="00860DC5">
        <w:trPr>
          <w:trHeight w:val="1134"/>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0757F013" w14:textId="77777777" w:rsidR="009D1C85" w:rsidRPr="00F00AEF" w:rsidRDefault="009D1C85" w:rsidP="0072764F">
            <w:pPr>
              <w:spacing w:after="0" w:line="240" w:lineRule="auto"/>
              <w:rPr>
                <w:rFonts w:ascii="Times New Roman" w:eastAsia="Times New Roman" w:hAnsi="Times New Roman"/>
                <w:b/>
                <w:bCs/>
                <w:sz w:val="20"/>
                <w:szCs w:val="20"/>
              </w:rPr>
            </w:pPr>
            <w:r w:rsidRPr="00F00AEF">
              <w:rPr>
                <w:rFonts w:ascii="Times New Roman" w:eastAsia="Times New Roman" w:hAnsi="Times New Roman"/>
                <w:b/>
                <w:bCs/>
                <w:sz w:val="20"/>
                <w:szCs w:val="20"/>
              </w:rPr>
              <w:t xml:space="preserve">Italy </w:t>
            </w:r>
            <w:r w:rsidRPr="00F00AEF">
              <w:rPr>
                <w:rFonts w:ascii="Times New Roman" w:eastAsia="Times New Roman" w:hAnsi="Times New Roman"/>
                <w:b/>
                <w:bCs/>
                <w:sz w:val="20"/>
                <w:szCs w:val="20"/>
              </w:rPr>
              <w:fldChar w:fldCharType="begin" w:fldLock="1"/>
            </w:r>
            <w:r w:rsidRPr="00F00AEF">
              <w:rPr>
                <w:rFonts w:ascii="Times New Roman" w:eastAsia="Times New Roman" w:hAnsi="Times New Roman"/>
                <w:b/>
                <w:bCs/>
                <w:sz w:val="20"/>
                <w:szCs w:val="20"/>
              </w:rPr>
              <w:instrText>ADDIN CSL_CITATION {"citationItems":[{"id":"ITEM-1","itemData":{"DOI":"10.1007/978-3-030-51241-5_16","ISBN":"9783030512415","ISSN":"23644095","abstract":"This chapter presents the main characteristics of the Italian social security system, on the one hand, and Italian migration history and key policy developments, on the other hand, in order to analyze the principal eligibility conditions for accessing social benefits (unemployment, health care, pensions, family benefits and guaranteed minimum resources) for national residents, non-national residents and non-resident nationals.","author":[{"dropping-particle":"","family":"Chiaromonte","given":"William","non-dropping-particle":"","parse-names":false,"suffix":""}],"container-title":"IMISCOE Research Series","id":"ITEM-1","issue":"Volume 1","issued":{"date-parts":[["2020"]]},"page":"241-256","title":"Migrants’ Access to Social Protection in Italy","type":"article-journal","volume":"1"},"uris":["http://www.mendeley.com/documents/?uuid=d0458112-e017-4740-84cf-c81e91b75698","http://www.mendeley.com/documents/?uuid=064a17c1-0cad-472d-97d3-713e7c39c6ab"]}],"mendeley":{"formattedCitation":"(Chiaromonte, 2020)","plainTextFormattedCitation":"(Chiaromonte, 2020)","previouslyFormattedCitation":"(Chiaromonte, 2020)"},"properties":{"noteIndex":0},"schema":"https://github.com/citation-style-language/schema/raw/master/csl-citation.json"}</w:instrText>
            </w:r>
            <w:r w:rsidRPr="00F00AEF">
              <w:rPr>
                <w:rFonts w:ascii="Times New Roman" w:eastAsia="Times New Roman" w:hAnsi="Times New Roman"/>
                <w:b/>
                <w:bCs/>
                <w:sz w:val="20"/>
                <w:szCs w:val="20"/>
              </w:rPr>
              <w:fldChar w:fldCharType="separate"/>
            </w:r>
            <w:r w:rsidRPr="00F00AEF">
              <w:rPr>
                <w:rFonts w:ascii="Times New Roman" w:eastAsia="Times New Roman" w:hAnsi="Times New Roman"/>
                <w:bCs/>
                <w:noProof/>
                <w:sz w:val="20"/>
                <w:szCs w:val="20"/>
              </w:rPr>
              <w:t>(Chiaromonte, 2020)</w:t>
            </w:r>
            <w:r w:rsidRPr="00F00AEF">
              <w:rPr>
                <w:rFonts w:ascii="Times New Roman" w:eastAsia="Times New Roman" w:hAnsi="Times New Roman"/>
                <w:b/>
                <w:bCs/>
                <w:sz w:val="20"/>
                <w:szCs w:val="20"/>
              </w:rPr>
              <w:fldChar w:fldCharType="end"/>
            </w:r>
          </w:p>
        </w:tc>
        <w:tc>
          <w:tcPr>
            <w:tcW w:w="4882" w:type="dxa"/>
            <w:tcBorders>
              <w:top w:val="nil"/>
              <w:left w:val="nil"/>
              <w:bottom w:val="single" w:sz="8" w:space="0" w:color="auto"/>
              <w:right w:val="single" w:sz="8" w:space="0" w:color="auto"/>
            </w:tcBorders>
            <w:shd w:val="clear" w:color="auto" w:fill="auto"/>
            <w:vAlign w:val="center"/>
            <w:hideMark/>
          </w:tcPr>
          <w:p w14:paraId="53A1B230" w14:textId="77777777" w:rsidR="009D1C85" w:rsidRPr="00F00AEF" w:rsidRDefault="009D1C85" w:rsidP="0072764F">
            <w:pPr>
              <w:spacing w:after="0" w:line="240" w:lineRule="auto"/>
              <w:rPr>
                <w:rFonts w:ascii="Times New Roman" w:eastAsia="Times New Roman" w:hAnsi="Times New Roman"/>
                <w:sz w:val="18"/>
                <w:szCs w:val="18"/>
                <w:lang w:val="en-GB"/>
              </w:rPr>
            </w:pPr>
            <w:r w:rsidRPr="00F00AEF">
              <w:rPr>
                <w:rFonts w:ascii="Times New Roman" w:eastAsia="Times New Roman" w:hAnsi="Times New Roman"/>
                <w:sz w:val="18"/>
                <w:szCs w:val="18"/>
                <w:lang w:val="en-GB"/>
              </w:rPr>
              <w:t>Social protection is accessible to EU and non-EU migrants with residence permits. National social assistance is means-tested and may require contributions.</w:t>
            </w:r>
          </w:p>
        </w:tc>
        <w:tc>
          <w:tcPr>
            <w:tcW w:w="4526" w:type="dxa"/>
            <w:tcBorders>
              <w:top w:val="nil"/>
              <w:left w:val="nil"/>
              <w:bottom w:val="single" w:sz="8" w:space="0" w:color="auto"/>
              <w:right w:val="single" w:sz="8" w:space="0" w:color="auto"/>
            </w:tcBorders>
            <w:shd w:val="clear" w:color="auto" w:fill="auto"/>
            <w:vAlign w:val="center"/>
            <w:hideMark/>
          </w:tcPr>
          <w:p w14:paraId="7D3DB87F" w14:textId="77777777" w:rsidR="009D1C85" w:rsidRPr="00F00AEF" w:rsidRDefault="009D1C85" w:rsidP="0072764F">
            <w:pPr>
              <w:spacing w:after="0" w:line="240" w:lineRule="auto"/>
              <w:rPr>
                <w:rFonts w:ascii="Times New Roman" w:eastAsia="Times New Roman" w:hAnsi="Times New Roman"/>
                <w:sz w:val="18"/>
                <w:szCs w:val="18"/>
                <w:lang w:val="en-GB"/>
              </w:rPr>
            </w:pPr>
            <w:r w:rsidRPr="00F00AEF">
              <w:rPr>
                <w:rFonts w:ascii="Times New Roman" w:eastAsia="Times New Roman" w:hAnsi="Times New Roman"/>
                <w:sz w:val="18"/>
                <w:szCs w:val="18"/>
                <w:lang w:val="en-GB"/>
              </w:rPr>
              <w:t>National Health Service (SSN) provides universal access, but full rights depend on residency status. Emergency health services are accessible to all, including undocumented migrants.</w:t>
            </w:r>
          </w:p>
        </w:tc>
        <w:tc>
          <w:tcPr>
            <w:tcW w:w="4536" w:type="dxa"/>
            <w:tcBorders>
              <w:top w:val="nil"/>
              <w:left w:val="nil"/>
              <w:bottom w:val="single" w:sz="8" w:space="0" w:color="auto"/>
              <w:right w:val="single" w:sz="8" w:space="0" w:color="auto"/>
            </w:tcBorders>
            <w:shd w:val="clear" w:color="auto" w:fill="auto"/>
            <w:vAlign w:val="center"/>
            <w:hideMark/>
          </w:tcPr>
          <w:p w14:paraId="43DBD0E7" w14:textId="77777777" w:rsidR="009D1C85" w:rsidRPr="00F00AEF" w:rsidRDefault="009D1C85" w:rsidP="0072764F">
            <w:pPr>
              <w:spacing w:after="0" w:line="240" w:lineRule="auto"/>
              <w:rPr>
                <w:rFonts w:ascii="Times New Roman" w:eastAsia="Times New Roman" w:hAnsi="Times New Roman"/>
                <w:sz w:val="18"/>
                <w:szCs w:val="18"/>
                <w:lang w:val="en-GB"/>
              </w:rPr>
            </w:pPr>
            <w:r w:rsidRPr="00F00AEF">
              <w:rPr>
                <w:rFonts w:ascii="Times New Roman" w:eastAsia="Times New Roman" w:hAnsi="Times New Roman"/>
                <w:sz w:val="18"/>
                <w:szCs w:val="18"/>
                <w:lang w:val="en-GB"/>
              </w:rPr>
              <w:t>Access to unemployment and family benefits varies by employment history and legal status, with restrictions on some benefits for undocumented migrants.</w:t>
            </w:r>
          </w:p>
        </w:tc>
      </w:tr>
      <w:tr w:rsidR="00217B77" w:rsidRPr="00934EE4" w14:paraId="117943D5" w14:textId="77777777" w:rsidTr="00860DC5">
        <w:trPr>
          <w:trHeight w:val="1134"/>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495A9694" w14:textId="77777777" w:rsidR="009D1C85" w:rsidRPr="00F00AEF" w:rsidRDefault="009D1C85" w:rsidP="0072764F">
            <w:pPr>
              <w:spacing w:after="0" w:line="240" w:lineRule="auto"/>
              <w:rPr>
                <w:rFonts w:ascii="Times New Roman" w:eastAsia="Times New Roman" w:hAnsi="Times New Roman"/>
                <w:b/>
                <w:bCs/>
                <w:sz w:val="20"/>
                <w:szCs w:val="20"/>
              </w:rPr>
            </w:pPr>
            <w:r w:rsidRPr="00F00AEF">
              <w:rPr>
                <w:rFonts w:ascii="Times New Roman" w:eastAsia="Times New Roman" w:hAnsi="Times New Roman"/>
                <w:b/>
                <w:bCs/>
                <w:sz w:val="20"/>
                <w:szCs w:val="20"/>
              </w:rPr>
              <w:t xml:space="preserve">Spain </w:t>
            </w:r>
            <w:r w:rsidRPr="00F00AEF">
              <w:rPr>
                <w:rFonts w:ascii="Times New Roman" w:eastAsia="Times New Roman" w:hAnsi="Times New Roman"/>
                <w:b/>
                <w:bCs/>
                <w:sz w:val="20"/>
                <w:szCs w:val="20"/>
              </w:rPr>
              <w:fldChar w:fldCharType="begin" w:fldLock="1"/>
            </w:r>
            <w:r w:rsidRPr="00F00AEF">
              <w:rPr>
                <w:rFonts w:ascii="Times New Roman" w:eastAsia="Times New Roman" w:hAnsi="Times New Roman"/>
                <w:b/>
                <w:bCs/>
                <w:sz w:val="20"/>
                <w:szCs w:val="20"/>
              </w:rPr>
              <w:instrText>ADDIN CSL_CITATION {"citationItems":[{"id":"ITEM-1","itemData":{"DOI":"10.1007/978-3-030-51241-5_27","ISBN":"9783030512415","ISSN":"23644095","abstract":"From traditional country of emigration, Spain became a country of immigration in a relatively short period, practically catching up with the rest of Western European countries in terms of percentage of population of foreign origin by 2010. The hybrid nature of its welfare regime, a combination of social insurance schemes and universalistic programs, determined the eligibility of foreign populations to each specific social protection scheme. In basic terms, foreigners can access Spanish social protection schemes through their participation in the labour market (for social insurance programs), and their residence in Spanish territory (for schemes based on a universalistic logic). The international agreements signed by Spain are a key aspect as well in determining welfare entitlements for foreigners, particularly in the case of nationals from other EU member states and Latin America. The strong reliance on contributory schemes, and the significant role played by the underground economy, leave economic migrants (particularly undocumented ones) without much social protection. The economic crisis initiated in 2008 implied an increase in immigrants’ vulnerability, but their actual welfare take-up decreased due to their more limited access to the formal labour market, and the restrictive conditions of targeted social assistance schemes.","author":[{"dropping-particle":"","family":"Moreno-Fuentes","given":"Francisco Javier","non-dropping-particle":"","parse-names":false,"suffix":""}],"container-title":"IMISCOE Research Series","id":"ITEM-1","issue":"Volume 1","issued":{"date-parts":[["2020"]]},"page":"405-420","title":"Migrants’ Access to Social Protection in Spain","type":"article-journal","volume":"1"},"uris":["http://www.mendeley.com/documents/?uuid=d2b57ef7-9ed3-4029-9e6a-5d575eddd8ec","http://www.mendeley.com/documents/?uuid=cba853cf-8a02-47fb-aa40-6ed2d02dc64c"]}],"mendeley":{"formattedCitation":"(Moreno-Fuentes, 2020)","plainTextFormattedCitation":"(Moreno-Fuentes, 2020)","previouslyFormattedCitation":"(Moreno-Fuentes, 2020)"},"properties":{"noteIndex":0},"schema":"https://github.com/citation-style-language/schema/raw/master/csl-citation.json"}</w:instrText>
            </w:r>
            <w:r w:rsidRPr="00F00AEF">
              <w:rPr>
                <w:rFonts w:ascii="Times New Roman" w:eastAsia="Times New Roman" w:hAnsi="Times New Roman"/>
                <w:b/>
                <w:bCs/>
                <w:sz w:val="20"/>
                <w:szCs w:val="20"/>
              </w:rPr>
              <w:fldChar w:fldCharType="separate"/>
            </w:r>
            <w:r w:rsidRPr="00F00AEF">
              <w:rPr>
                <w:rFonts w:ascii="Times New Roman" w:eastAsia="Times New Roman" w:hAnsi="Times New Roman"/>
                <w:bCs/>
                <w:noProof/>
                <w:sz w:val="20"/>
                <w:szCs w:val="20"/>
              </w:rPr>
              <w:t>(Moreno-Fuentes, 2020)</w:t>
            </w:r>
            <w:r w:rsidRPr="00F00AEF">
              <w:rPr>
                <w:rFonts w:ascii="Times New Roman" w:eastAsia="Times New Roman" w:hAnsi="Times New Roman"/>
                <w:b/>
                <w:bCs/>
                <w:sz w:val="20"/>
                <w:szCs w:val="20"/>
              </w:rPr>
              <w:fldChar w:fldCharType="end"/>
            </w:r>
          </w:p>
        </w:tc>
        <w:tc>
          <w:tcPr>
            <w:tcW w:w="4882" w:type="dxa"/>
            <w:tcBorders>
              <w:top w:val="nil"/>
              <w:left w:val="nil"/>
              <w:bottom w:val="single" w:sz="8" w:space="0" w:color="auto"/>
              <w:right w:val="single" w:sz="8" w:space="0" w:color="auto"/>
            </w:tcBorders>
            <w:shd w:val="clear" w:color="auto" w:fill="auto"/>
            <w:vAlign w:val="center"/>
            <w:hideMark/>
          </w:tcPr>
          <w:p w14:paraId="334F756C" w14:textId="77777777" w:rsidR="009D1C85" w:rsidRPr="00F00AEF" w:rsidRDefault="009D1C85" w:rsidP="0072764F">
            <w:pPr>
              <w:spacing w:after="0" w:line="240" w:lineRule="auto"/>
              <w:rPr>
                <w:rFonts w:ascii="Times New Roman" w:eastAsia="Times New Roman" w:hAnsi="Times New Roman"/>
                <w:sz w:val="18"/>
                <w:szCs w:val="18"/>
                <w:lang w:val="en-GB"/>
              </w:rPr>
            </w:pPr>
            <w:r w:rsidRPr="00F00AEF">
              <w:rPr>
                <w:rFonts w:ascii="Times New Roman" w:eastAsia="Times New Roman" w:hAnsi="Times New Roman"/>
                <w:sz w:val="18"/>
                <w:szCs w:val="18"/>
                <w:lang w:val="en-GB"/>
              </w:rPr>
              <w:t>EU migrants can access social protection under EU laws, while non-EU migrants require residence and often work permits.</w:t>
            </w:r>
          </w:p>
        </w:tc>
        <w:tc>
          <w:tcPr>
            <w:tcW w:w="4526" w:type="dxa"/>
            <w:tcBorders>
              <w:top w:val="nil"/>
              <w:left w:val="nil"/>
              <w:bottom w:val="single" w:sz="8" w:space="0" w:color="auto"/>
              <w:right w:val="single" w:sz="8" w:space="0" w:color="auto"/>
            </w:tcBorders>
            <w:shd w:val="clear" w:color="auto" w:fill="auto"/>
            <w:vAlign w:val="center"/>
            <w:hideMark/>
          </w:tcPr>
          <w:p w14:paraId="0A5878EB" w14:textId="77777777" w:rsidR="009D1C85" w:rsidRPr="00F00AEF" w:rsidRDefault="009D1C85" w:rsidP="0072764F">
            <w:pPr>
              <w:spacing w:after="0" w:line="240" w:lineRule="auto"/>
              <w:rPr>
                <w:rFonts w:ascii="Times New Roman" w:eastAsia="Times New Roman" w:hAnsi="Times New Roman"/>
                <w:sz w:val="18"/>
                <w:szCs w:val="18"/>
              </w:rPr>
            </w:pPr>
            <w:r w:rsidRPr="00F00AEF">
              <w:rPr>
                <w:rFonts w:ascii="Times New Roman" w:eastAsia="Times New Roman" w:hAnsi="Times New Roman"/>
                <w:sz w:val="18"/>
                <w:szCs w:val="18"/>
                <w:lang w:val="en-GB"/>
              </w:rPr>
              <w:t xml:space="preserve">All residents, regardless of nationality, are entitled to essential health services. </w:t>
            </w:r>
            <w:r w:rsidRPr="00F00AEF">
              <w:rPr>
                <w:rFonts w:ascii="Times New Roman" w:eastAsia="Times New Roman" w:hAnsi="Times New Roman"/>
                <w:sz w:val="18"/>
                <w:szCs w:val="18"/>
              </w:rPr>
              <w:t>Regional governments may have additional requirements for undocumented individuals.</w:t>
            </w:r>
          </w:p>
        </w:tc>
        <w:tc>
          <w:tcPr>
            <w:tcW w:w="4536" w:type="dxa"/>
            <w:tcBorders>
              <w:top w:val="nil"/>
              <w:left w:val="nil"/>
              <w:bottom w:val="single" w:sz="8" w:space="0" w:color="auto"/>
              <w:right w:val="single" w:sz="8" w:space="0" w:color="auto"/>
            </w:tcBorders>
            <w:shd w:val="clear" w:color="auto" w:fill="auto"/>
            <w:vAlign w:val="center"/>
            <w:hideMark/>
          </w:tcPr>
          <w:p w14:paraId="7F238A30" w14:textId="77777777" w:rsidR="009D1C85" w:rsidRPr="00F00AEF" w:rsidRDefault="009D1C85" w:rsidP="0072764F">
            <w:pPr>
              <w:spacing w:after="0" w:line="240" w:lineRule="auto"/>
              <w:rPr>
                <w:rFonts w:ascii="Times New Roman" w:eastAsia="Times New Roman" w:hAnsi="Times New Roman"/>
                <w:sz w:val="18"/>
                <w:szCs w:val="18"/>
                <w:lang w:val="en-GB"/>
              </w:rPr>
            </w:pPr>
            <w:r w:rsidRPr="00F00AEF">
              <w:rPr>
                <w:rFonts w:ascii="Times New Roman" w:eastAsia="Times New Roman" w:hAnsi="Times New Roman"/>
                <w:sz w:val="18"/>
                <w:szCs w:val="18"/>
                <w:lang w:val="en-GB"/>
              </w:rPr>
              <w:t>Social assistance and family benefits are available for legal residents; long-term unemployment benefits may require prior contributions.</w:t>
            </w:r>
          </w:p>
        </w:tc>
      </w:tr>
      <w:tr w:rsidR="00217B77" w:rsidRPr="00934EE4" w14:paraId="51D6825B" w14:textId="77777777" w:rsidTr="00860DC5">
        <w:trPr>
          <w:trHeight w:val="1134"/>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742C0789" w14:textId="77777777" w:rsidR="009D1C85" w:rsidRPr="00F00AEF" w:rsidRDefault="009D1C85" w:rsidP="0072764F">
            <w:pPr>
              <w:spacing w:after="0" w:line="240" w:lineRule="auto"/>
              <w:rPr>
                <w:rFonts w:ascii="Times New Roman" w:eastAsia="Times New Roman" w:hAnsi="Times New Roman"/>
                <w:b/>
                <w:bCs/>
                <w:sz w:val="20"/>
                <w:szCs w:val="20"/>
              </w:rPr>
            </w:pPr>
            <w:r w:rsidRPr="00F00AEF">
              <w:rPr>
                <w:rFonts w:ascii="Times New Roman" w:eastAsia="Times New Roman" w:hAnsi="Times New Roman"/>
                <w:b/>
                <w:bCs/>
                <w:sz w:val="20"/>
                <w:szCs w:val="20"/>
              </w:rPr>
              <w:t xml:space="preserve">Sweden </w:t>
            </w:r>
            <w:r w:rsidRPr="00F00AEF">
              <w:rPr>
                <w:rFonts w:ascii="Times New Roman" w:eastAsia="Times New Roman" w:hAnsi="Times New Roman"/>
                <w:b/>
                <w:bCs/>
                <w:sz w:val="20"/>
                <w:szCs w:val="20"/>
              </w:rPr>
              <w:fldChar w:fldCharType="begin" w:fldLock="1"/>
            </w:r>
            <w:r w:rsidRPr="00F00AEF">
              <w:rPr>
                <w:rFonts w:ascii="Times New Roman" w:eastAsia="Times New Roman" w:hAnsi="Times New Roman"/>
                <w:b/>
                <w:bCs/>
                <w:sz w:val="20"/>
                <w:szCs w:val="20"/>
              </w:rPr>
              <w:instrText>ADDIN CSL_CITATION {"citationItems":[{"id":"ITEM-1","itemData":{"DOI":"10.1007/978-3-030-51241-5_19","ISBN":"9783030512415","ISSN":"23644095","abstract":"While the Swedish welfare state has undergone an intensified market orientation and a number of cutbacks since 1990, it has maintained many of its universal characteristics. It still provides all residents with a rather extensive system of benefits from the cradle to the grave. This chapter contributes to a systematic and detailed analysis of eligibility criteria and conditions for accessing social benefits in five core policy areas of the Swedish social security system. As universalism continues to be a cornerstone of the Swedish welfare state, nationality or the immigration status of a person does not condition his/her entitlement to social security benefits. More recently, however, a political debate has emerged regarding immigration and the welfare system, both in terms of the benefit system being a magnet that attracts migrants and concerning the capacity of the system to cope with large-scale immigration. By discussing the main features of the Swedish welfare regime and key patterns and policy developments in the field of migration, the chapter seeks to account for recent developments, trends and directions in the access to social protection for residents, non-national residents and non-resident nationals.","author":[{"dropping-particle":"","family":"Ahlén","given":"Anton","non-dropping-particle":"","parse-names":false,"suffix":""},{"dropping-particle":"","family":"Palme","given":"Joakim","non-dropping-particle":"","parse-names":false,"suffix":""}],"container-title":"IMISCOE Research Series","id":"ITEM-1","issue":"Volume 1","issued":{"date-parts":[["2020"]]},"page":"421-435","title":"Migrants’ Access to Social Protection in Sweden","type":"article-journal","volume":"1"},"uris":["http://www.mendeley.com/documents/?uuid=d6cb1a61-ce62-467b-bf76-1f72d8dcad9f","http://www.mendeley.com/documents/?uuid=9892e17f-04a1-46b3-bc36-624684544341"]}],"mendeley":{"formattedCitation":"(Ahlén &amp; Palme, 2020)","plainTextFormattedCitation":"(Ahlén &amp; Palme, 2020)","previouslyFormattedCitation":"(Ahlén &amp; Palme, 2020)"},"properties":{"noteIndex":0},"schema":"https://github.com/citation-style-language/schema/raw/master/csl-citation.json"}</w:instrText>
            </w:r>
            <w:r w:rsidRPr="00F00AEF">
              <w:rPr>
                <w:rFonts w:ascii="Times New Roman" w:eastAsia="Times New Roman" w:hAnsi="Times New Roman"/>
                <w:b/>
                <w:bCs/>
                <w:sz w:val="20"/>
                <w:szCs w:val="20"/>
              </w:rPr>
              <w:fldChar w:fldCharType="separate"/>
            </w:r>
            <w:r w:rsidRPr="00F00AEF">
              <w:rPr>
                <w:rFonts w:ascii="Times New Roman" w:eastAsia="Times New Roman" w:hAnsi="Times New Roman"/>
                <w:bCs/>
                <w:noProof/>
                <w:sz w:val="20"/>
                <w:szCs w:val="20"/>
              </w:rPr>
              <w:t>(Ahlén &amp; Palme, 2020)</w:t>
            </w:r>
            <w:r w:rsidRPr="00F00AEF">
              <w:rPr>
                <w:rFonts w:ascii="Times New Roman" w:eastAsia="Times New Roman" w:hAnsi="Times New Roman"/>
                <w:b/>
                <w:bCs/>
                <w:sz w:val="20"/>
                <w:szCs w:val="20"/>
              </w:rPr>
              <w:fldChar w:fldCharType="end"/>
            </w:r>
          </w:p>
        </w:tc>
        <w:tc>
          <w:tcPr>
            <w:tcW w:w="4882" w:type="dxa"/>
            <w:tcBorders>
              <w:top w:val="nil"/>
              <w:left w:val="nil"/>
              <w:bottom w:val="single" w:sz="8" w:space="0" w:color="auto"/>
              <w:right w:val="single" w:sz="8" w:space="0" w:color="auto"/>
            </w:tcBorders>
            <w:shd w:val="clear" w:color="auto" w:fill="auto"/>
            <w:vAlign w:val="center"/>
            <w:hideMark/>
          </w:tcPr>
          <w:p w14:paraId="582A05B5" w14:textId="77777777" w:rsidR="009D1C85" w:rsidRPr="00F00AEF" w:rsidRDefault="009D1C85" w:rsidP="0072764F">
            <w:pPr>
              <w:spacing w:after="0" w:line="240" w:lineRule="auto"/>
              <w:rPr>
                <w:rFonts w:ascii="Times New Roman" w:eastAsia="Times New Roman" w:hAnsi="Times New Roman"/>
                <w:sz w:val="18"/>
                <w:szCs w:val="18"/>
              </w:rPr>
            </w:pPr>
            <w:r w:rsidRPr="00F00AEF">
              <w:rPr>
                <w:rFonts w:ascii="Times New Roman" w:eastAsia="Times New Roman" w:hAnsi="Times New Roman"/>
                <w:sz w:val="18"/>
                <w:szCs w:val="18"/>
                <w:lang w:val="en-GB"/>
              </w:rPr>
              <w:t xml:space="preserve">Migrants have comprehensive social protection rights if they hold a residence permit or intend to stay for over a year. </w:t>
            </w:r>
            <w:r w:rsidRPr="00F00AEF">
              <w:rPr>
                <w:rFonts w:ascii="Times New Roman" w:eastAsia="Times New Roman" w:hAnsi="Times New Roman"/>
                <w:sz w:val="18"/>
                <w:szCs w:val="18"/>
              </w:rPr>
              <w:t>Access is based on residency or employment status.</w:t>
            </w:r>
          </w:p>
        </w:tc>
        <w:tc>
          <w:tcPr>
            <w:tcW w:w="4526" w:type="dxa"/>
            <w:tcBorders>
              <w:top w:val="nil"/>
              <w:left w:val="nil"/>
              <w:bottom w:val="single" w:sz="8" w:space="0" w:color="auto"/>
              <w:right w:val="single" w:sz="8" w:space="0" w:color="auto"/>
            </w:tcBorders>
            <w:shd w:val="clear" w:color="auto" w:fill="auto"/>
            <w:vAlign w:val="center"/>
            <w:hideMark/>
          </w:tcPr>
          <w:p w14:paraId="5F29E32B" w14:textId="77777777" w:rsidR="009D1C85" w:rsidRPr="00F00AEF" w:rsidRDefault="009D1C85" w:rsidP="0072764F">
            <w:pPr>
              <w:spacing w:after="0" w:line="240" w:lineRule="auto"/>
              <w:rPr>
                <w:rFonts w:ascii="Times New Roman" w:eastAsia="Times New Roman" w:hAnsi="Times New Roman"/>
                <w:sz w:val="18"/>
                <w:szCs w:val="18"/>
              </w:rPr>
            </w:pPr>
            <w:r w:rsidRPr="00F00AEF">
              <w:rPr>
                <w:rFonts w:ascii="Times New Roman" w:eastAsia="Times New Roman" w:hAnsi="Times New Roman"/>
                <w:sz w:val="18"/>
                <w:szCs w:val="18"/>
                <w:lang w:val="en-GB"/>
              </w:rPr>
              <w:t xml:space="preserve">Health services are provided based on residence, covering primary care and more. </w:t>
            </w:r>
            <w:r w:rsidRPr="00F00AEF">
              <w:rPr>
                <w:rFonts w:ascii="Times New Roman" w:eastAsia="Times New Roman" w:hAnsi="Times New Roman"/>
                <w:sz w:val="18"/>
                <w:szCs w:val="18"/>
              </w:rPr>
              <w:t>Asylum seekers are eligible for limited services.</w:t>
            </w:r>
          </w:p>
        </w:tc>
        <w:tc>
          <w:tcPr>
            <w:tcW w:w="4536" w:type="dxa"/>
            <w:tcBorders>
              <w:top w:val="nil"/>
              <w:left w:val="nil"/>
              <w:bottom w:val="single" w:sz="8" w:space="0" w:color="auto"/>
              <w:right w:val="single" w:sz="8" w:space="0" w:color="auto"/>
            </w:tcBorders>
            <w:shd w:val="clear" w:color="auto" w:fill="auto"/>
            <w:vAlign w:val="center"/>
            <w:hideMark/>
          </w:tcPr>
          <w:p w14:paraId="64FCD078" w14:textId="77777777" w:rsidR="009D1C85" w:rsidRPr="00F00AEF" w:rsidRDefault="009D1C85" w:rsidP="0072764F">
            <w:pPr>
              <w:spacing w:after="0" w:line="240" w:lineRule="auto"/>
              <w:rPr>
                <w:rFonts w:ascii="Times New Roman" w:eastAsia="Times New Roman" w:hAnsi="Times New Roman"/>
                <w:sz w:val="18"/>
                <w:szCs w:val="18"/>
                <w:lang w:val="en-GB"/>
              </w:rPr>
            </w:pPr>
            <w:r w:rsidRPr="00F00AEF">
              <w:rPr>
                <w:rFonts w:ascii="Times New Roman" w:eastAsia="Times New Roman" w:hAnsi="Times New Roman"/>
                <w:sz w:val="18"/>
                <w:szCs w:val="18"/>
                <w:lang w:val="en-GB"/>
              </w:rPr>
              <w:t>Family and parental benefits are accessible based on residency; recent reforms aim to link benefits to work and language achievements.</w:t>
            </w:r>
          </w:p>
        </w:tc>
      </w:tr>
      <w:tr w:rsidR="00217B77" w:rsidRPr="00934EE4" w14:paraId="5DFE0264" w14:textId="77777777" w:rsidTr="00860DC5">
        <w:trPr>
          <w:trHeight w:val="1134"/>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2D53B314" w14:textId="77777777" w:rsidR="009D1C85" w:rsidRPr="00F00AEF" w:rsidRDefault="009D1C85" w:rsidP="0072764F">
            <w:pPr>
              <w:spacing w:after="0" w:line="240" w:lineRule="auto"/>
              <w:rPr>
                <w:rFonts w:ascii="Times New Roman" w:eastAsia="Times New Roman" w:hAnsi="Times New Roman"/>
                <w:b/>
                <w:bCs/>
                <w:sz w:val="20"/>
                <w:szCs w:val="20"/>
              </w:rPr>
            </w:pPr>
            <w:r w:rsidRPr="00F00AEF">
              <w:rPr>
                <w:rFonts w:ascii="Times New Roman" w:eastAsia="Times New Roman" w:hAnsi="Times New Roman"/>
                <w:b/>
                <w:bCs/>
                <w:sz w:val="20"/>
                <w:szCs w:val="20"/>
              </w:rPr>
              <w:t xml:space="preserve">Poland </w:t>
            </w:r>
            <w:r w:rsidRPr="00F00AEF">
              <w:rPr>
                <w:rFonts w:ascii="Times New Roman" w:eastAsia="Times New Roman" w:hAnsi="Times New Roman"/>
                <w:b/>
                <w:bCs/>
                <w:sz w:val="20"/>
                <w:szCs w:val="20"/>
              </w:rPr>
              <w:fldChar w:fldCharType="begin" w:fldLock="1"/>
            </w:r>
            <w:r w:rsidRPr="00F00AEF">
              <w:rPr>
                <w:rFonts w:ascii="Times New Roman" w:eastAsia="Times New Roman" w:hAnsi="Times New Roman"/>
                <w:b/>
                <w:bCs/>
                <w:sz w:val="20"/>
                <w:szCs w:val="20"/>
              </w:rPr>
              <w:instrText>ADDIN CSL_CITATION {"citationItems":[{"id":"ITEM-1","itemData":{"DOI":"10.1007/978-3-030-51241-5_22","ISBN":"978-3-030-51241-5","abstract":"Poland was traditionally an “emigration country”, but the available data indicates that the migration patterns in Poland changed significantly after the EU accession. While in the course of the 1990s, after economic transition, the international mobility of Poles declined, it accelerated after the EU accession in May 2004. The large scale of emigration also led to labour market shortages in Poland. In recent years, Poland observed a high inflow of migrant workers, particularly from Ukraine. The increasing share of foreigners residing in Poland creates a challenge for the social protection system, which has quite complex eligibility rules. Furthermore, many non-EU nationals are working in the informal economy with no access to social protection.","author":[{"dropping-particle":"","family":"Chłoń-Domińczak","given":"Agnieszka","non-dropping-particle":"","parse-names":false,"suffix":""}],"container-title":"Migration and Social Protection in Europe and Beyond (Volume 1): Comparing Access to Welfare Entitlements","editor":[{"dropping-particle":"","family":"Lafleur","given":"Jean-Michel","non-dropping-particle":"","parse-names":false,"suffix":""},{"dropping-particle":"","family":"Vintila","given":"Daniela","non-dropping-particle":"","parse-names":false,"suffix":""}],"id":"ITEM-1","issued":{"date-parts":[["2020"]]},"page":"327-344","publisher":"Springer International Publishing","publisher-place":"Cham","title":"Migrants’ Access to Social Protection in Poland","type":"chapter"},"uris":["http://www.mendeley.com/documents/?uuid=2d9f1f3a-e01f-4c42-814d-3176eceb6270","http://www.mendeley.com/documents/?uuid=bdc7997f-1f0e-42ec-9a4a-7e6af1ac3489"]}],"mendeley":{"formattedCitation":"(Chłoń-Domińczak, 2020)","plainTextFormattedCitation":"(Chłoń-Domińczak, 2020)","previouslyFormattedCitation":"(Chłoń-Domińczak, 2020)"},"properties":{"noteIndex":0},"schema":"https://github.com/citation-style-language/schema/raw/master/csl-citation.json"}</w:instrText>
            </w:r>
            <w:r w:rsidRPr="00F00AEF">
              <w:rPr>
                <w:rFonts w:ascii="Times New Roman" w:eastAsia="Times New Roman" w:hAnsi="Times New Roman"/>
                <w:b/>
                <w:bCs/>
                <w:sz w:val="20"/>
                <w:szCs w:val="20"/>
              </w:rPr>
              <w:fldChar w:fldCharType="separate"/>
            </w:r>
            <w:r w:rsidRPr="00F00AEF">
              <w:rPr>
                <w:rFonts w:ascii="Times New Roman" w:eastAsia="Times New Roman" w:hAnsi="Times New Roman"/>
                <w:bCs/>
                <w:noProof/>
                <w:sz w:val="20"/>
                <w:szCs w:val="20"/>
              </w:rPr>
              <w:t>(Chłoń-Domińczak, 2020)</w:t>
            </w:r>
            <w:r w:rsidRPr="00F00AEF">
              <w:rPr>
                <w:rFonts w:ascii="Times New Roman" w:eastAsia="Times New Roman" w:hAnsi="Times New Roman"/>
                <w:b/>
                <w:bCs/>
                <w:sz w:val="20"/>
                <w:szCs w:val="20"/>
              </w:rPr>
              <w:fldChar w:fldCharType="end"/>
            </w:r>
          </w:p>
        </w:tc>
        <w:tc>
          <w:tcPr>
            <w:tcW w:w="4882" w:type="dxa"/>
            <w:tcBorders>
              <w:top w:val="nil"/>
              <w:left w:val="nil"/>
              <w:bottom w:val="single" w:sz="8" w:space="0" w:color="auto"/>
              <w:right w:val="single" w:sz="8" w:space="0" w:color="auto"/>
            </w:tcBorders>
            <w:shd w:val="clear" w:color="auto" w:fill="auto"/>
            <w:vAlign w:val="center"/>
            <w:hideMark/>
          </w:tcPr>
          <w:p w14:paraId="7F09CDD2" w14:textId="77777777" w:rsidR="009D1C85" w:rsidRPr="00F00AEF" w:rsidRDefault="009D1C85" w:rsidP="0072764F">
            <w:pPr>
              <w:spacing w:after="0" w:line="240" w:lineRule="auto"/>
              <w:rPr>
                <w:rFonts w:ascii="Times New Roman" w:eastAsia="Times New Roman" w:hAnsi="Times New Roman"/>
                <w:sz w:val="18"/>
                <w:szCs w:val="18"/>
                <w:lang w:val="en-GB"/>
              </w:rPr>
            </w:pPr>
            <w:r w:rsidRPr="00F00AEF">
              <w:rPr>
                <w:rFonts w:ascii="Times New Roman" w:eastAsia="Times New Roman" w:hAnsi="Times New Roman"/>
                <w:sz w:val="18"/>
                <w:szCs w:val="18"/>
                <w:lang w:val="en-GB"/>
              </w:rPr>
              <w:t>Social benefits are available for employed EU migrants, with fewer rights for non-EU nationals unless they have specific agreements.</w:t>
            </w:r>
          </w:p>
        </w:tc>
        <w:tc>
          <w:tcPr>
            <w:tcW w:w="4526" w:type="dxa"/>
            <w:tcBorders>
              <w:top w:val="nil"/>
              <w:left w:val="nil"/>
              <w:bottom w:val="single" w:sz="8" w:space="0" w:color="auto"/>
              <w:right w:val="single" w:sz="8" w:space="0" w:color="auto"/>
            </w:tcBorders>
            <w:shd w:val="clear" w:color="auto" w:fill="auto"/>
            <w:vAlign w:val="center"/>
            <w:hideMark/>
          </w:tcPr>
          <w:p w14:paraId="3629DD09" w14:textId="77777777" w:rsidR="009D1C85" w:rsidRPr="00F00AEF" w:rsidRDefault="009D1C85" w:rsidP="0072764F">
            <w:pPr>
              <w:spacing w:after="0" w:line="240" w:lineRule="auto"/>
              <w:rPr>
                <w:rFonts w:ascii="Times New Roman" w:eastAsia="Times New Roman" w:hAnsi="Times New Roman"/>
                <w:sz w:val="18"/>
                <w:szCs w:val="18"/>
                <w:lang w:val="en-GB"/>
              </w:rPr>
            </w:pPr>
            <w:r w:rsidRPr="00F00AEF">
              <w:rPr>
                <w:rFonts w:ascii="Times New Roman" w:eastAsia="Times New Roman" w:hAnsi="Times New Roman"/>
                <w:sz w:val="18"/>
                <w:szCs w:val="18"/>
                <w:lang w:val="en-GB"/>
              </w:rPr>
              <w:t>Health insurance is available through employment or private coverage; free services are limited to those insured or in emergency cases.</w:t>
            </w:r>
          </w:p>
        </w:tc>
        <w:tc>
          <w:tcPr>
            <w:tcW w:w="4536" w:type="dxa"/>
            <w:tcBorders>
              <w:top w:val="nil"/>
              <w:left w:val="nil"/>
              <w:bottom w:val="single" w:sz="8" w:space="0" w:color="auto"/>
              <w:right w:val="single" w:sz="8" w:space="0" w:color="auto"/>
            </w:tcBorders>
            <w:shd w:val="clear" w:color="auto" w:fill="auto"/>
            <w:vAlign w:val="center"/>
            <w:hideMark/>
          </w:tcPr>
          <w:p w14:paraId="7F1183E6" w14:textId="77777777" w:rsidR="009D1C85" w:rsidRPr="00F00AEF" w:rsidRDefault="009D1C85" w:rsidP="0072764F">
            <w:pPr>
              <w:spacing w:after="0" w:line="240" w:lineRule="auto"/>
              <w:rPr>
                <w:rFonts w:ascii="Times New Roman" w:eastAsia="Times New Roman" w:hAnsi="Times New Roman"/>
                <w:sz w:val="18"/>
                <w:szCs w:val="18"/>
                <w:lang w:val="en-GB"/>
              </w:rPr>
            </w:pPr>
            <w:r w:rsidRPr="00F00AEF">
              <w:rPr>
                <w:rFonts w:ascii="Times New Roman" w:eastAsia="Times New Roman" w:hAnsi="Times New Roman"/>
                <w:sz w:val="18"/>
                <w:szCs w:val="18"/>
                <w:lang w:val="en-GB"/>
              </w:rPr>
              <w:t>Family benefits and social assistance require legal residence and, for non-EU migrants, long-term or humanitarian residence permits.</w:t>
            </w:r>
          </w:p>
        </w:tc>
      </w:tr>
    </w:tbl>
    <w:p w14:paraId="6C94DCF9" w14:textId="476E859C" w:rsidR="009D1C85" w:rsidRPr="00F00AEF" w:rsidRDefault="009D1C85" w:rsidP="009D1C85">
      <w:pPr>
        <w:spacing w:after="0" w:line="240" w:lineRule="auto"/>
        <w:rPr>
          <w:rFonts w:ascii="Times New Roman" w:eastAsia="Times New Roman" w:hAnsi="Times New Roman"/>
          <w:sz w:val="20"/>
          <w:szCs w:val="20"/>
          <w:lang w:val="en-GB"/>
        </w:rPr>
      </w:pPr>
      <w:r w:rsidRPr="00D348AC">
        <w:rPr>
          <w:rFonts w:ascii="Times New Roman" w:eastAsia="Times New Roman" w:hAnsi="Times New Roman"/>
          <w:sz w:val="20"/>
          <w:szCs w:val="20"/>
          <w:lang w:val="en-GB"/>
        </w:rPr>
        <w:t xml:space="preserve">Sources: </w:t>
      </w:r>
      <w:r w:rsidRPr="00D348AC">
        <w:rPr>
          <w:rFonts w:ascii="Times New Roman" w:eastAsia="Times New Roman" w:hAnsi="Times New Roman"/>
          <w:sz w:val="20"/>
          <w:szCs w:val="20"/>
        </w:rPr>
        <w:fldChar w:fldCharType="begin" w:fldLock="1"/>
      </w:r>
      <w:r w:rsidR="003A1668">
        <w:rPr>
          <w:rFonts w:ascii="Times New Roman" w:eastAsia="Times New Roman" w:hAnsi="Times New Roman"/>
          <w:sz w:val="20"/>
          <w:szCs w:val="20"/>
          <w:lang w:val="en-GB"/>
        </w:rPr>
        <w:instrText>ADDIN CSL_CITATION {"citationItems":[{"id":"ITEM-1","itemData":{"ISBN":"978-3-030-51240-8","abstract":"This chapter starts by discussing the Portuguese Social Security system and how it has evolved since the establishment of the democratic regime in 1974. This is in fact a heterodox system – included in the so-called Mediterranean model of social protection – with elements both from the Bismarckian and Beveridgean models. Next, the chapter examines the main features of migration movements in Portugal (emigration and immigration) and analyses social security regimes applying to foreign citizens (both from EU or third countries) in order to identify potential differences when compared with the regimes applicable to national citizens. © The Author(s) 2020.","author":[{"dropping-particle":"","family":"Lafleur","given":"Jean-Michael","non-dropping-particle":"","parse-names":false,"suffix":""},{"dropping-particle":"","family":"Vintila","given":"Daniela","non-dropping-particle":"","parse-names":false,"suffix":""}],"container-title":"Springer Nature","id":"ITEM-1","issue":"Volume 1","issued":{"date-parts":[["2020"]]},"number-of-pages":"345","title":"Migration and Social Protection in Europe and Beyond","type":"book","volume":"3"},"uris":["http://www.mendeley.com/documents/?uuid=4c4ea6b5-30f5-42d9-8662-47e0fbdcfd32","http://www.mendeley.com/documents/?uuid=caa5ee3b-4731-41e8-b3cc-2eda5ea8e70d"]}],"mendeley":{"formattedCitation":"(Lafleur &amp; Vintila, 2020)","manualFormatting":"Lafleur &amp; Vintila (2020)","plainTextFormattedCitation":"(Lafleur &amp; Vintila, 2020)","previouslyFormattedCitation":"(Lafleur &amp; Vintila, 2020)"},"properties":{"noteIndex":0},"schema":"https://github.com/citation-style-language/schema/raw/master/csl-citation.json"}</w:instrText>
      </w:r>
      <w:r w:rsidRPr="00D348AC">
        <w:rPr>
          <w:rFonts w:ascii="Times New Roman" w:eastAsia="Times New Roman" w:hAnsi="Times New Roman"/>
          <w:sz w:val="20"/>
          <w:szCs w:val="20"/>
        </w:rPr>
        <w:fldChar w:fldCharType="separate"/>
      </w:r>
      <w:r w:rsidRPr="00D348AC">
        <w:rPr>
          <w:rFonts w:ascii="Times New Roman" w:eastAsia="Times New Roman" w:hAnsi="Times New Roman"/>
          <w:noProof/>
          <w:sz w:val="20"/>
          <w:szCs w:val="20"/>
          <w:lang w:val="en-GB"/>
        </w:rPr>
        <w:t>Lafleur &amp; Vintila (2020)</w:t>
      </w:r>
      <w:r w:rsidRPr="00D348AC">
        <w:rPr>
          <w:rFonts w:ascii="Times New Roman" w:eastAsia="Times New Roman" w:hAnsi="Times New Roman"/>
          <w:sz w:val="20"/>
          <w:szCs w:val="20"/>
        </w:rPr>
        <w:fldChar w:fldCharType="end"/>
      </w:r>
      <w:r w:rsidRPr="00D348AC">
        <w:rPr>
          <w:rFonts w:ascii="Times New Roman" w:eastAsia="Times New Roman" w:hAnsi="Times New Roman"/>
          <w:sz w:val="20"/>
          <w:szCs w:val="20"/>
          <w:lang w:val="en-GB"/>
        </w:rPr>
        <w:t xml:space="preserve"> and MISSOC comparative tables (rows II Healthcare, III Sickness-cash benefits, X unemployment and XI Guaranteed minimum resorces </w:t>
      </w:r>
      <w:hyperlink r:id="rId12" w:history="1">
        <w:r w:rsidRPr="00D348AC">
          <w:rPr>
            <w:rStyle w:val="Hipervnculo"/>
            <w:rFonts w:ascii="Times New Roman" w:eastAsia="Times New Roman" w:hAnsi="Times New Roman"/>
            <w:color w:val="auto"/>
            <w:sz w:val="20"/>
            <w:szCs w:val="20"/>
            <w:lang w:val="en-GB"/>
          </w:rPr>
          <w:t>https://www.missoc.org/missoc-database/comparative-tables/</w:t>
        </w:r>
      </w:hyperlink>
      <w:r w:rsidRPr="00D348AC">
        <w:rPr>
          <w:rFonts w:ascii="Times New Roman" w:eastAsia="Times New Roman" w:hAnsi="Times New Roman"/>
          <w:sz w:val="20"/>
          <w:szCs w:val="20"/>
          <w:lang w:val="en-GB"/>
        </w:rPr>
        <w:t xml:space="preserve"> </w:t>
      </w:r>
    </w:p>
    <w:p w14:paraId="62F44D6E" w14:textId="77777777" w:rsidR="00217B77" w:rsidRPr="00F00AEF" w:rsidRDefault="00217B77" w:rsidP="009D1C85">
      <w:pPr>
        <w:spacing w:after="0" w:line="240" w:lineRule="auto"/>
        <w:rPr>
          <w:rFonts w:ascii="Times New Roman" w:eastAsia="Times New Roman" w:hAnsi="Times New Roman"/>
          <w:sz w:val="20"/>
          <w:szCs w:val="20"/>
          <w:lang w:val="en-GB"/>
        </w:rPr>
        <w:sectPr w:rsidR="00217B77" w:rsidRPr="00F00AEF" w:rsidSect="00D348AC">
          <w:pgSz w:w="16838" w:h="11906" w:orient="landscape"/>
          <w:pgMar w:top="720" w:right="720" w:bottom="720" w:left="720" w:header="720" w:footer="720" w:gutter="0"/>
          <w:cols w:space="720"/>
          <w:docGrid w:linePitch="360"/>
        </w:sectPr>
      </w:pPr>
    </w:p>
    <w:p w14:paraId="3EE1F96B" w14:textId="39DD54ED" w:rsidR="009D1C85" w:rsidRDefault="00FD01B4" w:rsidP="009D1C85">
      <w:pPr>
        <w:spacing w:after="0" w:line="240" w:lineRule="auto"/>
        <w:rPr>
          <w:rFonts w:ascii="Times New Roman" w:eastAsia="Times New Roman" w:hAnsi="Times New Roman"/>
          <w:sz w:val="20"/>
          <w:szCs w:val="20"/>
          <w:lang w:val="en-GB"/>
        </w:rPr>
      </w:pPr>
      <w:r>
        <w:rPr>
          <w:rFonts w:ascii="Times New Roman" w:eastAsia="Times New Roman" w:hAnsi="Times New Roman"/>
          <w:sz w:val="20"/>
          <w:szCs w:val="20"/>
          <w:lang w:val="en-GB"/>
        </w:rPr>
        <w:lastRenderedPageBreak/>
        <w:t>T</w:t>
      </w:r>
      <w:r w:rsidR="009D1C85" w:rsidRPr="00860DC5">
        <w:rPr>
          <w:rFonts w:ascii="Times New Roman" w:eastAsia="Times New Roman" w:hAnsi="Times New Roman"/>
          <w:sz w:val="20"/>
          <w:szCs w:val="20"/>
          <w:lang w:val="en-GB"/>
        </w:rPr>
        <w:t xml:space="preserve">able 2 Socio-economic and </w:t>
      </w:r>
      <w:r w:rsidR="001663D7" w:rsidRPr="00860DC5">
        <w:rPr>
          <w:rFonts w:ascii="Times New Roman" w:eastAsia="Times New Roman" w:hAnsi="Times New Roman"/>
          <w:sz w:val="20"/>
          <w:szCs w:val="20"/>
          <w:lang w:val="en-GB"/>
        </w:rPr>
        <w:t>he</w:t>
      </w:r>
      <w:r w:rsidR="001663D7">
        <w:rPr>
          <w:rFonts w:ascii="Times New Roman" w:eastAsia="Times New Roman" w:hAnsi="Times New Roman"/>
          <w:sz w:val="20"/>
          <w:szCs w:val="20"/>
          <w:lang w:val="en-GB"/>
        </w:rPr>
        <w:t>alth</w:t>
      </w:r>
      <w:r w:rsidR="001663D7" w:rsidRPr="00860DC5">
        <w:rPr>
          <w:rFonts w:ascii="Times New Roman" w:eastAsia="Times New Roman" w:hAnsi="Times New Roman"/>
          <w:sz w:val="20"/>
          <w:szCs w:val="20"/>
          <w:lang w:val="en-GB"/>
        </w:rPr>
        <w:t xml:space="preserve"> </w:t>
      </w:r>
      <w:r w:rsidR="009D1C85" w:rsidRPr="00860DC5">
        <w:rPr>
          <w:rFonts w:ascii="Times New Roman" w:eastAsia="Times New Roman" w:hAnsi="Times New Roman"/>
          <w:sz w:val="20"/>
          <w:szCs w:val="20"/>
          <w:lang w:val="en-GB"/>
        </w:rPr>
        <w:t>disparities between immigrants and the native population for the selected countries</w:t>
      </w:r>
    </w:p>
    <w:tbl>
      <w:tblPr>
        <w:tblStyle w:val="Tablaconcuadrcula"/>
        <w:tblW w:w="15715" w:type="dxa"/>
        <w:tblInd w:w="-714" w:type="dxa"/>
        <w:tblLayout w:type="fixed"/>
        <w:tblLook w:val="04A0" w:firstRow="1" w:lastRow="0" w:firstColumn="1" w:lastColumn="0" w:noHBand="0" w:noVBand="1"/>
      </w:tblPr>
      <w:tblGrid>
        <w:gridCol w:w="1135"/>
        <w:gridCol w:w="1135"/>
        <w:gridCol w:w="1920"/>
        <w:gridCol w:w="1921"/>
        <w:gridCol w:w="1921"/>
        <w:gridCol w:w="1920"/>
        <w:gridCol w:w="1921"/>
        <w:gridCol w:w="1921"/>
        <w:gridCol w:w="1921"/>
      </w:tblGrid>
      <w:tr w:rsidR="00070B0C" w:rsidRPr="00934EE4" w14:paraId="42F49F64" w14:textId="77777777" w:rsidTr="00070B0C">
        <w:trPr>
          <w:trHeight w:val="300"/>
        </w:trPr>
        <w:tc>
          <w:tcPr>
            <w:tcW w:w="1135" w:type="dxa"/>
          </w:tcPr>
          <w:p w14:paraId="726332D4" w14:textId="77777777" w:rsidR="00070B0C" w:rsidRPr="008279C1" w:rsidRDefault="00070B0C" w:rsidP="003802B1">
            <w:pPr>
              <w:rPr>
                <w:rFonts w:ascii="Times New Roman" w:eastAsia="Times New Roman" w:hAnsi="Times New Roman"/>
                <w:sz w:val="20"/>
                <w:szCs w:val="20"/>
                <w:lang w:val="en-GB"/>
              </w:rPr>
            </w:pPr>
          </w:p>
        </w:tc>
        <w:tc>
          <w:tcPr>
            <w:tcW w:w="1135" w:type="dxa"/>
            <w:noWrap/>
            <w:hideMark/>
          </w:tcPr>
          <w:p w14:paraId="10304C5B" w14:textId="3132AFD7" w:rsidR="00070B0C" w:rsidRPr="0043458F" w:rsidRDefault="00070B0C" w:rsidP="003802B1">
            <w:pPr>
              <w:rPr>
                <w:rFonts w:ascii="Times New Roman" w:eastAsia="Times New Roman" w:hAnsi="Times New Roman"/>
                <w:sz w:val="20"/>
                <w:szCs w:val="20"/>
                <w:lang w:val="en-GB"/>
              </w:rPr>
            </w:pPr>
            <w:r>
              <w:rPr>
                <w:rFonts w:ascii="Times New Roman" w:eastAsia="Times New Roman" w:hAnsi="Times New Roman"/>
                <w:sz w:val="20"/>
                <w:szCs w:val="20"/>
                <w:lang w:val="en-GB"/>
              </w:rPr>
              <w:t>Country</w:t>
            </w:r>
          </w:p>
        </w:tc>
        <w:tc>
          <w:tcPr>
            <w:tcW w:w="1920" w:type="dxa"/>
            <w:noWrap/>
            <w:vAlign w:val="center"/>
            <w:hideMark/>
          </w:tcPr>
          <w:p w14:paraId="27EDF083" w14:textId="69754886" w:rsidR="00070B0C" w:rsidRPr="0043458F" w:rsidRDefault="00070B0C" w:rsidP="003802B1">
            <w:pPr>
              <w:rPr>
                <w:rFonts w:ascii="Times New Roman" w:eastAsia="Times New Roman" w:hAnsi="Times New Roman"/>
                <w:sz w:val="20"/>
                <w:szCs w:val="20"/>
                <w:lang w:val="en-GB"/>
              </w:rPr>
            </w:pPr>
            <w:r w:rsidRPr="003802B1">
              <w:rPr>
                <w:rFonts w:ascii="Times New Roman" w:eastAsia="Times New Roman" w:hAnsi="Times New Roman"/>
                <w:sz w:val="20"/>
                <w:szCs w:val="20"/>
                <w:lang w:val="en-GB"/>
              </w:rPr>
              <w:t>The gap with the native-born. Unemployment rate Percentage points</w:t>
            </w:r>
            <w:r>
              <w:rPr>
                <w:rStyle w:val="Refdenotaalpie"/>
                <w:rFonts w:ascii="Times New Roman" w:eastAsia="Times New Roman" w:hAnsi="Times New Roman"/>
                <w:sz w:val="20"/>
                <w:szCs w:val="20"/>
                <w:lang w:val="en-GB"/>
              </w:rPr>
              <w:footnoteReference w:id="3"/>
            </w:r>
          </w:p>
        </w:tc>
        <w:tc>
          <w:tcPr>
            <w:tcW w:w="1921" w:type="dxa"/>
            <w:noWrap/>
            <w:vAlign w:val="center"/>
            <w:hideMark/>
          </w:tcPr>
          <w:p w14:paraId="6E30A6EE" w14:textId="0A3E34A5" w:rsidR="00070B0C" w:rsidRPr="0043458F" w:rsidRDefault="00070B0C" w:rsidP="003802B1">
            <w:pPr>
              <w:rPr>
                <w:rFonts w:ascii="Times New Roman" w:eastAsia="Times New Roman" w:hAnsi="Times New Roman"/>
                <w:sz w:val="20"/>
                <w:szCs w:val="20"/>
                <w:lang w:val="en-GB"/>
              </w:rPr>
            </w:pPr>
            <w:r w:rsidRPr="003802B1">
              <w:rPr>
                <w:rFonts w:ascii="Times New Roman" w:eastAsia="Times New Roman" w:hAnsi="Times New Roman"/>
                <w:sz w:val="20"/>
                <w:szCs w:val="20"/>
                <w:lang w:val="en-GB"/>
              </w:rPr>
              <w:t>Median income of the foreign-born as a percentage of native-born</w:t>
            </w:r>
            <w:r>
              <w:rPr>
                <w:rStyle w:val="Refdenotaalpie"/>
                <w:rFonts w:ascii="Times New Roman" w:eastAsia="Times New Roman" w:hAnsi="Times New Roman"/>
                <w:sz w:val="20"/>
                <w:szCs w:val="20"/>
                <w:lang w:val="en-GB"/>
              </w:rPr>
              <w:footnoteReference w:id="4"/>
            </w:r>
          </w:p>
        </w:tc>
        <w:tc>
          <w:tcPr>
            <w:tcW w:w="1921" w:type="dxa"/>
            <w:noWrap/>
            <w:vAlign w:val="center"/>
            <w:hideMark/>
          </w:tcPr>
          <w:p w14:paraId="5B80F464" w14:textId="14A80E74" w:rsidR="00070B0C" w:rsidRPr="0043458F" w:rsidRDefault="00070B0C" w:rsidP="003802B1">
            <w:pPr>
              <w:rPr>
                <w:rFonts w:ascii="Times New Roman" w:eastAsia="Times New Roman" w:hAnsi="Times New Roman"/>
                <w:sz w:val="20"/>
                <w:szCs w:val="20"/>
                <w:lang w:val="en-GB"/>
              </w:rPr>
            </w:pPr>
            <w:r w:rsidRPr="003802B1">
              <w:rPr>
                <w:rFonts w:ascii="Times New Roman" w:eastAsia="Times New Roman" w:hAnsi="Times New Roman"/>
                <w:sz w:val="20"/>
                <w:szCs w:val="20"/>
                <w:lang w:val="en-GB"/>
              </w:rPr>
              <w:t>The gap with the native-born. % of people over 18 at risk of poverty or social exclusion Percentage points</w:t>
            </w:r>
            <w:r>
              <w:rPr>
                <w:rStyle w:val="Refdenotaalpie"/>
                <w:rFonts w:ascii="Times New Roman" w:eastAsia="Times New Roman" w:hAnsi="Times New Roman"/>
                <w:sz w:val="20"/>
                <w:szCs w:val="20"/>
                <w:lang w:val="en-GB"/>
              </w:rPr>
              <w:footnoteReference w:id="5"/>
            </w:r>
          </w:p>
        </w:tc>
        <w:tc>
          <w:tcPr>
            <w:tcW w:w="1920" w:type="dxa"/>
            <w:noWrap/>
            <w:vAlign w:val="center"/>
            <w:hideMark/>
          </w:tcPr>
          <w:p w14:paraId="7D2C8AF3" w14:textId="2047296A" w:rsidR="00070B0C" w:rsidRPr="0043458F" w:rsidRDefault="00070B0C" w:rsidP="003802B1">
            <w:pPr>
              <w:rPr>
                <w:rFonts w:ascii="Times New Roman" w:eastAsia="Times New Roman" w:hAnsi="Times New Roman"/>
                <w:sz w:val="20"/>
                <w:szCs w:val="20"/>
                <w:lang w:val="en-GB"/>
              </w:rPr>
            </w:pPr>
            <w:r w:rsidRPr="003802B1">
              <w:rPr>
                <w:rFonts w:ascii="Times New Roman" w:eastAsia="Times New Roman" w:hAnsi="Times New Roman"/>
                <w:sz w:val="20"/>
                <w:szCs w:val="20"/>
                <w:lang w:val="en-GB"/>
              </w:rPr>
              <w:t>The gap with the native-born. % university education in percentage points</w:t>
            </w:r>
            <w:r>
              <w:rPr>
                <w:rStyle w:val="Refdenotaalpie"/>
                <w:rFonts w:ascii="Times New Roman" w:eastAsia="Times New Roman" w:hAnsi="Times New Roman"/>
                <w:sz w:val="20"/>
                <w:szCs w:val="20"/>
                <w:lang w:val="en-GB"/>
              </w:rPr>
              <w:footnoteReference w:id="6"/>
            </w:r>
          </w:p>
        </w:tc>
        <w:tc>
          <w:tcPr>
            <w:tcW w:w="1921" w:type="dxa"/>
            <w:noWrap/>
            <w:vAlign w:val="center"/>
            <w:hideMark/>
          </w:tcPr>
          <w:p w14:paraId="30DB7853" w14:textId="3136FD5B" w:rsidR="00070B0C" w:rsidRPr="0043458F" w:rsidRDefault="00070B0C" w:rsidP="003802B1">
            <w:pPr>
              <w:rPr>
                <w:rFonts w:ascii="Times New Roman" w:eastAsia="Times New Roman" w:hAnsi="Times New Roman"/>
                <w:sz w:val="20"/>
                <w:szCs w:val="20"/>
                <w:lang w:val="en-GB"/>
              </w:rPr>
            </w:pPr>
            <w:r w:rsidRPr="003802B1">
              <w:rPr>
                <w:rFonts w:ascii="Times New Roman" w:eastAsia="Times New Roman" w:hAnsi="Times New Roman"/>
                <w:sz w:val="20"/>
                <w:szCs w:val="20"/>
                <w:lang w:val="en-GB"/>
              </w:rPr>
              <w:t>The gap with the native-born. %  less than Primary education in percentage points</w:t>
            </w:r>
            <w:r>
              <w:rPr>
                <w:rStyle w:val="Refdenotaalpie"/>
                <w:rFonts w:ascii="Times New Roman" w:eastAsia="Times New Roman" w:hAnsi="Times New Roman"/>
                <w:sz w:val="20"/>
                <w:szCs w:val="20"/>
                <w:lang w:val="en-GB"/>
              </w:rPr>
              <w:footnoteReference w:id="7"/>
            </w:r>
          </w:p>
        </w:tc>
        <w:tc>
          <w:tcPr>
            <w:tcW w:w="1921" w:type="dxa"/>
            <w:noWrap/>
            <w:vAlign w:val="center"/>
            <w:hideMark/>
          </w:tcPr>
          <w:p w14:paraId="6EA3DF4B" w14:textId="0F4997FD" w:rsidR="00070B0C" w:rsidRPr="0043458F" w:rsidRDefault="00070B0C" w:rsidP="003802B1">
            <w:pPr>
              <w:rPr>
                <w:rFonts w:ascii="Times New Roman" w:eastAsia="Times New Roman" w:hAnsi="Times New Roman"/>
                <w:sz w:val="20"/>
                <w:szCs w:val="20"/>
                <w:lang w:val="en-GB"/>
              </w:rPr>
            </w:pPr>
            <w:r w:rsidRPr="003802B1">
              <w:rPr>
                <w:rFonts w:ascii="Times New Roman" w:eastAsia="Times New Roman" w:hAnsi="Times New Roman"/>
                <w:sz w:val="20"/>
                <w:szCs w:val="20"/>
                <w:lang w:val="en-GB"/>
              </w:rPr>
              <w:t>The gap in perceived Health Status (very Good health) in percentage points</w:t>
            </w:r>
            <w:r>
              <w:rPr>
                <w:rStyle w:val="Refdenotaalpie"/>
                <w:rFonts w:ascii="Times New Roman" w:eastAsia="Times New Roman" w:hAnsi="Times New Roman"/>
                <w:sz w:val="20"/>
                <w:szCs w:val="20"/>
                <w:lang w:val="en-GB"/>
              </w:rPr>
              <w:footnoteReference w:id="8"/>
            </w:r>
          </w:p>
        </w:tc>
        <w:tc>
          <w:tcPr>
            <w:tcW w:w="1921" w:type="dxa"/>
            <w:noWrap/>
            <w:vAlign w:val="center"/>
            <w:hideMark/>
          </w:tcPr>
          <w:p w14:paraId="1FBA239A" w14:textId="4BE22371" w:rsidR="00070B0C" w:rsidRPr="0043458F" w:rsidRDefault="00061F1E" w:rsidP="003802B1">
            <w:pPr>
              <w:rPr>
                <w:rFonts w:ascii="Times New Roman" w:eastAsia="Times New Roman" w:hAnsi="Times New Roman"/>
                <w:sz w:val="20"/>
                <w:szCs w:val="20"/>
                <w:lang w:val="en-GB"/>
              </w:rPr>
            </w:pPr>
            <w:r w:rsidRPr="00061F1E">
              <w:rPr>
                <w:rFonts w:ascii="Times New Roman" w:eastAsia="Times New Roman" w:hAnsi="Times New Roman"/>
                <w:sz w:val="20"/>
                <w:szCs w:val="20"/>
                <w:lang w:val="en-GB"/>
              </w:rPr>
              <w:t>The gap in self-reported unmet needs for medical examination</w:t>
            </w:r>
            <w:r w:rsidR="00070B0C">
              <w:rPr>
                <w:rStyle w:val="Refdenotaalpie"/>
                <w:rFonts w:ascii="Times New Roman" w:eastAsia="Times New Roman" w:hAnsi="Times New Roman"/>
                <w:sz w:val="20"/>
                <w:szCs w:val="20"/>
                <w:lang w:val="en-GB"/>
              </w:rPr>
              <w:footnoteReference w:id="9"/>
            </w:r>
          </w:p>
        </w:tc>
      </w:tr>
      <w:tr w:rsidR="00591946" w:rsidRPr="0043458F" w14:paraId="77FBA096" w14:textId="77777777" w:rsidTr="00070B0C">
        <w:trPr>
          <w:trHeight w:val="300"/>
        </w:trPr>
        <w:tc>
          <w:tcPr>
            <w:tcW w:w="1135" w:type="dxa"/>
            <w:vMerge w:val="restart"/>
          </w:tcPr>
          <w:p w14:paraId="3DB2CDAE" w14:textId="444FBBA0" w:rsidR="00591946" w:rsidRPr="0043458F" w:rsidRDefault="00591946" w:rsidP="0043458F">
            <w:pPr>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2023</w:t>
            </w:r>
          </w:p>
        </w:tc>
        <w:tc>
          <w:tcPr>
            <w:tcW w:w="1135" w:type="dxa"/>
            <w:hideMark/>
          </w:tcPr>
          <w:p w14:paraId="3D938E01" w14:textId="49E051E6" w:rsidR="00591946" w:rsidRPr="0043458F" w:rsidRDefault="00591946" w:rsidP="0043458F">
            <w:pP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Belgium</w:t>
            </w:r>
          </w:p>
        </w:tc>
        <w:tc>
          <w:tcPr>
            <w:tcW w:w="1920" w:type="dxa"/>
            <w:hideMark/>
          </w:tcPr>
          <w:p w14:paraId="60BB8B90" w14:textId="6575C0C1"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6</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9</w:t>
            </w:r>
          </w:p>
        </w:tc>
        <w:tc>
          <w:tcPr>
            <w:tcW w:w="1921" w:type="dxa"/>
            <w:hideMark/>
          </w:tcPr>
          <w:p w14:paraId="15E5ECEE" w14:textId="717088CC"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74</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4</w:t>
            </w:r>
          </w:p>
        </w:tc>
        <w:tc>
          <w:tcPr>
            <w:tcW w:w="1921" w:type="dxa"/>
            <w:hideMark/>
          </w:tcPr>
          <w:p w14:paraId="30BF233B" w14:textId="053CEE67"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30</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4</w:t>
            </w:r>
          </w:p>
        </w:tc>
        <w:tc>
          <w:tcPr>
            <w:tcW w:w="1920" w:type="dxa"/>
            <w:hideMark/>
          </w:tcPr>
          <w:p w14:paraId="2FB74DD3" w14:textId="77777777"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-9</w:t>
            </w:r>
          </w:p>
        </w:tc>
        <w:tc>
          <w:tcPr>
            <w:tcW w:w="1921" w:type="dxa"/>
            <w:hideMark/>
          </w:tcPr>
          <w:p w14:paraId="263164C1" w14:textId="0D92954D"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17</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3</w:t>
            </w:r>
          </w:p>
        </w:tc>
        <w:tc>
          <w:tcPr>
            <w:tcW w:w="1921" w:type="dxa"/>
            <w:hideMark/>
          </w:tcPr>
          <w:p w14:paraId="4FF3166E" w14:textId="4B766112"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2</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2</w:t>
            </w:r>
          </w:p>
        </w:tc>
        <w:tc>
          <w:tcPr>
            <w:tcW w:w="1921" w:type="dxa"/>
            <w:hideMark/>
          </w:tcPr>
          <w:p w14:paraId="3BB05D64" w14:textId="1776CEED"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0</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1</w:t>
            </w:r>
          </w:p>
        </w:tc>
      </w:tr>
      <w:tr w:rsidR="00591946" w:rsidRPr="0043458F" w14:paraId="68F56EA0" w14:textId="77777777" w:rsidTr="00070B0C">
        <w:trPr>
          <w:trHeight w:val="300"/>
        </w:trPr>
        <w:tc>
          <w:tcPr>
            <w:tcW w:w="1135" w:type="dxa"/>
            <w:vMerge/>
          </w:tcPr>
          <w:p w14:paraId="2928016F" w14:textId="77777777" w:rsidR="00591946" w:rsidRPr="0043458F" w:rsidRDefault="00591946" w:rsidP="0043458F">
            <w:pPr>
              <w:rPr>
                <w:rFonts w:ascii="Times New Roman" w:eastAsia="Times New Roman" w:hAnsi="Times New Roman" w:cs="Times New Roman"/>
                <w:color w:val="000000"/>
                <w:sz w:val="20"/>
                <w:szCs w:val="20"/>
                <w:lang w:eastAsia="es-ES"/>
              </w:rPr>
            </w:pPr>
          </w:p>
        </w:tc>
        <w:tc>
          <w:tcPr>
            <w:tcW w:w="1135" w:type="dxa"/>
            <w:hideMark/>
          </w:tcPr>
          <w:p w14:paraId="0B4CA3D7" w14:textId="7978C4EF" w:rsidR="00591946" w:rsidRPr="0043458F" w:rsidRDefault="00591946" w:rsidP="0043458F">
            <w:pP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France</w:t>
            </w:r>
          </w:p>
        </w:tc>
        <w:tc>
          <w:tcPr>
            <w:tcW w:w="1920" w:type="dxa"/>
            <w:hideMark/>
          </w:tcPr>
          <w:p w14:paraId="163620A3" w14:textId="43ED1657"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5</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7</w:t>
            </w:r>
          </w:p>
        </w:tc>
        <w:tc>
          <w:tcPr>
            <w:tcW w:w="1921" w:type="dxa"/>
            <w:hideMark/>
          </w:tcPr>
          <w:p w14:paraId="358EC32A" w14:textId="797EE2F1"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82</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3</w:t>
            </w:r>
          </w:p>
        </w:tc>
        <w:tc>
          <w:tcPr>
            <w:tcW w:w="1921" w:type="dxa"/>
            <w:hideMark/>
          </w:tcPr>
          <w:p w14:paraId="40E1F3B5" w14:textId="13D52181"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34</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4</w:t>
            </w:r>
          </w:p>
        </w:tc>
        <w:tc>
          <w:tcPr>
            <w:tcW w:w="1920" w:type="dxa"/>
            <w:hideMark/>
          </w:tcPr>
          <w:p w14:paraId="374F2B3D" w14:textId="7272FF58"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-4</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4</w:t>
            </w:r>
          </w:p>
        </w:tc>
        <w:tc>
          <w:tcPr>
            <w:tcW w:w="1921" w:type="dxa"/>
            <w:hideMark/>
          </w:tcPr>
          <w:p w14:paraId="733A9DBF" w14:textId="40BAB6A0"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15</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8</w:t>
            </w:r>
          </w:p>
        </w:tc>
        <w:tc>
          <w:tcPr>
            <w:tcW w:w="1921" w:type="dxa"/>
            <w:hideMark/>
          </w:tcPr>
          <w:p w14:paraId="2AC29961" w14:textId="55FCE214"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-3</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6</w:t>
            </w:r>
          </w:p>
        </w:tc>
        <w:tc>
          <w:tcPr>
            <w:tcW w:w="1921" w:type="dxa"/>
            <w:hideMark/>
          </w:tcPr>
          <w:p w14:paraId="0682F4C9" w14:textId="6179FDD1"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2</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1</w:t>
            </w:r>
          </w:p>
        </w:tc>
      </w:tr>
      <w:tr w:rsidR="00591946" w:rsidRPr="0043458F" w14:paraId="42246982" w14:textId="77777777" w:rsidTr="00070B0C">
        <w:trPr>
          <w:trHeight w:val="300"/>
        </w:trPr>
        <w:tc>
          <w:tcPr>
            <w:tcW w:w="1135" w:type="dxa"/>
            <w:vMerge/>
          </w:tcPr>
          <w:p w14:paraId="658FE8A5" w14:textId="77777777" w:rsidR="00591946" w:rsidRPr="0043458F" w:rsidRDefault="00591946" w:rsidP="0043458F">
            <w:pPr>
              <w:rPr>
                <w:rFonts w:ascii="Times New Roman" w:eastAsia="Times New Roman" w:hAnsi="Times New Roman" w:cs="Times New Roman"/>
                <w:color w:val="000000"/>
                <w:sz w:val="20"/>
                <w:szCs w:val="20"/>
                <w:lang w:eastAsia="es-ES"/>
              </w:rPr>
            </w:pPr>
          </w:p>
        </w:tc>
        <w:tc>
          <w:tcPr>
            <w:tcW w:w="1135" w:type="dxa"/>
            <w:hideMark/>
          </w:tcPr>
          <w:p w14:paraId="2AA1E564" w14:textId="309F2D0C" w:rsidR="00591946" w:rsidRPr="0043458F" w:rsidRDefault="00591946" w:rsidP="0043458F">
            <w:pP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Germany</w:t>
            </w:r>
          </w:p>
        </w:tc>
        <w:tc>
          <w:tcPr>
            <w:tcW w:w="1920" w:type="dxa"/>
            <w:hideMark/>
          </w:tcPr>
          <w:p w14:paraId="1FE9EB12" w14:textId="200B31FD"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3</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8</w:t>
            </w:r>
          </w:p>
        </w:tc>
        <w:tc>
          <w:tcPr>
            <w:tcW w:w="1921" w:type="dxa"/>
            <w:hideMark/>
          </w:tcPr>
          <w:p w14:paraId="6BEBDECA" w14:textId="68898270"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84</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4</w:t>
            </w:r>
          </w:p>
        </w:tc>
        <w:tc>
          <w:tcPr>
            <w:tcW w:w="1921" w:type="dxa"/>
            <w:hideMark/>
          </w:tcPr>
          <w:p w14:paraId="52CECFA3" w14:textId="7E5DE01F"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27</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5</w:t>
            </w:r>
          </w:p>
        </w:tc>
        <w:tc>
          <w:tcPr>
            <w:tcW w:w="1920" w:type="dxa"/>
            <w:hideMark/>
          </w:tcPr>
          <w:p w14:paraId="63007B8D" w14:textId="726BF281"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-4</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9</w:t>
            </w:r>
          </w:p>
        </w:tc>
        <w:tc>
          <w:tcPr>
            <w:tcW w:w="1921" w:type="dxa"/>
            <w:hideMark/>
          </w:tcPr>
          <w:p w14:paraId="2490BA2C" w14:textId="324338C6"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23</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8</w:t>
            </w:r>
          </w:p>
        </w:tc>
        <w:tc>
          <w:tcPr>
            <w:tcW w:w="1921" w:type="dxa"/>
            <w:hideMark/>
          </w:tcPr>
          <w:p w14:paraId="5F42FDAD" w14:textId="57E5CBC9"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2</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9</w:t>
            </w:r>
          </w:p>
        </w:tc>
        <w:tc>
          <w:tcPr>
            <w:tcW w:w="1921" w:type="dxa"/>
            <w:hideMark/>
          </w:tcPr>
          <w:p w14:paraId="280AD1EE" w14:textId="25C7BF47"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0</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4</w:t>
            </w:r>
          </w:p>
        </w:tc>
      </w:tr>
      <w:tr w:rsidR="00591946" w:rsidRPr="0043458F" w14:paraId="0C68A601" w14:textId="77777777" w:rsidTr="00070B0C">
        <w:trPr>
          <w:trHeight w:val="300"/>
        </w:trPr>
        <w:tc>
          <w:tcPr>
            <w:tcW w:w="1135" w:type="dxa"/>
            <w:vMerge/>
          </w:tcPr>
          <w:p w14:paraId="7753F244" w14:textId="77777777" w:rsidR="00591946" w:rsidRPr="0043458F" w:rsidRDefault="00591946" w:rsidP="0043458F">
            <w:pPr>
              <w:rPr>
                <w:rFonts w:ascii="Times New Roman" w:eastAsia="Times New Roman" w:hAnsi="Times New Roman" w:cs="Times New Roman"/>
                <w:color w:val="000000"/>
                <w:sz w:val="20"/>
                <w:szCs w:val="20"/>
                <w:lang w:eastAsia="es-ES"/>
              </w:rPr>
            </w:pPr>
          </w:p>
        </w:tc>
        <w:tc>
          <w:tcPr>
            <w:tcW w:w="1135" w:type="dxa"/>
            <w:hideMark/>
          </w:tcPr>
          <w:p w14:paraId="09F07619" w14:textId="2BABC291" w:rsidR="00591946" w:rsidRPr="0043458F" w:rsidRDefault="00591946" w:rsidP="0043458F">
            <w:pP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Italy</w:t>
            </w:r>
          </w:p>
        </w:tc>
        <w:tc>
          <w:tcPr>
            <w:tcW w:w="1920" w:type="dxa"/>
            <w:hideMark/>
          </w:tcPr>
          <w:p w14:paraId="68EF56B3" w14:textId="7B01D7CA"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3</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1</w:t>
            </w:r>
          </w:p>
        </w:tc>
        <w:tc>
          <w:tcPr>
            <w:tcW w:w="1921" w:type="dxa"/>
            <w:hideMark/>
          </w:tcPr>
          <w:p w14:paraId="40DE0504" w14:textId="10C047C9"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93</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7</w:t>
            </w:r>
          </w:p>
        </w:tc>
        <w:tc>
          <w:tcPr>
            <w:tcW w:w="1921" w:type="dxa"/>
            <w:hideMark/>
          </w:tcPr>
          <w:p w14:paraId="20734B30" w14:textId="3B8EB6F9"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20</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5</w:t>
            </w:r>
          </w:p>
        </w:tc>
        <w:tc>
          <w:tcPr>
            <w:tcW w:w="1920" w:type="dxa"/>
            <w:hideMark/>
          </w:tcPr>
          <w:p w14:paraId="02183706" w14:textId="6D0E36D6"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-6</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5</w:t>
            </w:r>
          </w:p>
        </w:tc>
        <w:tc>
          <w:tcPr>
            <w:tcW w:w="1921" w:type="dxa"/>
            <w:hideMark/>
          </w:tcPr>
          <w:p w14:paraId="760398B3" w14:textId="555A9B6A"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13</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6</w:t>
            </w:r>
          </w:p>
        </w:tc>
        <w:tc>
          <w:tcPr>
            <w:tcW w:w="1921" w:type="dxa"/>
            <w:hideMark/>
          </w:tcPr>
          <w:p w14:paraId="0305FBBA" w14:textId="10090C19"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1</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5</w:t>
            </w:r>
          </w:p>
        </w:tc>
        <w:tc>
          <w:tcPr>
            <w:tcW w:w="1921" w:type="dxa"/>
            <w:hideMark/>
          </w:tcPr>
          <w:p w14:paraId="1796B9F5" w14:textId="4621E5B6"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0</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1</w:t>
            </w:r>
          </w:p>
        </w:tc>
      </w:tr>
      <w:tr w:rsidR="00591946" w:rsidRPr="0043458F" w14:paraId="1C884D08" w14:textId="77777777" w:rsidTr="00070B0C">
        <w:trPr>
          <w:trHeight w:val="300"/>
        </w:trPr>
        <w:tc>
          <w:tcPr>
            <w:tcW w:w="1135" w:type="dxa"/>
            <w:vMerge/>
          </w:tcPr>
          <w:p w14:paraId="7BB4843D" w14:textId="77777777" w:rsidR="00591946" w:rsidRPr="0043458F" w:rsidRDefault="00591946" w:rsidP="0043458F">
            <w:pPr>
              <w:rPr>
                <w:rFonts w:ascii="Times New Roman" w:eastAsia="Times New Roman" w:hAnsi="Times New Roman" w:cs="Times New Roman"/>
                <w:color w:val="000000"/>
                <w:sz w:val="20"/>
                <w:szCs w:val="20"/>
                <w:lang w:eastAsia="es-ES"/>
              </w:rPr>
            </w:pPr>
          </w:p>
        </w:tc>
        <w:tc>
          <w:tcPr>
            <w:tcW w:w="1135" w:type="dxa"/>
            <w:hideMark/>
          </w:tcPr>
          <w:p w14:paraId="25B52F1C" w14:textId="2195679C" w:rsidR="00591946" w:rsidRPr="0043458F" w:rsidRDefault="00591946" w:rsidP="0043458F">
            <w:pP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Poland</w:t>
            </w:r>
          </w:p>
        </w:tc>
        <w:tc>
          <w:tcPr>
            <w:tcW w:w="1920" w:type="dxa"/>
            <w:hideMark/>
          </w:tcPr>
          <w:p w14:paraId="32DD083C" w14:textId="1D764DA9"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1</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9</w:t>
            </w:r>
          </w:p>
        </w:tc>
        <w:tc>
          <w:tcPr>
            <w:tcW w:w="1921" w:type="dxa"/>
            <w:hideMark/>
          </w:tcPr>
          <w:p w14:paraId="6491AF13" w14:textId="5E8E1E5D"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97</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3</w:t>
            </w:r>
          </w:p>
        </w:tc>
        <w:tc>
          <w:tcPr>
            <w:tcW w:w="1921" w:type="dxa"/>
            <w:hideMark/>
          </w:tcPr>
          <w:p w14:paraId="43F65E78" w14:textId="0D2FCB0D"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-5</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7</w:t>
            </w:r>
          </w:p>
        </w:tc>
        <w:tc>
          <w:tcPr>
            <w:tcW w:w="1920" w:type="dxa"/>
            <w:hideMark/>
          </w:tcPr>
          <w:p w14:paraId="5D92F104" w14:textId="7D8D6F76"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21</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5</w:t>
            </w:r>
          </w:p>
        </w:tc>
        <w:tc>
          <w:tcPr>
            <w:tcW w:w="1921" w:type="dxa"/>
            <w:hideMark/>
          </w:tcPr>
          <w:p w14:paraId="693514F8" w14:textId="35F9F57C"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-3</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6</w:t>
            </w:r>
          </w:p>
        </w:tc>
        <w:tc>
          <w:tcPr>
            <w:tcW w:w="1921" w:type="dxa"/>
            <w:hideMark/>
          </w:tcPr>
          <w:p w14:paraId="34726B3A" w14:textId="77777777"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5</w:t>
            </w:r>
          </w:p>
        </w:tc>
        <w:tc>
          <w:tcPr>
            <w:tcW w:w="1921" w:type="dxa"/>
            <w:hideMark/>
          </w:tcPr>
          <w:p w14:paraId="24885096" w14:textId="514B5403"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0</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9</w:t>
            </w:r>
          </w:p>
        </w:tc>
      </w:tr>
      <w:tr w:rsidR="00591946" w:rsidRPr="0043458F" w14:paraId="4D11A53C" w14:textId="77777777" w:rsidTr="00070B0C">
        <w:trPr>
          <w:trHeight w:val="300"/>
        </w:trPr>
        <w:tc>
          <w:tcPr>
            <w:tcW w:w="1135" w:type="dxa"/>
            <w:vMerge/>
          </w:tcPr>
          <w:p w14:paraId="64DE6F98" w14:textId="77777777" w:rsidR="00591946" w:rsidRPr="0043458F" w:rsidRDefault="00591946" w:rsidP="0043458F">
            <w:pPr>
              <w:rPr>
                <w:rFonts w:ascii="Times New Roman" w:eastAsia="Times New Roman" w:hAnsi="Times New Roman" w:cs="Times New Roman"/>
                <w:color w:val="000000"/>
                <w:sz w:val="20"/>
                <w:szCs w:val="20"/>
                <w:lang w:eastAsia="es-ES"/>
              </w:rPr>
            </w:pPr>
          </w:p>
        </w:tc>
        <w:tc>
          <w:tcPr>
            <w:tcW w:w="1135" w:type="dxa"/>
            <w:hideMark/>
          </w:tcPr>
          <w:p w14:paraId="33FFEAC6" w14:textId="38A674DF" w:rsidR="00591946" w:rsidRPr="0043458F" w:rsidRDefault="00591946" w:rsidP="0043458F">
            <w:pP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Spain</w:t>
            </w:r>
          </w:p>
        </w:tc>
        <w:tc>
          <w:tcPr>
            <w:tcW w:w="1920" w:type="dxa"/>
            <w:hideMark/>
          </w:tcPr>
          <w:p w14:paraId="7BDE709D" w14:textId="51E2D93F"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6</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2</w:t>
            </w:r>
          </w:p>
        </w:tc>
        <w:tc>
          <w:tcPr>
            <w:tcW w:w="1921" w:type="dxa"/>
            <w:hideMark/>
          </w:tcPr>
          <w:p w14:paraId="1F932A34" w14:textId="77777777"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86</w:t>
            </w:r>
          </w:p>
        </w:tc>
        <w:tc>
          <w:tcPr>
            <w:tcW w:w="1921" w:type="dxa"/>
            <w:hideMark/>
          </w:tcPr>
          <w:p w14:paraId="6BC6C768" w14:textId="06B51DC8"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34</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5</w:t>
            </w:r>
          </w:p>
        </w:tc>
        <w:tc>
          <w:tcPr>
            <w:tcW w:w="1920" w:type="dxa"/>
            <w:hideMark/>
          </w:tcPr>
          <w:p w14:paraId="43DCDBAA" w14:textId="6D44379A"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-13</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9</w:t>
            </w:r>
          </w:p>
        </w:tc>
        <w:tc>
          <w:tcPr>
            <w:tcW w:w="1921" w:type="dxa"/>
            <w:hideMark/>
          </w:tcPr>
          <w:p w14:paraId="0AE3DE68" w14:textId="6D1606C1"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11</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2</w:t>
            </w:r>
          </w:p>
        </w:tc>
        <w:tc>
          <w:tcPr>
            <w:tcW w:w="1921" w:type="dxa"/>
            <w:hideMark/>
          </w:tcPr>
          <w:p w14:paraId="62D7E07F" w14:textId="010E050A"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4</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2</w:t>
            </w:r>
          </w:p>
        </w:tc>
        <w:tc>
          <w:tcPr>
            <w:tcW w:w="1921" w:type="dxa"/>
            <w:hideMark/>
          </w:tcPr>
          <w:p w14:paraId="0ECC4221" w14:textId="77777777"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-1</w:t>
            </w:r>
          </w:p>
        </w:tc>
      </w:tr>
      <w:tr w:rsidR="00591946" w:rsidRPr="0043458F" w14:paraId="052DAAAB" w14:textId="77777777" w:rsidTr="00070B0C">
        <w:trPr>
          <w:trHeight w:val="300"/>
        </w:trPr>
        <w:tc>
          <w:tcPr>
            <w:tcW w:w="1135" w:type="dxa"/>
            <w:vMerge/>
          </w:tcPr>
          <w:p w14:paraId="42E35609" w14:textId="77777777" w:rsidR="00591946" w:rsidRPr="0043458F" w:rsidRDefault="00591946" w:rsidP="0043458F">
            <w:pPr>
              <w:rPr>
                <w:rFonts w:ascii="Times New Roman" w:eastAsia="Times New Roman" w:hAnsi="Times New Roman" w:cs="Times New Roman"/>
                <w:color w:val="000000"/>
                <w:sz w:val="20"/>
                <w:szCs w:val="20"/>
                <w:lang w:eastAsia="es-ES"/>
              </w:rPr>
            </w:pPr>
          </w:p>
        </w:tc>
        <w:tc>
          <w:tcPr>
            <w:tcW w:w="1135" w:type="dxa"/>
            <w:hideMark/>
          </w:tcPr>
          <w:p w14:paraId="38FCBFF2" w14:textId="5CF1CA1B" w:rsidR="00591946" w:rsidRPr="0043458F" w:rsidRDefault="00591946" w:rsidP="0043458F">
            <w:pP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Sweden</w:t>
            </w:r>
          </w:p>
        </w:tc>
        <w:tc>
          <w:tcPr>
            <w:tcW w:w="1920" w:type="dxa"/>
            <w:hideMark/>
          </w:tcPr>
          <w:p w14:paraId="535C75E3" w14:textId="11E40BE7"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12</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7</w:t>
            </w:r>
          </w:p>
        </w:tc>
        <w:tc>
          <w:tcPr>
            <w:tcW w:w="1921" w:type="dxa"/>
            <w:hideMark/>
          </w:tcPr>
          <w:p w14:paraId="1D23708A" w14:textId="74A96A64"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77</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3</w:t>
            </w:r>
          </w:p>
        </w:tc>
        <w:tc>
          <w:tcPr>
            <w:tcW w:w="1921" w:type="dxa"/>
            <w:hideMark/>
          </w:tcPr>
          <w:p w14:paraId="73A12743" w14:textId="226382FE"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29</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5</w:t>
            </w:r>
          </w:p>
        </w:tc>
        <w:tc>
          <w:tcPr>
            <w:tcW w:w="1920" w:type="dxa"/>
            <w:hideMark/>
          </w:tcPr>
          <w:p w14:paraId="086C19F9" w14:textId="5EA5017E"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-0</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7</w:t>
            </w:r>
          </w:p>
        </w:tc>
        <w:tc>
          <w:tcPr>
            <w:tcW w:w="1921" w:type="dxa"/>
            <w:hideMark/>
          </w:tcPr>
          <w:p w14:paraId="362D16D6" w14:textId="7B3739F4"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20</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4</w:t>
            </w:r>
          </w:p>
        </w:tc>
        <w:tc>
          <w:tcPr>
            <w:tcW w:w="1921" w:type="dxa"/>
            <w:hideMark/>
          </w:tcPr>
          <w:p w14:paraId="7AD1DE1D" w14:textId="10B73729"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5</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5</w:t>
            </w:r>
          </w:p>
        </w:tc>
        <w:tc>
          <w:tcPr>
            <w:tcW w:w="1921" w:type="dxa"/>
            <w:hideMark/>
          </w:tcPr>
          <w:p w14:paraId="6042FE96" w14:textId="5FCBDA90" w:rsidR="00591946" w:rsidRPr="0043458F" w:rsidRDefault="00591946" w:rsidP="0043458F">
            <w:pPr>
              <w:jc w:val="cente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1</w:t>
            </w:r>
            <w:r w:rsidR="002D153F">
              <w:rPr>
                <w:rFonts w:ascii="Times New Roman" w:eastAsia="Times New Roman" w:hAnsi="Times New Roman" w:cs="Times New Roman"/>
                <w:color w:val="000000"/>
                <w:sz w:val="20"/>
                <w:szCs w:val="20"/>
                <w:lang w:eastAsia="es-ES"/>
              </w:rPr>
              <w:t>.</w:t>
            </w:r>
            <w:r w:rsidRPr="0043458F">
              <w:rPr>
                <w:rFonts w:ascii="Times New Roman" w:eastAsia="Times New Roman" w:hAnsi="Times New Roman" w:cs="Times New Roman"/>
                <w:color w:val="000000"/>
                <w:sz w:val="20"/>
                <w:szCs w:val="20"/>
                <w:lang w:eastAsia="es-ES"/>
              </w:rPr>
              <w:t>5</w:t>
            </w:r>
          </w:p>
        </w:tc>
      </w:tr>
      <w:tr w:rsidR="00526E61" w:rsidRPr="0043458F" w14:paraId="5E428398" w14:textId="77777777" w:rsidTr="0024011C">
        <w:trPr>
          <w:trHeight w:val="300"/>
        </w:trPr>
        <w:tc>
          <w:tcPr>
            <w:tcW w:w="1135" w:type="dxa"/>
            <w:vMerge w:val="restart"/>
          </w:tcPr>
          <w:p w14:paraId="4E6DC5D5" w14:textId="7FC8E33E" w:rsidR="00526E61" w:rsidRPr="0043458F" w:rsidRDefault="006F0A4D" w:rsidP="00526E61">
            <w:pPr>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2019</w:t>
            </w:r>
          </w:p>
        </w:tc>
        <w:tc>
          <w:tcPr>
            <w:tcW w:w="1135" w:type="dxa"/>
          </w:tcPr>
          <w:p w14:paraId="644B511F" w14:textId="73DA9704" w:rsidR="00526E61" w:rsidRPr="0043458F" w:rsidRDefault="00526E61" w:rsidP="00526E61">
            <w:pP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Belgium</w:t>
            </w:r>
          </w:p>
        </w:tc>
        <w:tc>
          <w:tcPr>
            <w:tcW w:w="1920" w:type="dxa"/>
            <w:vAlign w:val="center"/>
          </w:tcPr>
          <w:p w14:paraId="3873FCCF" w14:textId="2A8CA8C5"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9</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6</w:t>
            </w:r>
          </w:p>
        </w:tc>
        <w:tc>
          <w:tcPr>
            <w:tcW w:w="1921" w:type="dxa"/>
            <w:vAlign w:val="center"/>
          </w:tcPr>
          <w:p w14:paraId="54B67647" w14:textId="71335AF7"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78</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4</w:t>
            </w:r>
          </w:p>
        </w:tc>
        <w:tc>
          <w:tcPr>
            <w:tcW w:w="1921" w:type="dxa"/>
            <w:vAlign w:val="center"/>
          </w:tcPr>
          <w:p w14:paraId="76E45CE7" w14:textId="5A35A7EB"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30</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8</w:t>
            </w:r>
          </w:p>
        </w:tc>
        <w:tc>
          <w:tcPr>
            <w:tcW w:w="1920" w:type="dxa"/>
            <w:vAlign w:val="center"/>
          </w:tcPr>
          <w:p w14:paraId="31CD0553" w14:textId="5777DBAE"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-10</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6</w:t>
            </w:r>
          </w:p>
        </w:tc>
        <w:tc>
          <w:tcPr>
            <w:tcW w:w="1921" w:type="dxa"/>
            <w:vAlign w:val="center"/>
          </w:tcPr>
          <w:p w14:paraId="2152214A" w14:textId="2C337EF9"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17</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7</w:t>
            </w:r>
          </w:p>
        </w:tc>
        <w:tc>
          <w:tcPr>
            <w:tcW w:w="1921" w:type="dxa"/>
            <w:vAlign w:val="center"/>
          </w:tcPr>
          <w:p w14:paraId="66D3C914" w14:textId="4E9AEB5A"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3</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8</w:t>
            </w:r>
          </w:p>
        </w:tc>
        <w:tc>
          <w:tcPr>
            <w:tcW w:w="1921" w:type="dxa"/>
            <w:vAlign w:val="center"/>
          </w:tcPr>
          <w:p w14:paraId="65D6031E" w14:textId="2843ADD2"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-1</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6</w:t>
            </w:r>
          </w:p>
        </w:tc>
      </w:tr>
      <w:tr w:rsidR="00526E61" w:rsidRPr="0043458F" w14:paraId="23680E41" w14:textId="77777777" w:rsidTr="0024011C">
        <w:trPr>
          <w:trHeight w:val="300"/>
        </w:trPr>
        <w:tc>
          <w:tcPr>
            <w:tcW w:w="1135" w:type="dxa"/>
            <w:vMerge/>
          </w:tcPr>
          <w:p w14:paraId="0B9BF2C0" w14:textId="77777777" w:rsidR="00526E61" w:rsidRPr="0043458F" w:rsidRDefault="00526E61" w:rsidP="00526E61">
            <w:pPr>
              <w:rPr>
                <w:rFonts w:ascii="Times New Roman" w:eastAsia="Times New Roman" w:hAnsi="Times New Roman" w:cs="Times New Roman"/>
                <w:color w:val="000000"/>
                <w:sz w:val="20"/>
                <w:szCs w:val="20"/>
                <w:lang w:eastAsia="es-ES"/>
              </w:rPr>
            </w:pPr>
          </w:p>
        </w:tc>
        <w:tc>
          <w:tcPr>
            <w:tcW w:w="1135" w:type="dxa"/>
          </w:tcPr>
          <w:p w14:paraId="78BC57D5" w14:textId="23E07B67" w:rsidR="00526E61" w:rsidRPr="0043458F" w:rsidRDefault="00526E61" w:rsidP="00526E61">
            <w:pP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France</w:t>
            </w:r>
          </w:p>
        </w:tc>
        <w:tc>
          <w:tcPr>
            <w:tcW w:w="1920" w:type="dxa"/>
            <w:vAlign w:val="center"/>
          </w:tcPr>
          <w:p w14:paraId="6C828D66" w14:textId="477007C3"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6</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8</w:t>
            </w:r>
          </w:p>
        </w:tc>
        <w:tc>
          <w:tcPr>
            <w:tcW w:w="1921" w:type="dxa"/>
            <w:vAlign w:val="center"/>
          </w:tcPr>
          <w:p w14:paraId="6777682E" w14:textId="2FE69FB4"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81</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8</w:t>
            </w:r>
          </w:p>
        </w:tc>
        <w:tc>
          <w:tcPr>
            <w:tcW w:w="1921" w:type="dxa"/>
            <w:vAlign w:val="center"/>
          </w:tcPr>
          <w:p w14:paraId="6AE49CBA" w14:textId="3D898A64"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41</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9</w:t>
            </w:r>
          </w:p>
        </w:tc>
        <w:tc>
          <w:tcPr>
            <w:tcW w:w="1920" w:type="dxa"/>
            <w:vAlign w:val="center"/>
          </w:tcPr>
          <w:p w14:paraId="5F5D7A9D" w14:textId="608EFB8A"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-4</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4</w:t>
            </w:r>
          </w:p>
        </w:tc>
        <w:tc>
          <w:tcPr>
            <w:tcW w:w="1921" w:type="dxa"/>
            <w:vAlign w:val="center"/>
          </w:tcPr>
          <w:p w14:paraId="2035BA5F" w14:textId="6854B579"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15</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5</w:t>
            </w:r>
          </w:p>
        </w:tc>
        <w:tc>
          <w:tcPr>
            <w:tcW w:w="1921" w:type="dxa"/>
            <w:vAlign w:val="center"/>
          </w:tcPr>
          <w:p w14:paraId="483B801D" w14:textId="14C2C2B8"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-3</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8</w:t>
            </w:r>
          </w:p>
        </w:tc>
        <w:tc>
          <w:tcPr>
            <w:tcW w:w="1921" w:type="dxa"/>
            <w:vAlign w:val="center"/>
          </w:tcPr>
          <w:p w14:paraId="2DAEBBD1" w14:textId="0EB4C591"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-1</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2</w:t>
            </w:r>
          </w:p>
        </w:tc>
      </w:tr>
      <w:tr w:rsidR="00526E61" w:rsidRPr="0043458F" w14:paraId="2652C88C" w14:textId="77777777" w:rsidTr="0024011C">
        <w:trPr>
          <w:trHeight w:val="300"/>
        </w:trPr>
        <w:tc>
          <w:tcPr>
            <w:tcW w:w="1135" w:type="dxa"/>
            <w:vMerge/>
          </w:tcPr>
          <w:p w14:paraId="16BEEE3C" w14:textId="77777777" w:rsidR="00526E61" w:rsidRPr="0043458F" w:rsidRDefault="00526E61" w:rsidP="00526E61">
            <w:pPr>
              <w:rPr>
                <w:rFonts w:ascii="Times New Roman" w:eastAsia="Times New Roman" w:hAnsi="Times New Roman" w:cs="Times New Roman"/>
                <w:color w:val="000000"/>
                <w:sz w:val="20"/>
                <w:szCs w:val="20"/>
                <w:lang w:eastAsia="es-ES"/>
              </w:rPr>
            </w:pPr>
          </w:p>
        </w:tc>
        <w:tc>
          <w:tcPr>
            <w:tcW w:w="1135" w:type="dxa"/>
          </w:tcPr>
          <w:p w14:paraId="35C638A8" w14:textId="75EAD723" w:rsidR="00526E61" w:rsidRPr="0043458F" w:rsidRDefault="00526E61" w:rsidP="00526E61">
            <w:pP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Germany</w:t>
            </w:r>
          </w:p>
        </w:tc>
        <w:tc>
          <w:tcPr>
            <w:tcW w:w="1920" w:type="dxa"/>
            <w:vAlign w:val="center"/>
          </w:tcPr>
          <w:p w14:paraId="10785C1A" w14:textId="480C1268"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4</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2</w:t>
            </w:r>
          </w:p>
        </w:tc>
        <w:tc>
          <w:tcPr>
            <w:tcW w:w="1921" w:type="dxa"/>
            <w:vAlign w:val="center"/>
          </w:tcPr>
          <w:p w14:paraId="74720777" w14:textId="122B0B9B"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86</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2</w:t>
            </w:r>
          </w:p>
        </w:tc>
        <w:tc>
          <w:tcPr>
            <w:tcW w:w="1921" w:type="dxa"/>
            <w:vAlign w:val="center"/>
          </w:tcPr>
          <w:p w14:paraId="55955F02" w14:textId="1868FB66"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10</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7</w:t>
            </w:r>
          </w:p>
        </w:tc>
        <w:tc>
          <w:tcPr>
            <w:tcW w:w="1920" w:type="dxa"/>
            <w:vAlign w:val="center"/>
          </w:tcPr>
          <w:p w14:paraId="5E6AB674" w14:textId="2F3EFC36"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-6</w:t>
            </w:r>
          </w:p>
        </w:tc>
        <w:tc>
          <w:tcPr>
            <w:tcW w:w="1921" w:type="dxa"/>
            <w:vAlign w:val="center"/>
          </w:tcPr>
          <w:p w14:paraId="3EE65B1B" w14:textId="0E81337A"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22</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5</w:t>
            </w:r>
          </w:p>
        </w:tc>
        <w:tc>
          <w:tcPr>
            <w:tcW w:w="1921" w:type="dxa"/>
            <w:vAlign w:val="center"/>
          </w:tcPr>
          <w:p w14:paraId="2641E1EB" w14:textId="0DA0845F"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1</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1</w:t>
            </w:r>
          </w:p>
        </w:tc>
        <w:tc>
          <w:tcPr>
            <w:tcW w:w="1921" w:type="dxa"/>
            <w:vAlign w:val="center"/>
          </w:tcPr>
          <w:p w14:paraId="4884B64F" w14:textId="6202FB10"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0</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9</w:t>
            </w:r>
          </w:p>
        </w:tc>
      </w:tr>
      <w:tr w:rsidR="00526E61" w:rsidRPr="0043458F" w14:paraId="73D12BF7" w14:textId="77777777" w:rsidTr="0024011C">
        <w:trPr>
          <w:trHeight w:val="300"/>
        </w:trPr>
        <w:tc>
          <w:tcPr>
            <w:tcW w:w="1135" w:type="dxa"/>
            <w:vMerge/>
          </w:tcPr>
          <w:p w14:paraId="041DADB5" w14:textId="77777777" w:rsidR="00526E61" w:rsidRPr="0043458F" w:rsidRDefault="00526E61" w:rsidP="00526E61">
            <w:pPr>
              <w:rPr>
                <w:rFonts w:ascii="Times New Roman" w:eastAsia="Times New Roman" w:hAnsi="Times New Roman" w:cs="Times New Roman"/>
                <w:color w:val="000000"/>
                <w:sz w:val="20"/>
                <w:szCs w:val="20"/>
                <w:lang w:eastAsia="es-ES"/>
              </w:rPr>
            </w:pPr>
          </w:p>
        </w:tc>
        <w:tc>
          <w:tcPr>
            <w:tcW w:w="1135" w:type="dxa"/>
          </w:tcPr>
          <w:p w14:paraId="019DA6FD" w14:textId="4D4C46CF" w:rsidR="00526E61" w:rsidRPr="0043458F" w:rsidRDefault="00526E61" w:rsidP="00526E61">
            <w:pP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Italy</w:t>
            </w:r>
          </w:p>
        </w:tc>
        <w:tc>
          <w:tcPr>
            <w:tcW w:w="1920" w:type="dxa"/>
            <w:vAlign w:val="center"/>
          </w:tcPr>
          <w:p w14:paraId="181BEE29" w14:textId="27668AC0"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3</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3</w:t>
            </w:r>
          </w:p>
        </w:tc>
        <w:tc>
          <w:tcPr>
            <w:tcW w:w="1921" w:type="dxa"/>
            <w:vAlign w:val="center"/>
          </w:tcPr>
          <w:p w14:paraId="028C61DB" w14:textId="23E5BDD8"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92</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9</w:t>
            </w:r>
          </w:p>
        </w:tc>
        <w:tc>
          <w:tcPr>
            <w:tcW w:w="1921" w:type="dxa"/>
            <w:vAlign w:val="center"/>
          </w:tcPr>
          <w:p w14:paraId="5E92CE0F" w14:textId="3FB0D5FE"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18</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8</w:t>
            </w:r>
          </w:p>
        </w:tc>
        <w:tc>
          <w:tcPr>
            <w:tcW w:w="1920" w:type="dxa"/>
            <w:vAlign w:val="center"/>
          </w:tcPr>
          <w:p w14:paraId="40F80030" w14:textId="7E0E58E5"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-4</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3</w:t>
            </w:r>
          </w:p>
        </w:tc>
        <w:tc>
          <w:tcPr>
            <w:tcW w:w="1921" w:type="dxa"/>
            <w:vAlign w:val="center"/>
          </w:tcPr>
          <w:p w14:paraId="052C055C" w14:textId="0775516A"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16</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7</w:t>
            </w:r>
          </w:p>
        </w:tc>
        <w:tc>
          <w:tcPr>
            <w:tcW w:w="1921" w:type="dxa"/>
            <w:vAlign w:val="center"/>
          </w:tcPr>
          <w:p w14:paraId="04D65EAF" w14:textId="3AC10BAD"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8</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9</w:t>
            </w:r>
          </w:p>
        </w:tc>
        <w:tc>
          <w:tcPr>
            <w:tcW w:w="1921" w:type="dxa"/>
            <w:vAlign w:val="center"/>
          </w:tcPr>
          <w:p w14:paraId="2EFB2542" w14:textId="1AE9C038"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-0</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7</w:t>
            </w:r>
          </w:p>
        </w:tc>
      </w:tr>
      <w:tr w:rsidR="00526E61" w:rsidRPr="0043458F" w14:paraId="5CDDA398" w14:textId="77777777" w:rsidTr="0024011C">
        <w:trPr>
          <w:trHeight w:val="300"/>
        </w:trPr>
        <w:tc>
          <w:tcPr>
            <w:tcW w:w="1135" w:type="dxa"/>
            <w:vMerge/>
          </w:tcPr>
          <w:p w14:paraId="4B012067" w14:textId="77777777" w:rsidR="00526E61" w:rsidRPr="0043458F" w:rsidRDefault="00526E61" w:rsidP="00526E61">
            <w:pPr>
              <w:rPr>
                <w:rFonts w:ascii="Times New Roman" w:eastAsia="Times New Roman" w:hAnsi="Times New Roman" w:cs="Times New Roman"/>
                <w:color w:val="000000"/>
                <w:sz w:val="20"/>
                <w:szCs w:val="20"/>
                <w:lang w:eastAsia="es-ES"/>
              </w:rPr>
            </w:pPr>
          </w:p>
        </w:tc>
        <w:tc>
          <w:tcPr>
            <w:tcW w:w="1135" w:type="dxa"/>
          </w:tcPr>
          <w:p w14:paraId="0544E01F" w14:textId="02455F06" w:rsidR="00526E61" w:rsidRPr="0043458F" w:rsidRDefault="00526E61" w:rsidP="00526E61">
            <w:pP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Poland</w:t>
            </w:r>
          </w:p>
        </w:tc>
        <w:tc>
          <w:tcPr>
            <w:tcW w:w="1920" w:type="dxa"/>
            <w:vAlign w:val="center"/>
          </w:tcPr>
          <w:p w14:paraId="3E56AA6D" w14:textId="147FEC0E"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2</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3</w:t>
            </w:r>
          </w:p>
        </w:tc>
        <w:tc>
          <w:tcPr>
            <w:tcW w:w="1921" w:type="dxa"/>
            <w:vAlign w:val="center"/>
          </w:tcPr>
          <w:p w14:paraId="1DD4F509" w14:textId="0A8F820C"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114</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6</w:t>
            </w:r>
          </w:p>
        </w:tc>
        <w:tc>
          <w:tcPr>
            <w:tcW w:w="1921" w:type="dxa"/>
            <w:vAlign w:val="center"/>
          </w:tcPr>
          <w:p w14:paraId="0DC92128" w14:textId="3E7CB93C"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-3</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8</w:t>
            </w:r>
          </w:p>
        </w:tc>
        <w:tc>
          <w:tcPr>
            <w:tcW w:w="1920" w:type="dxa"/>
            <w:vAlign w:val="center"/>
          </w:tcPr>
          <w:p w14:paraId="7809A88F" w14:textId="51DB1973"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22</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1</w:t>
            </w:r>
          </w:p>
        </w:tc>
        <w:tc>
          <w:tcPr>
            <w:tcW w:w="1921" w:type="dxa"/>
            <w:vAlign w:val="center"/>
          </w:tcPr>
          <w:p w14:paraId="25947C86" w14:textId="5D6C24C5"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-8</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9</w:t>
            </w:r>
          </w:p>
        </w:tc>
        <w:tc>
          <w:tcPr>
            <w:tcW w:w="1921" w:type="dxa"/>
            <w:vAlign w:val="center"/>
          </w:tcPr>
          <w:p w14:paraId="4C79DCD9" w14:textId="18CB8B29"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2</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4</w:t>
            </w:r>
          </w:p>
        </w:tc>
        <w:tc>
          <w:tcPr>
            <w:tcW w:w="1921" w:type="dxa"/>
            <w:vAlign w:val="center"/>
          </w:tcPr>
          <w:p w14:paraId="7A1A4533" w14:textId="53A66575"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-10</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2</w:t>
            </w:r>
          </w:p>
        </w:tc>
      </w:tr>
      <w:tr w:rsidR="00526E61" w:rsidRPr="0043458F" w14:paraId="5A14454A" w14:textId="77777777" w:rsidTr="0024011C">
        <w:trPr>
          <w:trHeight w:val="300"/>
        </w:trPr>
        <w:tc>
          <w:tcPr>
            <w:tcW w:w="1135" w:type="dxa"/>
            <w:vMerge/>
          </w:tcPr>
          <w:p w14:paraId="4B089FBB" w14:textId="77777777" w:rsidR="00526E61" w:rsidRPr="0043458F" w:rsidRDefault="00526E61" w:rsidP="00526E61">
            <w:pPr>
              <w:rPr>
                <w:rFonts w:ascii="Times New Roman" w:eastAsia="Times New Roman" w:hAnsi="Times New Roman" w:cs="Times New Roman"/>
                <w:color w:val="000000"/>
                <w:sz w:val="20"/>
                <w:szCs w:val="20"/>
                <w:lang w:eastAsia="es-ES"/>
              </w:rPr>
            </w:pPr>
          </w:p>
        </w:tc>
        <w:tc>
          <w:tcPr>
            <w:tcW w:w="1135" w:type="dxa"/>
          </w:tcPr>
          <w:p w14:paraId="24E4B668" w14:textId="3A5B2B44" w:rsidR="00526E61" w:rsidRPr="0043458F" w:rsidRDefault="00526E61" w:rsidP="00526E61">
            <w:pP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Spain</w:t>
            </w:r>
          </w:p>
        </w:tc>
        <w:tc>
          <w:tcPr>
            <w:tcW w:w="1920" w:type="dxa"/>
            <w:vAlign w:val="center"/>
          </w:tcPr>
          <w:p w14:paraId="753675B7" w14:textId="318F10DF"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7</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2</w:t>
            </w:r>
          </w:p>
        </w:tc>
        <w:tc>
          <w:tcPr>
            <w:tcW w:w="1921" w:type="dxa"/>
            <w:vAlign w:val="center"/>
          </w:tcPr>
          <w:p w14:paraId="454EE7B0" w14:textId="58870CE8"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94</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6</w:t>
            </w:r>
          </w:p>
        </w:tc>
        <w:tc>
          <w:tcPr>
            <w:tcW w:w="1921" w:type="dxa"/>
            <w:vAlign w:val="center"/>
          </w:tcPr>
          <w:p w14:paraId="7F1B2EAA" w14:textId="50070E93"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31</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8</w:t>
            </w:r>
          </w:p>
        </w:tc>
        <w:tc>
          <w:tcPr>
            <w:tcW w:w="1920" w:type="dxa"/>
            <w:vAlign w:val="center"/>
          </w:tcPr>
          <w:p w14:paraId="50DA26E5" w14:textId="39C705A1"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-8</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6</w:t>
            </w:r>
          </w:p>
        </w:tc>
        <w:tc>
          <w:tcPr>
            <w:tcW w:w="1921" w:type="dxa"/>
            <w:vAlign w:val="center"/>
          </w:tcPr>
          <w:p w14:paraId="5C12F1D6" w14:textId="232FBE5E"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4</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8</w:t>
            </w:r>
          </w:p>
        </w:tc>
        <w:tc>
          <w:tcPr>
            <w:tcW w:w="1921" w:type="dxa"/>
            <w:vAlign w:val="center"/>
          </w:tcPr>
          <w:p w14:paraId="5DD485FE" w14:textId="79A6DD8F"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3</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2</w:t>
            </w:r>
          </w:p>
        </w:tc>
        <w:tc>
          <w:tcPr>
            <w:tcW w:w="1921" w:type="dxa"/>
            <w:vAlign w:val="center"/>
          </w:tcPr>
          <w:p w14:paraId="3D2546A7" w14:textId="118EA6BF"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0</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7</w:t>
            </w:r>
          </w:p>
        </w:tc>
      </w:tr>
      <w:tr w:rsidR="00526E61" w:rsidRPr="0043458F" w14:paraId="40B8AD9B" w14:textId="77777777" w:rsidTr="0024011C">
        <w:trPr>
          <w:trHeight w:val="300"/>
        </w:trPr>
        <w:tc>
          <w:tcPr>
            <w:tcW w:w="1135" w:type="dxa"/>
            <w:vMerge/>
          </w:tcPr>
          <w:p w14:paraId="219F4134" w14:textId="77777777" w:rsidR="00526E61" w:rsidRPr="0043458F" w:rsidRDefault="00526E61" w:rsidP="00526E61">
            <w:pPr>
              <w:rPr>
                <w:rFonts w:ascii="Times New Roman" w:eastAsia="Times New Roman" w:hAnsi="Times New Roman" w:cs="Times New Roman"/>
                <w:color w:val="000000"/>
                <w:sz w:val="20"/>
                <w:szCs w:val="20"/>
                <w:lang w:eastAsia="es-ES"/>
              </w:rPr>
            </w:pPr>
          </w:p>
        </w:tc>
        <w:tc>
          <w:tcPr>
            <w:tcW w:w="1135" w:type="dxa"/>
          </w:tcPr>
          <w:p w14:paraId="759531B1" w14:textId="5697B17C" w:rsidR="00526E61" w:rsidRPr="0043458F" w:rsidRDefault="00526E61" w:rsidP="00526E61">
            <w:pPr>
              <w:rPr>
                <w:rFonts w:ascii="Times New Roman" w:eastAsia="Times New Roman" w:hAnsi="Times New Roman" w:cs="Times New Roman"/>
                <w:color w:val="000000"/>
                <w:sz w:val="20"/>
                <w:szCs w:val="20"/>
                <w:lang w:eastAsia="es-ES"/>
              </w:rPr>
            </w:pPr>
            <w:r w:rsidRPr="0043458F">
              <w:rPr>
                <w:rFonts w:ascii="Times New Roman" w:eastAsia="Times New Roman" w:hAnsi="Times New Roman" w:cs="Times New Roman"/>
                <w:color w:val="000000"/>
                <w:sz w:val="20"/>
                <w:szCs w:val="20"/>
                <w:lang w:eastAsia="es-ES"/>
              </w:rPr>
              <w:t>Sweden</w:t>
            </w:r>
          </w:p>
        </w:tc>
        <w:tc>
          <w:tcPr>
            <w:tcW w:w="1920" w:type="dxa"/>
            <w:vAlign w:val="center"/>
          </w:tcPr>
          <w:p w14:paraId="77A05047" w14:textId="289FA12A"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13</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8</w:t>
            </w:r>
          </w:p>
        </w:tc>
        <w:tc>
          <w:tcPr>
            <w:tcW w:w="1921" w:type="dxa"/>
            <w:vAlign w:val="center"/>
          </w:tcPr>
          <w:p w14:paraId="5C34B318" w14:textId="0EF68F71"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79</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1</w:t>
            </w:r>
          </w:p>
        </w:tc>
        <w:tc>
          <w:tcPr>
            <w:tcW w:w="1921" w:type="dxa"/>
            <w:vAlign w:val="center"/>
          </w:tcPr>
          <w:p w14:paraId="6CC790EF" w14:textId="23E9AAF5"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43</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9</w:t>
            </w:r>
          </w:p>
        </w:tc>
        <w:tc>
          <w:tcPr>
            <w:tcW w:w="1920" w:type="dxa"/>
            <w:vAlign w:val="center"/>
          </w:tcPr>
          <w:p w14:paraId="3F100C46" w14:textId="565048BA"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-1</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7</w:t>
            </w:r>
          </w:p>
        </w:tc>
        <w:tc>
          <w:tcPr>
            <w:tcW w:w="1921" w:type="dxa"/>
            <w:vAlign w:val="center"/>
          </w:tcPr>
          <w:p w14:paraId="65B39F30" w14:textId="6102EB99"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23</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5</w:t>
            </w:r>
          </w:p>
        </w:tc>
        <w:tc>
          <w:tcPr>
            <w:tcW w:w="1921" w:type="dxa"/>
            <w:vAlign w:val="center"/>
          </w:tcPr>
          <w:p w14:paraId="36EED266" w14:textId="4815393A"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2</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2</w:t>
            </w:r>
          </w:p>
        </w:tc>
        <w:tc>
          <w:tcPr>
            <w:tcW w:w="1921" w:type="dxa"/>
            <w:vAlign w:val="center"/>
          </w:tcPr>
          <w:p w14:paraId="030A645B" w14:textId="71414E71" w:rsidR="00526E61" w:rsidRPr="0043458F" w:rsidRDefault="00526E61" w:rsidP="00526E61">
            <w:pPr>
              <w:jc w:val="center"/>
              <w:rPr>
                <w:rFonts w:ascii="Times New Roman" w:eastAsia="Times New Roman" w:hAnsi="Times New Roman" w:cs="Times New Roman"/>
                <w:color w:val="000000"/>
                <w:sz w:val="20"/>
                <w:szCs w:val="20"/>
                <w:lang w:eastAsia="es-ES"/>
              </w:rPr>
            </w:pPr>
            <w:r w:rsidRPr="00934EE4">
              <w:rPr>
                <w:rFonts w:ascii="Times New Roman" w:eastAsia="Times New Roman" w:hAnsi="Times New Roman" w:cs="Times New Roman"/>
                <w:color w:val="000000"/>
                <w:sz w:val="20"/>
                <w:szCs w:val="20"/>
                <w:lang w:eastAsia="es-ES"/>
              </w:rPr>
              <w:t>-3</w:t>
            </w:r>
            <w:r w:rsidR="002D153F">
              <w:rPr>
                <w:rFonts w:ascii="Times New Roman" w:eastAsia="Times New Roman" w:hAnsi="Times New Roman" w:cs="Times New Roman"/>
                <w:color w:val="000000"/>
                <w:sz w:val="20"/>
                <w:szCs w:val="20"/>
                <w:lang w:eastAsia="es-ES"/>
              </w:rPr>
              <w:t>.</w:t>
            </w:r>
            <w:r w:rsidRPr="00934EE4">
              <w:rPr>
                <w:rFonts w:ascii="Times New Roman" w:eastAsia="Times New Roman" w:hAnsi="Times New Roman" w:cs="Times New Roman"/>
                <w:color w:val="000000"/>
                <w:sz w:val="20"/>
                <w:szCs w:val="20"/>
                <w:lang w:eastAsia="es-ES"/>
              </w:rPr>
              <w:t>3</w:t>
            </w:r>
          </w:p>
        </w:tc>
      </w:tr>
    </w:tbl>
    <w:p w14:paraId="094576AC" w14:textId="77777777" w:rsidR="00CA6C72" w:rsidRDefault="00CA6C72" w:rsidP="009D1C85">
      <w:pPr>
        <w:spacing w:after="0" w:line="240" w:lineRule="auto"/>
        <w:rPr>
          <w:rFonts w:ascii="Times New Roman" w:eastAsia="Times New Roman" w:hAnsi="Times New Roman"/>
          <w:sz w:val="20"/>
          <w:szCs w:val="20"/>
          <w:lang w:val="en-GB"/>
        </w:rPr>
      </w:pPr>
    </w:p>
    <w:p w14:paraId="35785BF0" w14:textId="77777777" w:rsidR="00BE7000" w:rsidRDefault="00BE7000" w:rsidP="009D1C85">
      <w:pPr>
        <w:spacing w:after="0" w:line="240" w:lineRule="auto"/>
        <w:rPr>
          <w:rFonts w:ascii="Times New Roman" w:eastAsia="Times New Roman" w:hAnsi="Times New Roman"/>
          <w:sz w:val="20"/>
          <w:szCs w:val="20"/>
          <w:lang w:val="en-GB"/>
        </w:rPr>
        <w:sectPr w:rsidR="00BE7000" w:rsidSect="00CA6C72">
          <w:pgSz w:w="16838" w:h="11906" w:orient="landscape"/>
          <w:pgMar w:top="1440" w:right="1440" w:bottom="1440" w:left="1440" w:header="720" w:footer="720" w:gutter="0"/>
          <w:cols w:space="720"/>
          <w:docGrid w:linePitch="360"/>
        </w:sectPr>
      </w:pPr>
    </w:p>
    <w:p w14:paraId="4BB79C64" w14:textId="4E4CD25D" w:rsidR="00F54E4F" w:rsidRDefault="2E97A571" w:rsidP="00CD31A9">
      <w:pPr>
        <w:spacing w:line="259" w:lineRule="auto"/>
        <w:jc w:val="both"/>
        <w:rPr>
          <w:rFonts w:ascii="Times New Roman" w:eastAsia="Times New Roman" w:hAnsi="Times New Roman" w:cs="Times New Roman"/>
          <w:sz w:val="20"/>
          <w:szCs w:val="20"/>
          <w:lang w:val="en-GB"/>
        </w:rPr>
      </w:pPr>
      <w:r w:rsidRPr="5340E4F9">
        <w:rPr>
          <w:rFonts w:ascii="Times New Roman" w:eastAsia="Times New Roman" w:hAnsi="Times New Roman" w:cs="Times New Roman"/>
          <w:sz w:val="20"/>
          <w:szCs w:val="20"/>
          <w:lang w:val="en-GB"/>
        </w:rPr>
        <w:lastRenderedPageBreak/>
        <w:t>The analysis of socio-economic and health disparities between immigrants and natives reveals critical trends across European countries before and after the COVID-19 pandemic. One notable finding is the overall reduction in the unemployment gap in most countries. For instance, in Belgium, the gap decreased from 9.6 percentage points in 2019 to 6.9 in 2023, while in Spain</w:t>
      </w:r>
      <w:r w:rsidR="003405F4">
        <w:rPr>
          <w:rFonts w:ascii="Times New Roman" w:eastAsia="Times New Roman" w:hAnsi="Times New Roman" w:cs="Times New Roman"/>
          <w:sz w:val="20"/>
          <w:szCs w:val="20"/>
          <w:lang w:val="en-GB"/>
        </w:rPr>
        <w:t>,</w:t>
      </w:r>
      <w:r w:rsidRPr="5340E4F9">
        <w:rPr>
          <w:rFonts w:ascii="Times New Roman" w:eastAsia="Times New Roman" w:hAnsi="Times New Roman" w:cs="Times New Roman"/>
          <w:sz w:val="20"/>
          <w:szCs w:val="20"/>
          <w:lang w:val="en-GB"/>
        </w:rPr>
        <w:t xml:space="preserve"> it fell from 7.2 </w:t>
      </w:r>
      <w:r w:rsidRPr="00CD31A9">
        <w:rPr>
          <w:rFonts w:ascii="Times New Roman" w:eastAsia="Times New Roman" w:hAnsi="Times New Roman" w:cs="Times New Roman"/>
          <w:color w:val="000000" w:themeColor="text1"/>
          <w:sz w:val="20"/>
          <w:szCs w:val="20"/>
          <w:lang w:val="en-GB"/>
        </w:rPr>
        <w:t>to</w:t>
      </w:r>
      <w:r w:rsidRPr="5340E4F9">
        <w:rPr>
          <w:rFonts w:ascii="Times New Roman" w:eastAsia="Times New Roman" w:hAnsi="Times New Roman" w:cs="Times New Roman"/>
          <w:sz w:val="20"/>
          <w:szCs w:val="20"/>
          <w:lang w:val="en-GB"/>
        </w:rPr>
        <w:t xml:space="preserve"> 6.2. This suggests improvements in the integration of immigrants into the </w:t>
      </w:r>
      <w:r w:rsidR="00424FF1">
        <w:rPr>
          <w:rFonts w:ascii="Times New Roman" w:eastAsia="Times New Roman" w:hAnsi="Times New Roman" w:cs="Times New Roman"/>
          <w:sz w:val="20"/>
          <w:szCs w:val="20"/>
          <w:lang w:val="en-GB"/>
        </w:rPr>
        <w:t>labour</w:t>
      </w:r>
      <w:r w:rsidRPr="5340E4F9">
        <w:rPr>
          <w:rFonts w:ascii="Times New Roman" w:eastAsia="Times New Roman" w:hAnsi="Times New Roman" w:cs="Times New Roman"/>
          <w:sz w:val="20"/>
          <w:szCs w:val="20"/>
          <w:lang w:val="en-GB"/>
        </w:rPr>
        <w:t xml:space="preserve"> market during the recovery period following the pandemic</w:t>
      </w:r>
      <w:r w:rsidR="008922B1">
        <w:rPr>
          <w:rFonts w:ascii="Times New Roman" w:eastAsia="Times New Roman" w:hAnsi="Times New Roman" w:cs="Times New Roman"/>
          <w:sz w:val="20"/>
          <w:szCs w:val="20"/>
          <w:lang w:val="en-GB"/>
        </w:rPr>
        <w:t xml:space="preserve"> </w:t>
      </w:r>
      <w:r w:rsidR="001B2744">
        <w:rPr>
          <w:rFonts w:ascii="Times New Roman" w:eastAsia="Times New Roman" w:hAnsi="Times New Roman" w:cs="Times New Roman"/>
          <w:sz w:val="20"/>
          <w:szCs w:val="20"/>
          <w:lang w:val="en-GB"/>
        </w:rPr>
        <w:t>and contradict</w:t>
      </w:r>
      <w:r w:rsidR="00F54E4F">
        <w:rPr>
          <w:rFonts w:ascii="Times New Roman" w:eastAsia="Times New Roman" w:hAnsi="Times New Roman" w:cs="Times New Roman"/>
          <w:sz w:val="20"/>
          <w:szCs w:val="20"/>
          <w:lang w:val="en-GB"/>
        </w:rPr>
        <w:t>ing</w:t>
      </w:r>
      <w:r w:rsidR="005D0964">
        <w:rPr>
          <w:rFonts w:ascii="Times New Roman" w:eastAsia="Times New Roman" w:hAnsi="Times New Roman" w:cs="Times New Roman"/>
          <w:sz w:val="20"/>
          <w:szCs w:val="20"/>
          <w:lang w:val="en-GB"/>
        </w:rPr>
        <w:t xml:space="preserve"> pesimistic predictions of </w:t>
      </w:r>
      <w:r w:rsidR="003B2203">
        <w:rPr>
          <w:rFonts w:ascii="Times New Roman" w:eastAsia="Times New Roman" w:hAnsi="Times New Roman" w:cs="Times New Roman"/>
          <w:sz w:val="20"/>
          <w:szCs w:val="20"/>
          <w:lang w:val="en-GB"/>
        </w:rPr>
        <w:t>immigrants’</w:t>
      </w:r>
      <w:r w:rsidR="005D0964">
        <w:rPr>
          <w:rFonts w:ascii="Times New Roman" w:eastAsia="Times New Roman" w:hAnsi="Times New Roman" w:cs="Times New Roman"/>
          <w:sz w:val="20"/>
          <w:szCs w:val="20"/>
          <w:lang w:val="en-GB"/>
        </w:rPr>
        <w:t xml:space="preserve"> exposure to employment ris</w:t>
      </w:r>
      <w:r w:rsidR="003B2203">
        <w:rPr>
          <w:rFonts w:ascii="Times New Roman" w:eastAsia="Times New Roman" w:hAnsi="Times New Roman" w:cs="Times New Roman"/>
          <w:sz w:val="20"/>
          <w:szCs w:val="20"/>
          <w:lang w:val="en-GB"/>
        </w:rPr>
        <w:t xml:space="preserve">k </w:t>
      </w:r>
      <w:r w:rsidR="003A1668">
        <w:rPr>
          <w:rFonts w:ascii="Times New Roman" w:eastAsia="Times New Roman" w:hAnsi="Times New Roman" w:cs="Times New Roman"/>
          <w:sz w:val="20"/>
          <w:szCs w:val="20"/>
          <w:lang w:val="en-GB"/>
        </w:rPr>
        <w:fldChar w:fldCharType="begin" w:fldLock="1"/>
      </w:r>
      <w:r w:rsidR="003A1668">
        <w:rPr>
          <w:rFonts w:ascii="Times New Roman" w:eastAsia="Times New Roman" w:hAnsi="Times New Roman" w:cs="Times New Roman"/>
          <w:sz w:val="20"/>
          <w:szCs w:val="20"/>
          <w:lang w:val="en-GB"/>
        </w:rPr>
        <w:instrText>ADDIN CSL_CITATION {"citationItems":[{"id":"ITEM-1","itemData":{"DOI":"10.1177/00197939231173676","ISSN":"2162271X","abstract":"This article provides the first systematic assessment of the impact of COVID-19 on the labor market for immigrant workers in Europe. The authors estimate that in 2020 extra-EU migrants were twice as likely and EU migrants were 1.6 times as likely to experience employment loss relative to comparable natives. To understand the determinants of these large gaps, the article focuses on three job characteristics—essentiality, temporariness, and teleworkability—and documents that migrants were overrepresented among essential, temporary, and low-teleworkable occupations at the onset of the pandemic. The authors estimate that pre-pandemic occupational sorting accounts for 25 to 35% of the explained migrant–native gap in the risk of employment termination, while sorting into industries accounts for the rest of the explained gap. More than half of this gap remains unexplained. Although major employment losses were averted thanks to the massive use of short-time work programs in Europe, migrant workers—particularly extra-EU migrants—suffered from high economic vulnerability during the pandemic.","author":[{"dropping-particle":"","family":"Fasani","given":"Francesco","non-dropping-particle":"","parse-names":false,"suffix":""},{"dropping-particle":"","family":"Mazza","given":"Jacopo","non-dropping-particle":"","parse-names":false,"suffix":""}],"container-title":"ILR Review","id":"ITEM-1","issue":"5","issued":{"date-parts":[["2023"]]},"page":"890-918","title":"Being on the Frontline? Immigrant Workers in Europe and the COVID-19 Pandemic","type":"article-journal","volume":"76"},"uris":["http://www.mendeley.com/documents/?uuid=d4a29599-7956-4483-852a-14ad9fd782cb"]}],"mendeley":{"formattedCitation":"(Fasani &amp; Mazza, 2023)","plainTextFormattedCitation":"(Fasani &amp; Mazza, 2023)","previouslyFormattedCitation":"(Fasani &amp; Mazza, 2023)"},"properties":{"noteIndex":0},"schema":"https://github.com/citation-style-language/schema/raw/master/csl-citation.json"}</w:instrText>
      </w:r>
      <w:r w:rsidR="003A1668">
        <w:rPr>
          <w:rFonts w:ascii="Times New Roman" w:eastAsia="Times New Roman" w:hAnsi="Times New Roman" w:cs="Times New Roman"/>
          <w:sz w:val="20"/>
          <w:szCs w:val="20"/>
          <w:lang w:val="en-GB"/>
        </w:rPr>
        <w:fldChar w:fldCharType="separate"/>
      </w:r>
      <w:r w:rsidR="003A1668" w:rsidRPr="003A1668">
        <w:rPr>
          <w:rFonts w:ascii="Times New Roman" w:eastAsia="Times New Roman" w:hAnsi="Times New Roman" w:cs="Times New Roman"/>
          <w:noProof/>
          <w:sz w:val="20"/>
          <w:szCs w:val="20"/>
          <w:lang w:val="en-GB"/>
        </w:rPr>
        <w:t>(Fasani &amp; Mazza, 2023)</w:t>
      </w:r>
      <w:r w:rsidR="003A1668">
        <w:rPr>
          <w:rFonts w:ascii="Times New Roman" w:eastAsia="Times New Roman" w:hAnsi="Times New Roman" w:cs="Times New Roman"/>
          <w:sz w:val="20"/>
          <w:szCs w:val="20"/>
          <w:lang w:val="en-GB"/>
        </w:rPr>
        <w:fldChar w:fldCharType="end"/>
      </w:r>
      <w:r w:rsidR="00F54E4F">
        <w:rPr>
          <w:rFonts w:ascii="Times New Roman" w:eastAsia="Times New Roman" w:hAnsi="Times New Roman" w:cs="Times New Roman"/>
          <w:sz w:val="20"/>
          <w:szCs w:val="20"/>
          <w:lang w:val="en-GB"/>
        </w:rPr>
        <w:t>.</w:t>
      </w:r>
    </w:p>
    <w:p w14:paraId="4BC9D679" w14:textId="78EA640F" w:rsidR="00CA6C72" w:rsidRDefault="2E97A571" w:rsidP="00CD31A9">
      <w:pPr>
        <w:spacing w:line="259" w:lineRule="auto"/>
        <w:jc w:val="both"/>
        <w:rPr>
          <w:rFonts w:ascii="Times New Roman" w:eastAsia="Times New Roman" w:hAnsi="Times New Roman" w:cs="Times New Roman"/>
          <w:sz w:val="20"/>
          <w:szCs w:val="20"/>
          <w:lang w:val="en-GB"/>
        </w:rPr>
      </w:pPr>
      <w:r w:rsidRPr="5340E4F9">
        <w:rPr>
          <w:rFonts w:ascii="Times New Roman" w:eastAsia="Times New Roman" w:hAnsi="Times New Roman" w:cs="Times New Roman"/>
          <w:sz w:val="20"/>
          <w:szCs w:val="20"/>
          <w:lang w:val="en-GB"/>
        </w:rPr>
        <w:t xml:space="preserve">In terms of income, the relative earnings of immigrants compared to natives deteriorated in </w:t>
      </w:r>
      <w:r w:rsidR="00294667">
        <w:rPr>
          <w:rFonts w:ascii="Times New Roman" w:eastAsia="Times New Roman" w:hAnsi="Times New Roman" w:cs="Times New Roman"/>
          <w:sz w:val="20"/>
          <w:szCs w:val="20"/>
          <w:lang w:val="en-GB"/>
        </w:rPr>
        <w:t>most</w:t>
      </w:r>
      <w:r w:rsidRPr="5340E4F9">
        <w:rPr>
          <w:rFonts w:ascii="Times New Roman" w:eastAsia="Times New Roman" w:hAnsi="Times New Roman" w:cs="Times New Roman"/>
          <w:sz w:val="20"/>
          <w:szCs w:val="20"/>
          <w:lang w:val="en-GB"/>
        </w:rPr>
        <w:t xml:space="preserve"> countries</w:t>
      </w:r>
      <w:r w:rsidR="00294667">
        <w:rPr>
          <w:rFonts w:ascii="Times New Roman" w:eastAsia="Times New Roman" w:hAnsi="Times New Roman" w:cs="Times New Roman"/>
          <w:sz w:val="20"/>
          <w:szCs w:val="20"/>
          <w:lang w:val="en-GB"/>
        </w:rPr>
        <w:t xml:space="preserve"> (with the exception of </w:t>
      </w:r>
      <w:r w:rsidR="00C673D7">
        <w:rPr>
          <w:rFonts w:ascii="Times New Roman" w:eastAsia="Times New Roman" w:hAnsi="Times New Roman" w:cs="Times New Roman"/>
          <w:sz w:val="20"/>
          <w:szCs w:val="20"/>
          <w:lang w:val="en-GB"/>
        </w:rPr>
        <w:t>France and Italy, which remained practically equal)</w:t>
      </w:r>
      <w:r w:rsidRPr="5340E4F9">
        <w:rPr>
          <w:rFonts w:ascii="Times New Roman" w:eastAsia="Times New Roman" w:hAnsi="Times New Roman" w:cs="Times New Roman"/>
          <w:sz w:val="20"/>
          <w:szCs w:val="20"/>
          <w:lang w:val="en-GB"/>
        </w:rPr>
        <w:t>. This growing disparity reflects the compounded socio-</w:t>
      </w:r>
      <w:r w:rsidRPr="00CD31A9">
        <w:rPr>
          <w:rFonts w:ascii="Times New Roman" w:eastAsia="Times New Roman" w:hAnsi="Times New Roman" w:cs="Times New Roman"/>
          <w:color w:val="000000" w:themeColor="text1"/>
          <w:sz w:val="20"/>
          <w:szCs w:val="20"/>
          <w:lang w:val="en-GB"/>
        </w:rPr>
        <w:t>economic</w:t>
      </w:r>
      <w:r w:rsidRPr="5340E4F9">
        <w:rPr>
          <w:rFonts w:ascii="Times New Roman" w:eastAsia="Times New Roman" w:hAnsi="Times New Roman" w:cs="Times New Roman"/>
          <w:sz w:val="20"/>
          <w:szCs w:val="20"/>
          <w:lang w:val="en-GB"/>
        </w:rPr>
        <w:t xml:space="preserve"> vulnerabilities of immigrant groups during the pandemic, as noted by </w:t>
      </w:r>
      <w:r w:rsidR="00FB1960">
        <w:rPr>
          <w:rFonts w:ascii="Times New Roman" w:eastAsia="Times New Roman" w:hAnsi="Times New Roman" w:cs="Times New Roman"/>
          <w:sz w:val="20"/>
          <w:szCs w:val="20"/>
          <w:lang w:val="en-GB"/>
        </w:rPr>
        <w:t xml:space="preserve">Dossche </w:t>
      </w:r>
      <w:r w:rsidR="003405F4">
        <w:rPr>
          <w:rFonts w:ascii="Times New Roman" w:eastAsia="Times New Roman" w:hAnsi="Times New Roman" w:cs="Times New Roman"/>
          <w:sz w:val="20"/>
          <w:szCs w:val="20"/>
          <w:lang w:val="en-GB"/>
        </w:rPr>
        <w:t>et al.</w:t>
      </w:r>
      <w:r w:rsidR="00FB1960">
        <w:rPr>
          <w:rFonts w:ascii="Times New Roman" w:eastAsia="Times New Roman" w:hAnsi="Times New Roman" w:cs="Times New Roman"/>
          <w:sz w:val="20"/>
          <w:szCs w:val="20"/>
          <w:lang w:val="en-GB"/>
        </w:rPr>
        <w:t xml:space="preserve"> (</w:t>
      </w:r>
      <w:r w:rsidR="003A1668">
        <w:rPr>
          <w:rFonts w:ascii="Times New Roman" w:eastAsia="Times New Roman" w:hAnsi="Times New Roman" w:cs="Times New Roman"/>
          <w:sz w:val="20"/>
          <w:szCs w:val="20"/>
          <w:lang w:val="en-GB"/>
        </w:rPr>
        <w:fldChar w:fldCharType="begin" w:fldLock="1"/>
      </w:r>
      <w:r w:rsidR="00C941B6">
        <w:rPr>
          <w:rFonts w:ascii="Times New Roman" w:eastAsia="Times New Roman" w:hAnsi="Times New Roman" w:cs="Times New Roman"/>
          <w:sz w:val="20"/>
          <w:szCs w:val="20"/>
          <w:lang w:val="en-GB"/>
        </w:rPr>
        <w:instrText>ADDIN CSL_CITATION {"citationItems":[{"id":"ITEM-1","itemData":{"DOI":"10.2139/ssrn.4626461","abstract":"We use household surveys to describe differences in wages, income, wealth and liquid assets of households born in their country of residence (“natives”) vs. those born in other EU and non-EU countries (“immigrants”). The differences in wealth are more substantial than the differences in wages and incomes: immigrants earn on average about 30% lower wages than natives and hold roughly 60% less net wealth. For all variables, only a small fraction of differences between natives and immigrants—around 30%—can be explained by differences in demographics (age, gender, marital status, education, occupation, sector of employment). Immigrants are more likely to be liquidity constrained: while about 17% of natives can be labelled as “hand-to-mouth” (holding liquid assets worth less than two weeks of income), the corresponding share is 20% for households born in another EU country and 29% for those born outside the EU. Employment rates of immigrants are substantially more sensitive to fluctuations in aggregate employment. Monetary policy easing stimulates more strongly employment of individuals born outside the EU.","author":[{"dropping-particle":"","family":"Dossche","given":"Marteen","non-dropping-particle":"","parse-names":false,"suffix":""},{"dropping-particle":"","family":"Kolndrekaj","given":"Aleksandra","non-dropping-particle":"","parse-names":false,"suffix":""},{"dropping-particle":"","family":"Propst","given":"Maximilian","non-dropping-particle":"","parse-names":false,"suffix":""},{"dropping-particle":"","family":"Perez","given":"Javier Ramos","non-dropping-particle":"","parse-names":false,"suffix":""},{"dropping-particle":"","family":"Slacalek","given":"Jiri","non-dropping-particle":"","parse-names":false,"suffix":""}],"container-title":"SSRN Electronic Journal","id":"ITEM-1","issued":{"date-parts":[["2023"]]},"title":"Immigrants and the Distribution of Income and Wealth in the Euro Area: First Facts and Implications for Monetary Policy","type":"article-journal"},"uris":["http://www.mendeley.com/documents/?uuid=c20c8f6e-cd7f-4a0e-9139-da8e0c325403"]}],"mendeley":{"formattedCitation":"(Dossche et al., 2023)","manualFormatting":"2023","plainTextFormattedCitation":"(Dossche et al., 2023)","previouslyFormattedCitation":"(Dossche et al., 2023)"},"properties":{"noteIndex":0},"schema":"https://github.com/citation-style-language/schema/raw/master/csl-citation.json"}</w:instrText>
      </w:r>
      <w:r w:rsidR="003A1668">
        <w:rPr>
          <w:rFonts w:ascii="Times New Roman" w:eastAsia="Times New Roman" w:hAnsi="Times New Roman" w:cs="Times New Roman"/>
          <w:sz w:val="20"/>
          <w:szCs w:val="20"/>
          <w:lang w:val="en-GB"/>
        </w:rPr>
        <w:fldChar w:fldCharType="separate"/>
      </w:r>
      <w:r w:rsidR="003A1668" w:rsidRPr="003A1668">
        <w:rPr>
          <w:rFonts w:ascii="Times New Roman" w:eastAsia="Times New Roman" w:hAnsi="Times New Roman" w:cs="Times New Roman"/>
          <w:noProof/>
          <w:sz w:val="20"/>
          <w:szCs w:val="20"/>
          <w:lang w:val="en-GB"/>
        </w:rPr>
        <w:t>2023</w:t>
      </w:r>
      <w:r w:rsidR="003A1668">
        <w:rPr>
          <w:rFonts w:ascii="Times New Roman" w:eastAsia="Times New Roman" w:hAnsi="Times New Roman" w:cs="Times New Roman"/>
          <w:sz w:val="20"/>
          <w:szCs w:val="20"/>
          <w:lang w:val="en-GB"/>
        </w:rPr>
        <w:fldChar w:fldCharType="end"/>
      </w:r>
      <w:r w:rsidR="00FB1960">
        <w:rPr>
          <w:rFonts w:ascii="Times New Roman" w:eastAsia="Times New Roman" w:hAnsi="Times New Roman" w:cs="Times New Roman"/>
          <w:sz w:val="20"/>
          <w:szCs w:val="20"/>
          <w:lang w:val="en-GB"/>
        </w:rPr>
        <w:t>)</w:t>
      </w:r>
      <w:r w:rsidR="005E3D03">
        <w:rPr>
          <w:rFonts w:ascii="Times New Roman" w:eastAsia="Times New Roman" w:hAnsi="Times New Roman" w:cs="Times New Roman"/>
          <w:sz w:val="20"/>
          <w:szCs w:val="20"/>
          <w:lang w:val="en-GB"/>
        </w:rPr>
        <w:t xml:space="preserve">, </w:t>
      </w:r>
      <w:r w:rsidR="003405F4">
        <w:rPr>
          <w:rFonts w:ascii="Times New Roman" w:eastAsia="Times New Roman" w:hAnsi="Times New Roman" w:cs="Times New Roman"/>
          <w:sz w:val="20"/>
          <w:szCs w:val="20"/>
          <w:lang w:val="en-GB"/>
        </w:rPr>
        <w:t xml:space="preserve">who </w:t>
      </w:r>
      <w:r w:rsidR="005E3D03" w:rsidRPr="005E3D03">
        <w:rPr>
          <w:rFonts w:ascii="Times New Roman" w:eastAsia="Times New Roman" w:hAnsi="Times New Roman" w:cs="Times New Roman"/>
          <w:sz w:val="20"/>
          <w:szCs w:val="20"/>
          <w:lang w:val="en-GB"/>
        </w:rPr>
        <w:t xml:space="preserve">found that immigrants in the Euro area earned approximately 30% lower wages and held around 60% less net wealth compared to natives, with only a </w:t>
      </w:r>
      <w:r w:rsidR="002D3176">
        <w:rPr>
          <w:rFonts w:ascii="Times New Roman" w:eastAsia="Times New Roman" w:hAnsi="Times New Roman" w:cs="Times New Roman"/>
          <w:sz w:val="20"/>
          <w:szCs w:val="20"/>
          <w:lang w:val="en-GB"/>
        </w:rPr>
        <w:t>tiny</w:t>
      </w:r>
      <w:r w:rsidR="005E3D03" w:rsidRPr="005E3D03">
        <w:rPr>
          <w:rFonts w:ascii="Times New Roman" w:eastAsia="Times New Roman" w:hAnsi="Times New Roman" w:cs="Times New Roman"/>
          <w:sz w:val="20"/>
          <w:szCs w:val="20"/>
          <w:lang w:val="en-GB"/>
        </w:rPr>
        <w:t xml:space="preserve"> portion of this disparity explained by demographic differences</w:t>
      </w:r>
      <w:r w:rsidR="005E3D03">
        <w:rPr>
          <w:rFonts w:ascii="Times New Roman" w:eastAsia="Times New Roman" w:hAnsi="Times New Roman" w:cs="Times New Roman"/>
          <w:sz w:val="20"/>
          <w:szCs w:val="20"/>
          <w:lang w:val="en-GB"/>
        </w:rPr>
        <w:t>.</w:t>
      </w:r>
    </w:p>
    <w:p w14:paraId="1200F8A5" w14:textId="7D63D1AC" w:rsidR="00CA6C72" w:rsidRDefault="2E97A571" w:rsidP="00CD31A9">
      <w:pPr>
        <w:spacing w:line="259" w:lineRule="auto"/>
        <w:jc w:val="both"/>
        <w:rPr>
          <w:rFonts w:ascii="Times New Roman" w:eastAsia="Times New Roman" w:hAnsi="Times New Roman" w:cs="Times New Roman"/>
          <w:sz w:val="20"/>
          <w:szCs w:val="20"/>
          <w:lang w:val="en-GB"/>
        </w:rPr>
      </w:pPr>
      <w:r w:rsidRPr="5340E4F9">
        <w:rPr>
          <w:rFonts w:ascii="Times New Roman" w:eastAsia="Times New Roman" w:hAnsi="Times New Roman" w:cs="Times New Roman"/>
          <w:sz w:val="20"/>
          <w:szCs w:val="20"/>
          <w:lang w:val="en-GB"/>
        </w:rPr>
        <w:t xml:space="preserve">The risk of poverty presents a mixed picture. In Germany, the situation for immigrants worsened significantly, with the gap in poverty risk rising from 10.7 percentage points in 2019 to 27.5 in 2023. Conversely, </w:t>
      </w:r>
      <w:r w:rsidR="004E1863">
        <w:rPr>
          <w:rFonts w:ascii="Times New Roman" w:eastAsia="Times New Roman" w:hAnsi="Times New Roman" w:cs="Times New Roman"/>
          <w:sz w:val="20"/>
          <w:szCs w:val="20"/>
          <w:lang w:val="en-GB"/>
        </w:rPr>
        <w:t xml:space="preserve">Sweden </w:t>
      </w:r>
      <w:r w:rsidRPr="5340E4F9">
        <w:rPr>
          <w:rFonts w:ascii="Times New Roman" w:eastAsia="Times New Roman" w:hAnsi="Times New Roman" w:cs="Times New Roman"/>
          <w:sz w:val="20"/>
          <w:szCs w:val="20"/>
          <w:lang w:val="en-GB"/>
        </w:rPr>
        <w:t xml:space="preserve">showed an improvement, with the gap decreasing from </w:t>
      </w:r>
      <w:r w:rsidR="00B2343F">
        <w:rPr>
          <w:rFonts w:ascii="Times New Roman" w:eastAsia="Times New Roman" w:hAnsi="Times New Roman" w:cs="Times New Roman"/>
          <w:sz w:val="20"/>
          <w:szCs w:val="20"/>
          <w:lang w:val="en-GB"/>
        </w:rPr>
        <w:t>43.9</w:t>
      </w:r>
      <w:r w:rsidRPr="5340E4F9">
        <w:rPr>
          <w:rFonts w:ascii="Times New Roman" w:eastAsia="Times New Roman" w:hAnsi="Times New Roman" w:cs="Times New Roman"/>
          <w:sz w:val="20"/>
          <w:szCs w:val="20"/>
          <w:lang w:val="en-GB"/>
        </w:rPr>
        <w:t xml:space="preserve"> to </w:t>
      </w:r>
      <w:r w:rsidR="001076E2">
        <w:rPr>
          <w:rFonts w:ascii="Times New Roman" w:eastAsia="Times New Roman" w:hAnsi="Times New Roman" w:cs="Times New Roman"/>
          <w:sz w:val="20"/>
          <w:szCs w:val="20"/>
          <w:lang w:val="en-GB"/>
        </w:rPr>
        <w:t>29.5</w:t>
      </w:r>
      <w:r w:rsidRPr="5340E4F9">
        <w:rPr>
          <w:rFonts w:ascii="Times New Roman" w:eastAsia="Times New Roman" w:hAnsi="Times New Roman" w:cs="Times New Roman"/>
          <w:sz w:val="20"/>
          <w:szCs w:val="20"/>
          <w:lang w:val="en-GB"/>
        </w:rPr>
        <w:t xml:space="preserve">. This divergence is consistent with findings by </w:t>
      </w:r>
      <w:r w:rsidR="008773B9">
        <w:rPr>
          <w:rFonts w:ascii="Times New Roman" w:eastAsia="Times New Roman" w:hAnsi="Times New Roman" w:cs="Times New Roman"/>
          <w:sz w:val="20"/>
          <w:szCs w:val="20"/>
          <w:lang w:val="en-GB"/>
        </w:rPr>
        <w:t xml:space="preserve">Cantó </w:t>
      </w:r>
      <w:r w:rsidR="00DF3ABE">
        <w:rPr>
          <w:rFonts w:ascii="Times New Roman" w:eastAsia="Times New Roman" w:hAnsi="Times New Roman" w:cs="Times New Roman"/>
          <w:sz w:val="20"/>
          <w:szCs w:val="20"/>
          <w:lang w:val="en-GB"/>
        </w:rPr>
        <w:t xml:space="preserve">et al. </w:t>
      </w:r>
      <w:r w:rsidR="00C941B6">
        <w:rPr>
          <w:rFonts w:ascii="Times New Roman" w:eastAsia="Times New Roman" w:hAnsi="Times New Roman" w:cs="Times New Roman"/>
          <w:sz w:val="20"/>
          <w:szCs w:val="20"/>
          <w:lang w:val="en-GB"/>
        </w:rPr>
        <w:fldChar w:fldCharType="begin" w:fldLock="1"/>
      </w:r>
      <w:r w:rsidR="00884A6A">
        <w:rPr>
          <w:rFonts w:ascii="Times New Roman" w:eastAsia="Times New Roman" w:hAnsi="Times New Roman" w:cs="Times New Roman"/>
          <w:sz w:val="20"/>
          <w:szCs w:val="20"/>
          <w:lang w:val="en-GB"/>
        </w:rPr>
        <w:instrText>ADDIN CSL_CITATION {"citationItems":[{"id":"ITEM-1","itemData":{"DOI":"10.1111/roiw.12530","ISSN":"14754991","abstract":"This paper assesses the impact on household incomes of the COVID-19 pandemic and governments’ policy responses in April 2020 in four large and severely hit EU countries: Belgium, Italy, Spain and the UK. We provide comparative evidence on the level of relative and absolute welfare resilience at the onset of the pandemic, by creating counterfactual scenarios using the European tax-benefit model EUROMOD combined with COVID-19-related household surveys and timely labor market data. We find that income poverty increased in all countries due to the pandemic while inequality remained broadly the same. Differences in the impact of policies across countries arose from four main sources: the asymmetric dimension of the shock by country, the different protection offered by each tax-benefit system, the diverse design of discretionary measures and differences in the household level circumstances and living arrangements of individuals at risk of income loss in each country.","author":[{"dropping-particle":"","family":"Cantó","given":"Olga","non-dropping-particle":"","parse-names":false,"suffix":""},{"dropping-particle":"","family":"Figari","given":"Francesco","non-dropping-particle":"","parse-names":false,"suffix":""},{"dropping-particle":"V.","family":"Fiorio","given":"Carlo","non-dropping-particle":"","parse-names":false,"suffix":""},{"dropping-particle":"","family":"Kuypers","given":"Sarah","non-dropping-particle":"","parse-names":false,"suffix":""},{"dropping-particle":"","family":"Marchal","given":"Sarah","non-dropping-particle":"","parse-names":false,"suffix":""},{"dropping-particle":"","family":"Romaguera-de-la-Cruz","given":"Marina","non-dropping-particle":"","parse-names":false,"suffix":""},{"dropping-particle":"V.","family":"Tasseva","given":"Iva","non-dropping-particle":"","parse-names":false,"suffix":""},{"dropping-particle":"","family":"Verbist","given":"Gerlinde","non-dropping-particle":"","parse-names":false,"suffix":""}],"container-title":"Review of Income and Wealth","id":"ITEM-1","issue":"2","issued":{"date-parts":[["2022"]]},"page":"293-322","title":"Welfare Resilience at the Onset of the COVID-19 Pandemic in a Selection of European Countries: Impact on Public Finance and Household Incomes","type":"article-journal","volume":"68"},"uris":["http://www.mendeley.com/documents/?uuid=54d21e06-6c7e-49e7-ab95-604ed51ba47a"]}],"mendeley":{"formattedCitation":"(Cantó et al., 2022)","manualFormatting":"(2022)","plainTextFormattedCitation":"(Cantó et al., 2022)","previouslyFormattedCitation":"(Cantó et al., 2022)"},"properties":{"noteIndex":0},"schema":"https://github.com/citation-style-language/schema/raw/master/csl-citation.json"}</w:instrText>
      </w:r>
      <w:r w:rsidR="00C941B6">
        <w:rPr>
          <w:rFonts w:ascii="Times New Roman" w:eastAsia="Times New Roman" w:hAnsi="Times New Roman" w:cs="Times New Roman"/>
          <w:sz w:val="20"/>
          <w:szCs w:val="20"/>
          <w:lang w:val="en-GB"/>
        </w:rPr>
        <w:fldChar w:fldCharType="separate"/>
      </w:r>
      <w:r w:rsidR="00C941B6" w:rsidRPr="00C941B6">
        <w:rPr>
          <w:rFonts w:ascii="Times New Roman" w:eastAsia="Times New Roman" w:hAnsi="Times New Roman" w:cs="Times New Roman"/>
          <w:noProof/>
          <w:sz w:val="20"/>
          <w:szCs w:val="20"/>
          <w:lang w:val="en-GB"/>
        </w:rPr>
        <w:t>(2022)</w:t>
      </w:r>
      <w:r w:rsidR="00C941B6">
        <w:rPr>
          <w:rFonts w:ascii="Times New Roman" w:eastAsia="Times New Roman" w:hAnsi="Times New Roman" w:cs="Times New Roman"/>
          <w:sz w:val="20"/>
          <w:szCs w:val="20"/>
          <w:lang w:val="en-GB"/>
        </w:rPr>
        <w:fldChar w:fldCharType="end"/>
      </w:r>
      <w:r w:rsidR="00DF3ABE">
        <w:rPr>
          <w:rFonts w:ascii="Times New Roman" w:eastAsia="Times New Roman" w:hAnsi="Times New Roman" w:cs="Times New Roman"/>
          <w:sz w:val="20"/>
          <w:szCs w:val="20"/>
          <w:lang w:val="en-GB"/>
        </w:rPr>
        <w:t>, who emphasise the uneven impact of socioeconomic</w:t>
      </w:r>
      <w:r w:rsidRPr="5340E4F9">
        <w:rPr>
          <w:rFonts w:ascii="Times New Roman" w:eastAsia="Times New Roman" w:hAnsi="Times New Roman" w:cs="Times New Roman"/>
          <w:sz w:val="20"/>
          <w:szCs w:val="20"/>
          <w:lang w:val="en-GB"/>
        </w:rPr>
        <w:t xml:space="preserve"> policies on immigrant populations across different European contexts.</w:t>
      </w:r>
    </w:p>
    <w:p w14:paraId="2B8AE18F" w14:textId="71422704" w:rsidR="00CA6C72" w:rsidRDefault="2E97A571" w:rsidP="00CD31A9">
      <w:pPr>
        <w:spacing w:line="259" w:lineRule="auto"/>
        <w:jc w:val="both"/>
        <w:rPr>
          <w:rFonts w:ascii="Times New Roman" w:eastAsia="Times New Roman" w:hAnsi="Times New Roman" w:cs="Times New Roman"/>
          <w:sz w:val="20"/>
          <w:szCs w:val="20"/>
          <w:lang w:val="en-GB"/>
        </w:rPr>
      </w:pPr>
      <w:r w:rsidRPr="5340E4F9">
        <w:rPr>
          <w:rFonts w:ascii="Times New Roman" w:eastAsia="Times New Roman" w:hAnsi="Times New Roman" w:cs="Times New Roman"/>
          <w:sz w:val="20"/>
          <w:szCs w:val="20"/>
          <w:lang w:val="en-GB"/>
        </w:rPr>
        <w:t xml:space="preserve">Education disparities exhibit both progress and persistent challenges. Spain demonstrated </w:t>
      </w:r>
      <w:r w:rsidR="0068326A">
        <w:rPr>
          <w:rFonts w:ascii="Times New Roman" w:eastAsia="Times New Roman" w:hAnsi="Times New Roman" w:cs="Times New Roman"/>
          <w:sz w:val="20"/>
          <w:szCs w:val="20"/>
          <w:lang w:val="en-GB"/>
        </w:rPr>
        <w:t xml:space="preserve">a </w:t>
      </w:r>
      <w:r w:rsidRPr="5340E4F9">
        <w:rPr>
          <w:rFonts w:ascii="Times New Roman" w:eastAsia="Times New Roman" w:hAnsi="Times New Roman" w:cs="Times New Roman"/>
          <w:sz w:val="20"/>
          <w:szCs w:val="20"/>
          <w:lang w:val="en-GB"/>
        </w:rPr>
        <w:t xml:space="preserve">significant </w:t>
      </w:r>
      <w:r w:rsidR="0068326A">
        <w:rPr>
          <w:rFonts w:ascii="Times New Roman" w:eastAsia="Times New Roman" w:hAnsi="Times New Roman" w:cs="Times New Roman"/>
          <w:sz w:val="20"/>
          <w:szCs w:val="20"/>
          <w:lang w:val="en-GB"/>
        </w:rPr>
        <w:t>worsening in the gap for tertiary education, which expanded from -8.6 percentage points in 2019 to -13.9 in 2023, while it decreased in Sweden, Germany and Belgium</w:t>
      </w:r>
      <w:r w:rsidRPr="5340E4F9">
        <w:rPr>
          <w:rFonts w:ascii="Times New Roman" w:eastAsia="Times New Roman" w:hAnsi="Times New Roman" w:cs="Times New Roman"/>
          <w:sz w:val="20"/>
          <w:szCs w:val="20"/>
          <w:lang w:val="en-GB"/>
        </w:rPr>
        <w:t xml:space="preserve">. </w:t>
      </w:r>
      <w:r w:rsidR="0068326A">
        <w:rPr>
          <w:rFonts w:ascii="Times New Roman" w:eastAsia="Times New Roman" w:hAnsi="Times New Roman" w:cs="Times New Roman"/>
          <w:sz w:val="20"/>
          <w:szCs w:val="20"/>
          <w:lang w:val="en-GB"/>
        </w:rPr>
        <w:t>For its part,</w:t>
      </w:r>
      <w:r w:rsidRPr="5340E4F9">
        <w:rPr>
          <w:rFonts w:ascii="Times New Roman" w:eastAsia="Times New Roman" w:hAnsi="Times New Roman" w:cs="Times New Roman"/>
          <w:sz w:val="20"/>
          <w:szCs w:val="20"/>
          <w:lang w:val="en-GB"/>
        </w:rPr>
        <w:t xml:space="preserve"> foundational education attainment remains a concern, with primary education gaps widening in </w:t>
      </w:r>
      <w:r w:rsidR="003D53B0">
        <w:rPr>
          <w:rFonts w:ascii="Times New Roman" w:eastAsia="Times New Roman" w:hAnsi="Times New Roman" w:cs="Times New Roman"/>
          <w:sz w:val="20"/>
          <w:szCs w:val="20"/>
          <w:lang w:val="en-GB"/>
        </w:rPr>
        <w:t>all the examined countries except</w:t>
      </w:r>
      <w:r w:rsidR="007763DA">
        <w:rPr>
          <w:rFonts w:ascii="Times New Roman" w:eastAsia="Times New Roman" w:hAnsi="Times New Roman" w:cs="Times New Roman"/>
          <w:sz w:val="20"/>
          <w:szCs w:val="20"/>
          <w:lang w:val="en-GB"/>
        </w:rPr>
        <w:t xml:space="preserve"> for Italy and Sweden</w:t>
      </w:r>
      <w:r w:rsidRPr="5340E4F9">
        <w:rPr>
          <w:rFonts w:ascii="Times New Roman" w:eastAsia="Times New Roman" w:hAnsi="Times New Roman" w:cs="Times New Roman"/>
          <w:sz w:val="20"/>
          <w:szCs w:val="20"/>
          <w:lang w:val="en-GB"/>
        </w:rPr>
        <w:t xml:space="preserve">. These trends suggest that while higher education access </w:t>
      </w:r>
      <w:r w:rsidR="006D6296">
        <w:rPr>
          <w:rFonts w:ascii="Times New Roman" w:eastAsia="Times New Roman" w:hAnsi="Times New Roman" w:cs="Times New Roman"/>
          <w:sz w:val="20"/>
          <w:szCs w:val="20"/>
          <w:lang w:val="en-GB"/>
        </w:rPr>
        <w:t>may have</w:t>
      </w:r>
      <w:r w:rsidRPr="5340E4F9">
        <w:rPr>
          <w:rFonts w:ascii="Times New Roman" w:eastAsia="Times New Roman" w:hAnsi="Times New Roman" w:cs="Times New Roman"/>
          <w:sz w:val="20"/>
          <w:szCs w:val="20"/>
          <w:lang w:val="en-GB"/>
        </w:rPr>
        <w:t xml:space="preserve"> improved for some immigrant groups, systemic barriers at lower educational levels continue to impede integration, as supported by studies like </w:t>
      </w:r>
      <w:r w:rsidR="00CC5E1D">
        <w:rPr>
          <w:rFonts w:ascii="Times New Roman" w:eastAsia="Times New Roman" w:hAnsi="Times New Roman" w:cs="Times New Roman"/>
          <w:sz w:val="20"/>
          <w:szCs w:val="20"/>
          <w:lang w:val="en-GB"/>
        </w:rPr>
        <w:t>OECD</w:t>
      </w:r>
      <w:r w:rsidR="0004623B">
        <w:rPr>
          <w:rFonts w:ascii="Times New Roman" w:eastAsia="Times New Roman" w:hAnsi="Times New Roman" w:cs="Times New Roman"/>
          <w:sz w:val="20"/>
          <w:szCs w:val="20"/>
          <w:lang w:val="en-GB"/>
        </w:rPr>
        <w:t xml:space="preserve"> </w:t>
      </w:r>
      <w:r w:rsidR="00884A6A">
        <w:rPr>
          <w:rFonts w:ascii="Times New Roman" w:eastAsia="Times New Roman" w:hAnsi="Times New Roman" w:cs="Times New Roman"/>
          <w:sz w:val="20"/>
          <w:szCs w:val="20"/>
          <w:lang w:val="en-GB"/>
        </w:rPr>
        <w:fldChar w:fldCharType="begin" w:fldLock="1"/>
      </w:r>
      <w:r w:rsidR="009453EB">
        <w:rPr>
          <w:rFonts w:ascii="Times New Roman" w:eastAsia="Times New Roman" w:hAnsi="Times New Roman" w:cs="Times New Roman"/>
          <w:sz w:val="20"/>
          <w:szCs w:val="20"/>
          <w:lang w:val="en-GB"/>
        </w:rPr>
        <w:instrText>ADDIN CSL_CITATION {"citationItems":[{"id":"ITEM-1","itemData":{"abstract":"| Click or tap here to enter text. MIGRATION POLICY DEBATES © OECD N°26, APRIL 2021 1 EU-wide, youth who are either themselves foreign-born or who are native-born with foreign-born parents account for one in five 15 to 34-year-olds. Their outcomes in terms of education and the labour market are well below those of their peers with native-born parents. With the COVID-19 pandemic, the gaps risk widening, posing a threat to social cohesion. This Migration Policy Debates has been prepared for the informal exchange on integration on 13 April 2021, under the Portuguese EU presidency. It summarises previous OECD work on how to strengthen the integration of youth with migrant parents. EU-wide, youth who are either themselves foreign-born or who are native-born with foreign-born parents account for one in five 15 to 34-year-olds (OECD/EU, 2018[1]). Their population share is increasing in virtually all EU countries, although the size and composition varies greatly across countries, reflecting countries' different migration histories (Figure 1). One common challenge for youth with migrant parents in most EU countries-and in marked contrast with the experiences in non-European OECD countries like Australia and Canada-are pronounced gaps vis-à-vis their peers with native-born parents in terms of education and labour market outcomes. At the same time, there has been made considerable progress in many EU countries in the decade prior to the global pandemic in closing these gaps. Key policy implications based on recent OECD work on the integration of youth with migrant parents (OECD 2020) • Use inclusive language to refer to youth with migrant parents. • Make sure all children start school on an equal footing • Provide flexible education pathways for youth born abroad • Involve immigrant parents in the education process • Reduce the concentration of disadvantaged youth with immigrant parents • Prevent school drop-out and establish second-chance programmes • Promote educational excellence and role modelling • Facilitate the school-to-work transition • Tackle discrimination and encourage diversity • Foster social integration through sports and associations • Encourage naturalisation N°26, April 2021","author":[{"dropping-particle":"","family":"OECD","given":"","non-dropping-particle":"","parse-names":false,"suffix":""}],"container-title":"Migration policy debates","id":"ITEM-1","issue":"APRIL","issued":{"date-parts":[["2021"]]},"page":"1-8","title":"How can European countries improve the integration of youth with migrant parents?","type":"article-journal","volume":"26"},"uris":["http://www.mendeley.com/documents/?uuid=acf4b4aa-4d64-4e61-846f-603f373d7741"]}],"mendeley":{"formattedCitation":"(OECD, 2021)","manualFormatting":"(2021)","plainTextFormattedCitation":"(OECD, 2021)","previouslyFormattedCitation":"(OECD, 2021)"},"properties":{"noteIndex":0},"schema":"https://github.com/citation-style-language/schema/raw/master/csl-citation.json"}</w:instrText>
      </w:r>
      <w:r w:rsidR="00884A6A">
        <w:rPr>
          <w:rFonts w:ascii="Times New Roman" w:eastAsia="Times New Roman" w:hAnsi="Times New Roman" w:cs="Times New Roman"/>
          <w:sz w:val="20"/>
          <w:szCs w:val="20"/>
          <w:lang w:val="en-GB"/>
        </w:rPr>
        <w:fldChar w:fldCharType="separate"/>
      </w:r>
      <w:r w:rsidR="00884A6A" w:rsidRPr="00884A6A">
        <w:rPr>
          <w:rFonts w:ascii="Times New Roman" w:eastAsia="Times New Roman" w:hAnsi="Times New Roman" w:cs="Times New Roman"/>
          <w:noProof/>
          <w:sz w:val="20"/>
          <w:szCs w:val="20"/>
          <w:lang w:val="en-GB"/>
        </w:rPr>
        <w:t>(2021)</w:t>
      </w:r>
      <w:r w:rsidR="00884A6A">
        <w:rPr>
          <w:rFonts w:ascii="Times New Roman" w:eastAsia="Times New Roman" w:hAnsi="Times New Roman" w:cs="Times New Roman"/>
          <w:sz w:val="20"/>
          <w:szCs w:val="20"/>
          <w:lang w:val="en-GB"/>
        </w:rPr>
        <w:fldChar w:fldCharType="end"/>
      </w:r>
      <w:r w:rsidR="00357089">
        <w:rPr>
          <w:rFonts w:ascii="Times New Roman" w:eastAsia="Times New Roman" w:hAnsi="Times New Roman" w:cs="Times New Roman"/>
          <w:sz w:val="20"/>
          <w:szCs w:val="20"/>
          <w:lang w:val="en-GB"/>
        </w:rPr>
        <w:t xml:space="preserve"> or Zimmermann </w:t>
      </w:r>
      <w:r w:rsidR="009453EB">
        <w:rPr>
          <w:rFonts w:ascii="Times New Roman" w:eastAsia="Times New Roman" w:hAnsi="Times New Roman" w:cs="Times New Roman"/>
          <w:sz w:val="20"/>
          <w:szCs w:val="20"/>
          <w:lang w:val="en-GB"/>
        </w:rPr>
        <w:fldChar w:fldCharType="begin" w:fldLock="1"/>
      </w:r>
      <w:r w:rsidR="009453EB">
        <w:rPr>
          <w:rFonts w:ascii="Times New Roman" w:eastAsia="Times New Roman" w:hAnsi="Times New Roman" w:cs="Times New Roman"/>
          <w:sz w:val="20"/>
          <w:szCs w:val="20"/>
          <w:lang w:val="en-GB"/>
        </w:rPr>
        <w:instrText>ADDIN CSL_CITATION {"citationItems":[{"id":"ITEM-1","itemData":{"author":[{"dropping-particle":"","family":"Zimmermann","given":"Markus","non-dropping-particle":"","parse-names":false,"suffix":""}],"id":"ITEM-1","issue":"156","issued":{"date-parts":[["2019"]]},"title":"Explaining gaps in educational transitions between migrant and native school leavers Discussion","type":"report"},"uris":["http://www.mendeley.com/documents/?uuid=4cbb7efd-0ef0-472e-a91a-68dfe2b49a9d"]}],"mendeley":{"formattedCitation":"(Zimmermann, 2019)","manualFormatting":"(2019)","plainTextFormattedCitation":"(Zimmermann, 2019)","previouslyFormattedCitation":"(Zimmermann, 2019)"},"properties":{"noteIndex":0},"schema":"https://github.com/citation-style-language/schema/raw/master/csl-citation.json"}</w:instrText>
      </w:r>
      <w:r w:rsidR="009453EB">
        <w:rPr>
          <w:rFonts w:ascii="Times New Roman" w:eastAsia="Times New Roman" w:hAnsi="Times New Roman" w:cs="Times New Roman"/>
          <w:sz w:val="20"/>
          <w:szCs w:val="20"/>
          <w:lang w:val="en-GB"/>
        </w:rPr>
        <w:fldChar w:fldCharType="separate"/>
      </w:r>
      <w:r w:rsidR="009453EB" w:rsidRPr="009453EB">
        <w:rPr>
          <w:rFonts w:ascii="Times New Roman" w:eastAsia="Times New Roman" w:hAnsi="Times New Roman" w:cs="Times New Roman"/>
          <w:noProof/>
          <w:sz w:val="20"/>
          <w:szCs w:val="20"/>
          <w:lang w:val="en-GB"/>
        </w:rPr>
        <w:t>(2019)</w:t>
      </w:r>
      <w:r w:rsidR="009453EB">
        <w:rPr>
          <w:rFonts w:ascii="Times New Roman" w:eastAsia="Times New Roman" w:hAnsi="Times New Roman" w:cs="Times New Roman"/>
          <w:sz w:val="20"/>
          <w:szCs w:val="20"/>
          <w:lang w:val="en-GB"/>
        </w:rPr>
        <w:fldChar w:fldCharType="end"/>
      </w:r>
      <w:r w:rsidRPr="5340E4F9">
        <w:rPr>
          <w:rFonts w:ascii="Times New Roman" w:eastAsia="Times New Roman" w:hAnsi="Times New Roman" w:cs="Times New Roman"/>
          <w:sz w:val="20"/>
          <w:szCs w:val="20"/>
          <w:lang w:val="en-GB"/>
        </w:rPr>
        <w:t xml:space="preserve">, which </w:t>
      </w:r>
      <w:r w:rsidR="002D3176">
        <w:rPr>
          <w:rFonts w:ascii="Times New Roman" w:eastAsia="Times New Roman" w:hAnsi="Times New Roman" w:cs="Times New Roman"/>
          <w:sz w:val="20"/>
          <w:szCs w:val="20"/>
          <w:lang w:val="en-GB"/>
        </w:rPr>
        <w:t>emphasise</w:t>
      </w:r>
      <w:r w:rsidRPr="5340E4F9">
        <w:rPr>
          <w:rFonts w:ascii="Times New Roman" w:eastAsia="Times New Roman" w:hAnsi="Times New Roman" w:cs="Times New Roman"/>
          <w:sz w:val="20"/>
          <w:szCs w:val="20"/>
          <w:lang w:val="en-GB"/>
        </w:rPr>
        <w:t xml:space="preserve"> the long-term implications of early educational inequalities.</w:t>
      </w:r>
    </w:p>
    <w:p w14:paraId="5167BCA3" w14:textId="007414C6" w:rsidR="003B33C4" w:rsidRPr="00511A72" w:rsidRDefault="003B33C4" w:rsidP="00CD31A9">
      <w:pPr>
        <w:spacing w:line="259" w:lineRule="auto"/>
        <w:jc w:val="both"/>
        <w:rPr>
          <w:rFonts w:ascii="Times New Roman" w:eastAsia="Times New Roman" w:hAnsi="Times New Roman" w:cs="Times New Roman"/>
          <w:sz w:val="20"/>
          <w:szCs w:val="20"/>
          <w:lang w:val="en-GB"/>
        </w:rPr>
      </w:pPr>
      <w:r w:rsidRPr="00511A72">
        <w:rPr>
          <w:rFonts w:ascii="Times New Roman" w:eastAsia="Times New Roman" w:hAnsi="Times New Roman" w:cs="Times New Roman"/>
          <w:sz w:val="20"/>
          <w:szCs w:val="20"/>
          <w:lang w:val="en-GB"/>
        </w:rPr>
        <w:t xml:space="preserve">The higher self-perceived health reported by migrants compared to natives, both before and after COVID-19, can be primarily explained by the </w:t>
      </w:r>
      <w:r w:rsidRPr="00511A72">
        <w:rPr>
          <w:rFonts w:ascii="Times New Roman" w:eastAsia="Times New Roman" w:hAnsi="Times New Roman" w:cs="Times New Roman"/>
          <w:i/>
          <w:iCs/>
          <w:sz w:val="20"/>
          <w:szCs w:val="20"/>
          <w:lang w:val="en-GB"/>
        </w:rPr>
        <w:t>healthy migrant effect</w:t>
      </w:r>
      <w:r w:rsidRPr="00511A72">
        <w:rPr>
          <w:rFonts w:ascii="Times New Roman" w:eastAsia="Times New Roman" w:hAnsi="Times New Roman" w:cs="Times New Roman"/>
          <w:sz w:val="20"/>
          <w:szCs w:val="20"/>
          <w:lang w:val="en-GB"/>
        </w:rPr>
        <w:t xml:space="preserve"> </w:t>
      </w:r>
      <w:r w:rsidR="009453EB">
        <w:rPr>
          <w:rFonts w:ascii="Times New Roman" w:eastAsia="Times New Roman" w:hAnsi="Times New Roman" w:cs="Times New Roman"/>
          <w:sz w:val="20"/>
          <w:szCs w:val="20"/>
          <w:lang w:val="en-GB"/>
        </w:rPr>
        <w:fldChar w:fldCharType="begin" w:fldLock="1"/>
      </w:r>
      <w:r w:rsidR="00B2758E">
        <w:rPr>
          <w:rFonts w:ascii="Times New Roman" w:eastAsia="Times New Roman" w:hAnsi="Times New Roman" w:cs="Times New Roman"/>
          <w:sz w:val="20"/>
          <w:szCs w:val="20"/>
          <w:lang w:val="en-GB"/>
        </w:rPr>
        <w:instrText>ADDIN CSL_CITATION {"citationItems":[{"id":"ITEM-1","itemData":{"DOI":"10.1371/journal.pgph.0000324","ISBN":"1111111111","ISSN":"27673375","abstract":"Studies of migration and health focus on a “healthy migrant effect” whereby migrants are healthier than individuals not migrating. Health selection remains the popular explanation of this phenomenon. However, studies are mixed on whether selection occurs and typically examine migrants post-departure. This study used a novel pre-migration dataset to identify which health and social domains differ between migrants and their non-migrant counterparts and their contribution to explaining variance in self-rated health by migrant status at premigration and 1-year later. Data were used from the baseline and 1-year follow-up of the Health of Philippine Emigrants Study (HoPES). We used multivariable ordinary least squares regression to examine differences in self-rated health between migrants to the U.S. and a comparable group of non-migrants at baseline (premigration) and one year later, accounting for seven domains: physical health, mental health, health behavior, demographics, socioeconomic factors and healthcare utilization, psychosocial factors, and social desirability. A migrant advantage was present for self-rated health at baseline and 1-year. Accounting for all domains, migrants reported better self-rated health compared to non-migrants both at baseline (β = 0.32; 95% CI = 0.22, 0.43) and at 1-year (β = 0.28; 95% CI = 0.10, 0.46). Migrant status, health behavior, and mental health accounted for most of the variance in self-rated health both at baseline and 1-year follow-up. This analysis provides evidence of migrant health selection and nuanced understanding to what is being captured by self-rated health in studies of migrant health that should be considered in future research.","author":[{"dropping-particle":"","family":"Bacong","given":"Adrian Matias","non-dropping-particle":"","parse-names":false,"suffix":""},{"dropping-particle":"","family":"Hing","given":"Anna K.","non-dropping-particle":"","parse-names":false,"suffix":""},{"dropping-particle":"","family":"Morey","given":"Brittany","non-dropping-particle":"","parse-names":false,"suffix":""},{"dropping-particle":"","family":"Crespi","given":"Catherine M.","non-dropping-particle":"","parse-names":false,"suffix":""},{"dropping-particle":"","family":"Kabamalan","given":"Maria Midea","non-dropping-particle":"","parse-names":false,"suffix":""},{"dropping-particle":"","family":"Lee","given":"Nanette R.","non-dropping-particle":"","parse-names":false,"suffix":""},{"dropping-particle":"","family":"Wang","given":"May C.","non-dropping-particle":"","parse-names":false,"suffix":""},{"dropping-particle":"","family":"Castro","given":"A. B.","non-dropping-particle":"de","parse-names":false,"suffix":""},{"dropping-particle":"","family":"Gee","given":"Gilbert C.","non-dropping-particle":"","parse-names":false,"suffix":""}],"container-title":"PLOS Global Public Health","id":"ITEM-1","issue":"7","issued":{"date-parts":[["2022"]]},"page":"1-23","title":"Health selection on self-rated health and the healthy migrant effect: Baseline and 1-year results from the health of Philippine Emigrants Study","type":"article-journal","volume":"2"},"uris":["http://www.mendeley.com/documents/?uuid=eea69b0a-376f-401a-b435-7952198df3d5"]}],"mendeley":{"formattedCitation":"(Bacong et al., 2022)","plainTextFormattedCitation":"(Bacong et al., 2022)","previouslyFormattedCitation":"(Bacong et al., 2022)"},"properties":{"noteIndex":0},"schema":"https://github.com/citation-style-language/schema/raw/master/csl-citation.json"}</w:instrText>
      </w:r>
      <w:r w:rsidR="009453EB">
        <w:rPr>
          <w:rFonts w:ascii="Times New Roman" w:eastAsia="Times New Roman" w:hAnsi="Times New Roman" w:cs="Times New Roman"/>
          <w:sz w:val="20"/>
          <w:szCs w:val="20"/>
          <w:lang w:val="en-GB"/>
        </w:rPr>
        <w:fldChar w:fldCharType="separate"/>
      </w:r>
      <w:r w:rsidR="009453EB" w:rsidRPr="009453EB">
        <w:rPr>
          <w:rFonts w:ascii="Times New Roman" w:eastAsia="Times New Roman" w:hAnsi="Times New Roman" w:cs="Times New Roman"/>
          <w:noProof/>
          <w:sz w:val="20"/>
          <w:szCs w:val="20"/>
          <w:lang w:val="en-GB"/>
        </w:rPr>
        <w:t>(Bacong et al., 2022)</w:t>
      </w:r>
      <w:r w:rsidR="009453EB">
        <w:rPr>
          <w:rFonts w:ascii="Times New Roman" w:eastAsia="Times New Roman" w:hAnsi="Times New Roman" w:cs="Times New Roman"/>
          <w:sz w:val="20"/>
          <w:szCs w:val="20"/>
          <w:lang w:val="en-GB"/>
        </w:rPr>
        <w:fldChar w:fldCharType="end"/>
      </w:r>
      <w:r w:rsidRPr="00511A72">
        <w:rPr>
          <w:rFonts w:ascii="Times New Roman" w:eastAsia="Times New Roman" w:hAnsi="Times New Roman" w:cs="Times New Roman"/>
          <w:sz w:val="20"/>
          <w:szCs w:val="20"/>
          <w:lang w:val="en-GB"/>
        </w:rPr>
        <w:t xml:space="preserve">, which suggests </w:t>
      </w:r>
      <w:r w:rsidR="00CB7625" w:rsidRPr="00511A72">
        <w:rPr>
          <w:rFonts w:ascii="Times New Roman" w:eastAsia="Times New Roman" w:hAnsi="Times New Roman" w:cs="Times New Roman"/>
          <w:sz w:val="20"/>
          <w:szCs w:val="20"/>
          <w:lang w:val="en-GB"/>
        </w:rPr>
        <w:t>that migration ordeal necessarily involves the departure of the strongest and healthiest individuals.</w:t>
      </w:r>
      <w:r w:rsidRPr="00511A72">
        <w:rPr>
          <w:rFonts w:ascii="Times New Roman" w:eastAsia="Times New Roman" w:hAnsi="Times New Roman" w:cs="Times New Roman"/>
          <w:sz w:val="20"/>
          <w:szCs w:val="20"/>
          <w:lang w:val="en-GB"/>
        </w:rPr>
        <w:t xml:space="preserve"> Migrant populations also tend to be younger on average, contributing to better health perceptions </w:t>
      </w:r>
      <w:r w:rsidR="00B2758E">
        <w:rPr>
          <w:rFonts w:ascii="Times New Roman" w:eastAsia="Times New Roman" w:hAnsi="Times New Roman" w:cs="Times New Roman"/>
          <w:sz w:val="20"/>
          <w:szCs w:val="20"/>
          <w:lang w:val="en-GB"/>
        </w:rPr>
        <w:fldChar w:fldCharType="begin" w:fldLock="1"/>
      </w:r>
      <w:r w:rsidR="00E07423">
        <w:rPr>
          <w:rFonts w:ascii="Times New Roman" w:eastAsia="Times New Roman" w:hAnsi="Times New Roman" w:cs="Times New Roman"/>
          <w:sz w:val="20"/>
          <w:szCs w:val="20"/>
          <w:lang w:val="en-GB"/>
        </w:rPr>
        <w:instrText>ADDIN CSL_CITATION {"citationItems":[{"id":"ITEM-1","itemData":{"DOI":"10.1371/journal.pone.0145233","ISSN":"19326203","PMID":"26684188","abstract":"Introduction As the flows of immigrant populations increase worldwide, their heterogeneity becomes apparent with respect to the differences in the prevalence of chronic physical and mental disease. Multimorbidity provides a new framework in understanding chronic diseases holistically as the consequence of environmental, social, and personal risks that contribute to increased vulnerability to a wide variety of illnesses. There is a lack of studies on multimorbidity among immigrants compared to native-born populations. Methodology This nationwide multi-register study in Norway enabled us i) to study the associations between multimorbidity and immigrant origin, accounting for other known risk factors for multimorbidity such as gender, age and socioeconomic levels using logistic regression analyses, and ii) to identify patterns of multimorbidity in Norway for immigrants and Norwegian- born by means of exploratory factor analysis technique. Results Multimorbidity rates were lower for immigrants compared to Norwegian-born individuals, with unadjusted odds ratios (OR) and 95% confidence intervals 0.38 (0.37-0.39) for Eastern Europe, 0.58 (0.57-0.59) for Asia, Africa and Latin America, and 0.67 (0.66-0.68) for Western Europe and North America. Results remained significant after adjusting for socioeconomic factors. Similar multimorbidity disease patterns were observed among Norwegianborn and immigrants, in particular between Norwegian-born and those from Western European and North American countries. However, the complexity of patterns that emerged for the other immigrant groups was greater. Despite differences observed in the development of patterns with age, such as ischemic heart disease among immigrant women, we were unable to detect the systematic development of the multimorbidity patterns among immigrants at younger ages. Conclusions Our study confirms that migrants have lower multimorbidity levels compared to Norwegianborn. The greater complexity of multimorbidity patterns for some immigrant groups requires further investigation. Health care policies and practice will require a holistic approach for specific population groups in order to meet their health needs and to curb and prevent diseases.","author":[{"dropping-particle":"","family":"Diaz","given":"Esperanza","non-dropping-particle":"","parse-names":false,"suffix":""},{"dropping-particle":"","family":"Poblador-Pou","given":"Beatriz","non-dropping-particle":"","parse-names":false,"suffix":""},{"dropping-particle":"","family":"Gimeno-Feliu","given":"Luis Andrés","non-dropping-particle":"","parse-names":false,"suffix":""},{"dropping-particle":"","family":"Calderón-Larrañaga","given":"Amaia","non-dropping-particle":"","parse-names":false,"suffix":""},{"dropping-particle":"","family":"Kumar","given":"Bernadette N.","non-dropping-particle":"","parse-names":false,"suffix":""},{"dropping-particle":"","family":"Prados-Torres","given":"Alexandra","non-dropping-particle":"","parse-names":false,"suffix":""}],"container-title":"PLoS ONE","id":"ITEM-1","issue":"12","issued":{"date-parts":[["2015"]]},"page":"1-18","title":"Multimorbidity and its patterns according to immigrant origin. A nationwide register-based study in Norway","type":"article-journal","volume":"10"},"uris":["http://www.mendeley.com/documents/?uuid=d0c94e5c-a01a-460e-ace6-d5c03752fec6"]}],"mendeley":{"formattedCitation":"(Diaz et al., 2015)","plainTextFormattedCitation":"(Diaz et al., 2015)","previouslyFormattedCitation":"(Diaz et al., 2015)"},"properties":{"noteIndex":0},"schema":"https://github.com/citation-style-language/schema/raw/master/csl-citation.json"}</w:instrText>
      </w:r>
      <w:r w:rsidR="00B2758E">
        <w:rPr>
          <w:rFonts w:ascii="Times New Roman" w:eastAsia="Times New Roman" w:hAnsi="Times New Roman" w:cs="Times New Roman"/>
          <w:sz w:val="20"/>
          <w:szCs w:val="20"/>
          <w:lang w:val="en-GB"/>
        </w:rPr>
        <w:fldChar w:fldCharType="separate"/>
      </w:r>
      <w:r w:rsidR="00B2758E" w:rsidRPr="00B2758E">
        <w:rPr>
          <w:rFonts w:ascii="Times New Roman" w:eastAsia="Times New Roman" w:hAnsi="Times New Roman" w:cs="Times New Roman"/>
          <w:noProof/>
          <w:sz w:val="20"/>
          <w:szCs w:val="20"/>
          <w:lang w:val="en-GB"/>
        </w:rPr>
        <w:t>(Diaz et al., 2015)</w:t>
      </w:r>
      <w:r w:rsidR="00B2758E">
        <w:rPr>
          <w:rFonts w:ascii="Times New Roman" w:eastAsia="Times New Roman" w:hAnsi="Times New Roman" w:cs="Times New Roman"/>
          <w:sz w:val="20"/>
          <w:szCs w:val="20"/>
          <w:lang w:val="en-GB"/>
        </w:rPr>
        <w:fldChar w:fldCharType="end"/>
      </w:r>
      <w:r w:rsidRPr="00511A72">
        <w:rPr>
          <w:rFonts w:ascii="Times New Roman" w:eastAsia="Times New Roman" w:hAnsi="Times New Roman" w:cs="Times New Roman"/>
          <w:sz w:val="20"/>
          <w:szCs w:val="20"/>
          <w:lang w:val="en-GB"/>
        </w:rPr>
        <w:t xml:space="preserve">. However, cultural norms and limited healthcare access can lead to underreporting of health issues among some migrant groups, further skewing self-perceived health measures </w:t>
      </w:r>
      <w:r w:rsidR="00E07423">
        <w:rPr>
          <w:rFonts w:ascii="Times New Roman" w:eastAsia="Times New Roman" w:hAnsi="Times New Roman" w:cs="Times New Roman"/>
          <w:sz w:val="20"/>
          <w:szCs w:val="20"/>
          <w:lang w:val="en-GB"/>
        </w:rPr>
        <w:fldChar w:fldCharType="begin" w:fldLock="1"/>
      </w:r>
      <w:r w:rsidR="00665A60">
        <w:rPr>
          <w:rFonts w:ascii="Times New Roman" w:eastAsia="Times New Roman" w:hAnsi="Times New Roman" w:cs="Times New Roman"/>
          <w:sz w:val="20"/>
          <w:szCs w:val="20"/>
          <w:lang w:val="en-GB"/>
        </w:rPr>
        <w:instrText>ADDIN CSL_CITATION {"citationItems":[{"id":"ITEM-1","itemData":{"DOI":"10.3390/ijerph16244878","ISSN":"16604601","PMID":"31817068","abstract":"Health of migrants is a widely studied topic. It has been argued that migrant health may deteriorate over time. Though migrants are a “hard to reach” population in survey data, this paper builds on a unique dataset provided by Médecins du Monde from five countries. We study self-perceived health (SPH) in connection with socio-economic and demographic factors and length of stay. Results differ for men and women. Compared to other documented migrants, asylum seekers have a 50–70% greater chance of having worse health. Migrants with better living conditions have a 57–78% chance of being in better health. Male migrants with a job have between a 82–116% chance of being in good health. The probability for women from poorer countries to have a better physical SPH after three months of residing in the host country is six-fold that of women from richer countries. This paper contributes widely to the knowledge of health of migrants. Contrary to other evidence, health of women migrants from poorer countries tends to improve with length of stay.","author":[{"dropping-particle":"","family":"Combes","given":"Simon Jean Baptiste","non-dropping-particle":"","parse-names":false,"suffix":""},{"dropping-particle":"","family":"Simonnot","given":"Nathalie","non-dropping-particle":"","parse-names":false,"suffix":""},{"dropping-particle":"","family":"Azzedine","given":"Fabienne","non-dropping-particle":"","parse-names":false,"suffix":""},{"dropping-particle":"","family":"Aznague","given":"Abdessamad","non-dropping-particle":"","parse-names":false,"suffix":""},{"dropping-particle":"","family":"Chauvin","given":"Pierre","non-dropping-particle":"","parse-names":false,"suffix":""}],"container-title":"International Journal of Environmental Research and Public Health","id":"ITEM-1","issue":"24","issued":{"date-parts":[["2019"]]},"title":"Self-perceived health among migrants seen in médecins du monde free clinics in Europe: Impact of length of stay and wealth of country of origin on migrants’ health","type":"article-journal","volume":"16"},"uris":["http://www.mendeley.com/documents/?uuid=ac0c493b-f833-466a-b93a-798608ace70d"]}],"mendeley":{"formattedCitation":"(Combes et al., 2019)","plainTextFormattedCitation":"(Combes et al., 2019)","previouslyFormattedCitation":"(Combes et al., 2019)"},"properties":{"noteIndex":0},"schema":"https://github.com/citation-style-language/schema/raw/master/csl-citation.json"}</w:instrText>
      </w:r>
      <w:r w:rsidR="00E07423">
        <w:rPr>
          <w:rFonts w:ascii="Times New Roman" w:eastAsia="Times New Roman" w:hAnsi="Times New Roman" w:cs="Times New Roman"/>
          <w:sz w:val="20"/>
          <w:szCs w:val="20"/>
          <w:lang w:val="en-GB"/>
        </w:rPr>
        <w:fldChar w:fldCharType="separate"/>
      </w:r>
      <w:r w:rsidR="00E07423" w:rsidRPr="00E07423">
        <w:rPr>
          <w:rFonts w:ascii="Times New Roman" w:eastAsia="Times New Roman" w:hAnsi="Times New Roman" w:cs="Times New Roman"/>
          <w:noProof/>
          <w:sz w:val="20"/>
          <w:szCs w:val="20"/>
          <w:lang w:val="en-GB"/>
        </w:rPr>
        <w:t>(Combes et al., 2019)</w:t>
      </w:r>
      <w:r w:rsidR="00E07423">
        <w:rPr>
          <w:rFonts w:ascii="Times New Roman" w:eastAsia="Times New Roman" w:hAnsi="Times New Roman" w:cs="Times New Roman"/>
          <w:sz w:val="20"/>
          <w:szCs w:val="20"/>
          <w:lang w:val="en-GB"/>
        </w:rPr>
        <w:fldChar w:fldCharType="end"/>
      </w:r>
      <w:r w:rsidRPr="00511A72">
        <w:rPr>
          <w:rFonts w:ascii="Times New Roman" w:eastAsia="Times New Roman" w:hAnsi="Times New Roman" w:cs="Times New Roman"/>
          <w:sz w:val="20"/>
          <w:szCs w:val="20"/>
          <w:lang w:val="en-GB"/>
        </w:rPr>
        <w:t>.</w:t>
      </w:r>
    </w:p>
    <w:p w14:paraId="13BC8E43" w14:textId="2601FF68" w:rsidR="003B33C4" w:rsidRPr="00511A72" w:rsidRDefault="003B33C4" w:rsidP="00CD31A9">
      <w:pPr>
        <w:spacing w:line="259" w:lineRule="auto"/>
        <w:jc w:val="both"/>
        <w:rPr>
          <w:rFonts w:ascii="Times New Roman" w:eastAsia="Times New Roman" w:hAnsi="Times New Roman" w:cs="Times New Roman"/>
          <w:sz w:val="20"/>
          <w:szCs w:val="20"/>
          <w:lang w:val="en-GB"/>
        </w:rPr>
      </w:pPr>
      <w:r w:rsidRPr="00511A72">
        <w:rPr>
          <w:rFonts w:ascii="Times New Roman" w:eastAsia="Times New Roman" w:hAnsi="Times New Roman" w:cs="Times New Roman"/>
          <w:sz w:val="20"/>
          <w:szCs w:val="20"/>
          <w:lang w:val="en-GB"/>
        </w:rPr>
        <w:t xml:space="preserve">While these patterns suggest better health outcomes, they may mask structural inequalities such as barriers to healthcare access and poorer working conditions, particularly evident during the COVID-19 pandemic when many migrants remained in essential jobs despite higher exposure risks </w:t>
      </w:r>
      <w:r w:rsidR="00665A60">
        <w:rPr>
          <w:rFonts w:ascii="Times New Roman" w:eastAsia="Times New Roman" w:hAnsi="Times New Roman" w:cs="Times New Roman"/>
          <w:sz w:val="20"/>
          <w:szCs w:val="20"/>
          <w:lang w:val="en-GB"/>
        </w:rPr>
        <w:fldChar w:fldCharType="begin" w:fldLock="1"/>
      </w:r>
      <w:r w:rsidR="0044350A">
        <w:rPr>
          <w:rFonts w:ascii="Times New Roman" w:eastAsia="Times New Roman" w:hAnsi="Times New Roman" w:cs="Times New Roman"/>
          <w:sz w:val="20"/>
          <w:szCs w:val="20"/>
          <w:lang w:val="en-GB"/>
        </w:rPr>
        <w:instrText>ADDIN CSL_CITATION {"citationItems":[{"id":"ITEM-1","itemData":{"DOI":"10.1007/s12134-023-01007-x","ISBN":"1213402301","ISSN":"18746365","abstract":"The Covid-19 pandemic has had a major impact on migrants and ethnic minorities (MEMs). Socio-economic factors and legal, administrative and language barriers are among the reasons for this increased susceptibility. The aim of the study is to investigate the impact of Covid-19 on MEMs compared to the general population in terms of serious outcomes. We conducted a systematic review collecting studies on the impact of Covid-19 on MEMs compared to the general population in the WHO European Region regarding hospitalisation, intensive care unit (ICU) admission and mortality, published between 01/01/2020 and 19/03/2021. Nine researchers were involved in selection, study quality assessment and data extraction. Of the 82 studies included, 15 of the 16 regarding hospitalisation for Covid-19 reported an increased risk for MEMs compared to the white and/or native population and 22 out of the 28 studies focusing on the ICU admission rates found an increased risk for MEMs. Among the 65 studies on mortality, 43 report a higher risk for MEMs. An increased risk of adverse outcomes was reported for MEMs. Social determinants of health are among the main factors involved in the genesis of health inequalities: a disadvantaged socio-economic status, a framework of structural racism and asymmetric access to healthcare are linked to increased susceptibility to the consequences of Covid-19. These findings underline the need for policymakers to consider the socio-economic barriers when designing prevention plans.","author":[{"dropping-particle":"","family":"Mazzalai","given":"Elena","non-dropping-particle":"","parse-names":false,"suffix":""},{"dropping-particle":"","family":"Giannini","given":"Dara","non-dropping-particle":"","parse-names":false,"suffix":""},{"dropping-particle":"","family":"Tosti","given":"Maria Elena","non-dropping-particle":"","parse-names":false,"suffix":""},{"dropping-particle":"","family":"D’Angelo","given":"Franca","non-dropping-particle":"","parse-names":false,"suffix":""},{"dropping-particle":"","family":"Declich","given":"Silvia","non-dropping-particle":"","parse-names":false,"suffix":""},{"dropping-particle":"","family":"Jaljaa","given":"Anissa","non-dropping-particle":"","parse-names":false,"suffix":""},{"dropping-particle":"","family":"Caminada","given":"Susanna","non-dropping-particle":"","parse-names":false,"suffix":""},{"dropping-particle":"","family":"Turatto","given":"Federica","non-dropping-particle":"","parse-names":false,"suffix":""},{"dropping-particle":"","family":"Marchi","given":"Chiara","non-dropping-particle":"De","parse-names":false,"suffix":""},{"dropping-particle":"","family":"Gatta","given":"Angela","non-dropping-particle":"","parse-names":false,"suffix":""},{"dropping-particle":"","family":"Angelozzi","given":"Aurora","non-dropping-particle":"","parse-names":false,"suffix":""},{"dropping-particle":"","family":"Marchetti","given":"Giulia","non-dropping-particle":"","parse-names":false,"suffix":""},{"dropping-particle":"","family":"Pizzarelli","given":"Scilla","non-dropping-particle":"","parse-names":false,"suffix":""},{"dropping-particle":"","family":"Marceca","given":"Maurizio","non-dropping-particle":"","parse-names":false,"suffix":""}],"container-title":"Journal of International Migration and Integration","id":"ITEM-1","issue":"3","issued":{"date-parts":[["2023"]]},"number-of-pages":"1305-1335","title":"Risk of Covid-19 Severe Outcomes and Mortality in Migrants and Ethnic Minorities Compared to the General Population in the European WHO Region: a Systematic Review","type":"book","volume":"24"},"uris":["http://www.mendeley.com/documents/?uuid=78d2962d-4b03-4c1f-961c-46282aa93254"]}],"mendeley":{"formattedCitation":"(Mazzalai et al., 2023)","plainTextFormattedCitation":"(Mazzalai et al., 2023)","previouslyFormattedCitation":"(Mazzalai et al., 2023)"},"properties":{"noteIndex":0},"schema":"https://github.com/citation-style-language/schema/raw/master/csl-citation.json"}</w:instrText>
      </w:r>
      <w:r w:rsidR="00665A60">
        <w:rPr>
          <w:rFonts w:ascii="Times New Roman" w:eastAsia="Times New Roman" w:hAnsi="Times New Roman" w:cs="Times New Roman"/>
          <w:sz w:val="20"/>
          <w:szCs w:val="20"/>
          <w:lang w:val="en-GB"/>
        </w:rPr>
        <w:fldChar w:fldCharType="separate"/>
      </w:r>
      <w:r w:rsidR="00665A60" w:rsidRPr="00665A60">
        <w:rPr>
          <w:rFonts w:ascii="Times New Roman" w:eastAsia="Times New Roman" w:hAnsi="Times New Roman" w:cs="Times New Roman"/>
          <w:noProof/>
          <w:sz w:val="20"/>
          <w:szCs w:val="20"/>
          <w:lang w:val="en-GB"/>
        </w:rPr>
        <w:t>(Mazzalai et al., 2023)</w:t>
      </w:r>
      <w:r w:rsidR="00665A60">
        <w:rPr>
          <w:rFonts w:ascii="Times New Roman" w:eastAsia="Times New Roman" w:hAnsi="Times New Roman" w:cs="Times New Roman"/>
          <w:sz w:val="20"/>
          <w:szCs w:val="20"/>
          <w:lang w:val="en-GB"/>
        </w:rPr>
        <w:fldChar w:fldCharType="end"/>
      </w:r>
      <w:r w:rsidRPr="00511A72">
        <w:rPr>
          <w:rFonts w:ascii="Times New Roman" w:eastAsia="Times New Roman" w:hAnsi="Times New Roman" w:cs="Times New Roman"/>
          <w:sz w:val="20"/>
          <w:szCs w:val="20"/>
          <w:lang w:val="en-GB"/>
        </w:rPr>
        <w:t>.</w:t>
      </w:r>
    </w:p>
    <w:p w14:paraId="1C73B3D7" w14:textId="435275F0" w:rsidR="00E177B7" w:rsidRDefault="00D44ACF" w:rsidP="00CD31A9">
      <w:pPr>
        <w:spacing w:line="259" w:lineRule="auto"/>
        <w:jc w:val="both"/>
        <w:rPr>
          <w:rFonts w:ascii="Times New Roman" w:eastAsia="Times New Roman" w:hAnsi="Times New Roman" w:cs="Times New Roman"/>
          <w:sz w:val="20"/>
          <w:szCs w:val="20"/>
          <w:lang w:val="en-GB"/>
        </w:rPr>
      </w:pPr>
      <w:r w:rsidRPr="00E34984">
        <w:rPr>
          <w:rFonts w:ascii="Times New Roman" w:eastAsia="Times New Roman" w:hAnsi="Times New Roman" w:cs="Times New Roman"/>
          <w:sz w:val="20"/>
          <w:szCs w:val="20"/>
          <w:lang w:val="en-GB"/>
        </w:rPr>
        <w:t xml:space="preserve">The analysis reveals both progress and persistent disparities in socio-economic and health outcomes between immigrants and natives in Europe before and after the COVID-19 pandemic. While unemployment gaps have narrowed in several countries, indicating improved </w:t>
      </w:r>
      <w:r w:rsidR="001C64DE">
        <w:rPr>
          <w:rFonts w:ascii="Times New Roman" w:eastAsia="Times New Roman" w:hAnsi="Times New Roman" w:cs="Times New Roman"/>
          <w:sz w:val="20"/>
          <w:szCs w:val="20"/>
          <w:lang w:val="en-GB"/>
        </w:rPr>
        <w:t>labour</w:t>
      </w:r>
      <w:r w:rsidRPr="00E34984">
        <w:rPr>
          <w:rFonts w:ascii="Times New Roman" w:eastAsia="Times New Roman" w:hAnsi="Times New Roman" w:cs="Times New Roman"/>
          <w:sz w:val="20"/>
          <w:szCs w:val="20"/>
          <w:lang w:val="en-GB"/>
        </w:rPr>
        <w:t xml:space="preserve"> market integration, income disparities have widened, reflecting continued socio-economic vulnerabilities for immigrants. Poverty risk trends remain mixed, with some countries, such as Germany, experiencing significant worsening while others, like Sweden, show improvements, </w:t>
      </w:r>
      <w:r w:rsidR="00C73AA8" w:rsidRPr="00E34984">
        <w:rPr>
          <w:rFonts w:ascii="Times New Roman" w:eastAsia="Times New Roman" w:hAnsi="Times New Roman" w:cs="Times New Roman"/>
          <w:sz w:val="20"/>
          <w:szCs w:val="20"/>
          <w:lang w:val="en-GB"/>
        </w:rPr>
        <w:t>emphasising</w:t>
      </w:r>
      <w:r w:rsidRPr="00E34984">
        <w:rPr>
          <w:rFonts w:ascii="Times New Roman" w:eastAsia="Times New Roman" w:hAnsi="Times New Roman" w:cs="Times New Roman"/>
          <w:sz w:val="20"/>
          <w:szCs w:val="20"/>
          <w:lang w:val="en-GB"/>
        </w:rPr>
        <w:t xml:space="preserve"> the uneven impact of socioeconomic policies. Educational disparities show a complex picture where tertiary education gaps have improved in some countries while foundational education gaps persist, highlighting systemic barriers at lower </w:t>
      </w:r>
      <w:r w:rsidR="00170431" w:rsidRPr="00E34984">
        <w:rPr>
          <w:rFonts w:ascii="Times New Roman" w:eastAsia="Times New Roman" w:hAnsi="Times New Roman" w:cs="Times New Roman"/>
          <w:sz w:val="20"/>
          <w:szCs w:val="20"/>
          <w:lang w:val="en-GB"/>
        </w:rPr>
        <w:t>educational</w:t>
      </w:r>
      <w:r w:rsidRPr="00E34984">
        <w:rPr>
          <w:rFonts w:ascii="Times New Roman" w:eastAsia="Times New Roman" w:hAnsi="Times New Roman" w:cs="Times New Roman"/>
          <w:sz w:val="20"/>
          <w:szCs w:val="20"/>
          <w:lang w:val="en-GB"/>
        </w:rPr>
        <w:t xml:space="preserve"> levels. Despite higher self-perceived health among migrants, structural health inequalities persist due to limited healthcare access and poorer working conditions, underscoring the need for more equitable health and social policies across Europe.</w:t>
      </w:r>
      <w:r w:rsidR="00E177B7" w:rsidRPr="00E34984">
        <w:rPr>
          <w:rFonts w:ascii="Times New Roman" w:eastAsia="Times New Roman" w:hAnsi="Times New Roman" w:cs="Times New Roman"/>
          <w:sz w:val="20"/>
          <w:szCs w:val="20"/>
          <w:lang w:val="en-GB"/>
        </w:rPr>
        <w:t xml:space="preserve"> Equitable access to education, healthcare, and economic opportunities is essential to support immigrant populations, particularly in the context of post-pandemic recovery efforts.</w:t>
      </w:r>
    </w:p>
    <w:p w14:paraId="7B58FF3D" w14:textId="77777777" w:rsidR="00CA6C72" w:rsidRDefault="00CA6C72" w:rsidP="009D1C85">
      <w:pPr>
        <w:spacing w:after="0" w:line="240" w:lineRule="auto"/>
        <w:rPr>
          <w:rFonts w:ascii="Times New Roman" w:eastAsia="Times New Roman" w:hAnsi="Times New Roman"/>
          <w:sz w:val="20"/>
          <w:szCs w:val="20"/>
          <w:lang w:val="en-GB"/>
        </w:rPr>
      </w:pPr>
    </w:p>
    <w:p w14:paraId="632D9490" w14:textId="6918B57F" w:rsidR="00C14DA6" w:rsidRDefault="00C14DA6" w:rsidP="009D1C85">
      <w:pPr>
        <w:spacing w:after="0" w:line="240" w:lineRule="auto"/>
        <w:rPr>
          <w:rFonts w:ascii="Times New Roman" w:eastAsia="Times New Roman" w:hAnsi="Times New Roman"/>
          <w:sz w:val="20"/>
          <w:szCs w:val="20"/>
          <w:lang w:val="en-GB"/>
        </w:rPr>
        <w:sectPr w:rsidR="00C14DA6" w:rsidSect="00934EE4">
          <w:pgSz w:w="11906" w:h="16838"/>
          <w:pgMar w:top="1440" w:right="1440" w:bottom="1440" w:left="1440" w:header="720" w:footer="720" w:gutter="0"/>
          <w:cols w:space="720"/>
          <w:docGrid w:linePitch="360"/>
        </w:sectPr>
      </w:pPr>
    </w:p>
    <w:p w14:paraId="0C7CF09F" w14:textId="77777777" w:rsidR="009D1C85" w:rsidRPr="00860DC5" w:rsidRDefault="009D1C85" w:rsidP="009D1C85">
      <w:pPr>
        <w:spacing w:after="0" w:line="240" w:lineRule="auto"/>
        <w:rPr>
          <w:rFonts w:ascii="Times New Roman" w:eastAsia="Times New Roman" w:hAnsi="Times New Roman"/>
          <w:sz w:val="20"/>
          <w:szCs w:val="20"/>
          <w:lang w:val="en-GB"/>
        </w:rPr>
      </w:pPr>
    </w:p>
    <w:p w14:paraId="6612A881" w14:textId="2F40B596" w:rsidR="004300F4" w:rsidRPr="009D1C85" w:rsidRDefault="0033177E" w:rsidP="004300F4">
      <w:pPr>
        <w:pStyle w:val="Ttulo2"/>
        <w:spacing w:after="120" w:line="259" w:lineRule="auto"/>
        <w:jc w:val="both"/>
        <w:rPr>
          <w:rFonts w:ascii="Calibri Light" w:eastAsia="Calibri Light" w:hAnsi="Calibri Light" w:cs="Calibri Light"/>
          <w:color w:val="2F5496"/>
          <w:lang w:val="en-GB"/>
        </w:rPr>
      </w:pPr>
      <w:r w:rsidRPr="00FE1E81">
        <w:rPr>
          <w:rStyle w:val="Ttulo3Car"/>
          <w:lang w:val="en-GB"/>
        </w:rPr>
        <w:t>References</w:t>
      </w:r>
      <w:r w:rsidR="004300F4" w:rsidRPr="009D1C85">
        <w:rPr>
          <w:rFonts w:ascii="Calibri Light" w:eastAsia="Calibri Light" w:hAnsi="Calibri Light" w:cs="Calibri Light"/>
          <w:color w:val="2F5496"/>
          <w:lang w:val="en-GB"/>
        </w:rPr>
        <w:t>.</w:t>
      </w:r>
    </w:p>
    <w:p w14:paraId="37E4633C" w14:textId="6C1A3454" w:rsidR="0044350A" w:rsidRPr="0044350A" w:rsidRDefault="006A6D84"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Pr>
          <w:sz w:val="20"/>
          <w:szCs w:val="20"/>
          <w:lang w:val="en-GB"/>
        </w:rPr>
        <w:fldChar w:fldCharType="begin" w:fldLock="1"/>
      </w:r>
      <w:r>
        <w:rPr>
          <w:sz w:val="20"/>
          <w:szCs w:val="20"/>
          <w:lang w:val="en-GB"/>
        </w:rPr>
        <w:instrText xml:space="preserve">ADDIN Mendeley Bibliography CSL_BIBLIOGRAPHY </w:instrText>
      </w:r>
      <w:r>
        <w:rPr>
          <w:sz w:val="20"/>
          <w:szCs w:val="20"/>
          <w:lang w:val="en-GB"/>
        </w:rPr>
        <w:fldChar w:fldCharType="separate"/>
      </w:r>
      <w:r w:rsidR="0044350A" w:rsidRPr="0044350A">
        <w:rPr>
          <w:rFonts w:ascii="Times New Roman" w:hAnsi="Times New Roman" w:cs="Times New Roman"/>
          <w:noProof/>
          <w:sz w:val="20"/>
        </w:rPr>
        <w:t xml:space="preserve">Ahlén, A., &amp; Palme, J. (2020). Migrants’ Access to Social Protection in Sweden. </w:t>
      </w:r>
      <w:r w:rsidR="0044350A" w:rsidRPr="0044350A">
        <w:rPr>
          <w:rFonts w:ascii="Times New Roman" w:hAnsi="Times New Roman" w:cs="Times New Roman"/>
          <w:i/>
          <w:iCs/>
          <w:noProof/>
          <w:sz w:val="20"/>
        </w:rPr>
        <w:t>IMISCOE Research Series</w:t>
      </w:r>
      <w:r w:rsidR="0044350A" w:rsidRPr="0044350A">
        <w:rPr>
          <w:rFonts w:ascii="Times New Roman" w:hAnsi="Times New Roman" w:cs="Times New Roman"/>
          <w:noProof/>
          <w:sz w:val="20"/>
        </w:rPr>
        <w:t xml:space="preserve">, </w:t>
      </w:r>
      <w:r w:rsidR="0044350A" w:rsidRPr="0044350A">
        <w:rPr>
          <w:rFonts w:ascii="Times New Roman" w:hAnsi="Times New Roman" w:cs="Times New Roman"/>
          <w:i/>
          <w:iCs/>
          <w:noProof/>
          <w:sz w:val="20"/>
        </w:rPr>
        <w:t>1</w:t>
      </w:r>
      <w:r w:rsidR="0044350A" w:rsidRPr="0044350A">
        <w:rPr>
          <w:rFonts w:ascii="Times New Roman" w:hAnsi="Times New Roman" w:cs="Times New Roman"/>
          <w:noProof/>
          <w:sz w:val="20"/>
        </w:rPr>
        <w:t>(Volume 1), 421–435. https://doi.org/10.1007/978-3-030-51241-5_19</w:t>
      </w:r>
    </w:p>
    <w:p w14:paraId="4FBFB8AE"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Bacong, A. M., Hing, A. K., Morey, B., Crespi, C. M., Kabamalan, M. M., Lee, N. R., Wang, M. C., de Castro, A. B., &amp; Gee, G. C. (2022). Health selection on self-rated health and the healthy migrant effect: Baseline and 1-year results from the health of Philippine Emigrants Study. </w:t>
      </w:r>
      <w:r w:rsidRPr="0044350A">
        <w:rPr>
          <w:rFonts w:ascii="Times New Roman" w:hAnsi="Times New Roman" w:cs="Times New Roman"/>
          <w:i/>
          <w:iCs/>
          <w:noProof/>
          <w:sz w:val="20"/>
        </w:rPr>
        <w:t>PLOS Global Public Health</w:t>
      </w:r>
      <w:r w:rsidRPr="0044350A">
        <w:rPr>
          <w:rFonts w:ascii="Times New Roman" w:hAnsi="Times New Roman" w:cs="Times New Roman"/>
          <w:noProof/>
          <w:sz w:val="20"/>
        </w:rPr>
        <w:t xml:space="preserve">, </w:t>
      </w:r>
      <w:r w:rsidRPr="0044350A">
        <w:rPr>
          <w:rFonts w:ascii="Times New Roman" w:hAnsi="Times New Roman" w:cs="Times New Roman"/>
          <w:i/>
          <w:iCs/>
          <w:noProof/>
          <w:sz w:val="20"/>
        </w:rPr>
        <w:t>2</w:t>
      </w:r>
      <w:r w:rsidRPr="0044350A">
        <w:rPr>
          <w:rFonts w:ascii="Times New Roman" w:hAnsi="Times New Roman" w:cs="Times New Roman"/>
          <w:noProof/>
          <w:sz w:val="20"/>
        </w:rPr>
        <w:t>(7), 1–23. https://doi.org/10.1371/journal.pgph.0000324</w:t>
      </w:r>
    </w:p>
    <w:p w14:paraId="091CDAC8"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Cantó, O., Figari, F., Fiorio, C. V., Kuypers, S., Marchal, S., Romaguera-de-la-Cruz, M., Tasseva, I. V., &amp; Verbist, G. (2022). Welfare Resilience at the Onset of the COVID-19 Pandemic in a Selection of European Countries: Impact on Public Finance and Household Incomes. </w:t>
      </w:r>
      <w:r w:rsidRPr="0044350A">
        <w:rPr>
          <w:rFonts w:ascii="Times New Roman" w:hAnsi="Times New Roman" w:cs="Times New Roman"/>
          <w:i/>
          <w:iCs/>
          <w:noProof/>
          <w:sz w:val="20"/>
        </w:rPr>
        <w:t>Review of Income and Wealth</w:t>
      </w:r>
      <w:r w:rsidRPr="0044350A">
        <w:rPr>
          <w:rFonts w:ascii="Times New Roman" w:hAnsi="Times New Roman" w:cs="Times New Roman"/>
          <w:noProof/>
          <w:sz w:val="20"/>
        </w:rPr>
        <w:t xml:space="preserve">, </w:t>
      </w:r>
      <w:r w:rsidRPr="0044350A">
        <w:rPr>
          <w:rFonts w:ascii="Times New Roman" w:hAnsi="Times New Roman" w:cs="Times New Roman"/>
          <w:i/>
          <w:iCs/>
          <w:noProof/>
          <w:sz w:val="20"/>
        </w:rPr>
        <w:t>68</w:t>
      </w:r>
      <w:r w:rsidRPr="0044350A">
        <w:rPr>
          <w:rFonts w:ascii="Times New Roman" w:hAnsi="Times New Roman" w:cs="Times New Roman"/>
          <w:noProof/>
          <w:sz w:val="20"/>
        </w:rPr>
        <w:t>(2), 293–322. https://doi.org/10.1111/roiw.12530</w:t>
      </w:r>
    </w:p>
    <w:p w14:paraId="3301EFE4"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Chiaromonte, W. (2020). Migrants’ Access to Social Protection in Italy. </w:t>
      </w:r>
      <w:r w:rsidRPr="0044350A">
        <w:rPr>
          <w:rFonts w:ascii="Times New Roman" w:hAnsi="Times New Roman" w:cs="Times New Roman"/>
          <w:i/>
          <w:iCs/>
          <w:noProof/>
          <w:sz w:val="20"/>
        </w:rPr>
        <w:t>IMISCOE Research Series</w:t>
      </w:r>
      <w:r w:rsidRPr="0044350A">
        <w:rPr>
          <w:rFonts w:ascii="Times New Roman" w:hAnsi="Times New Roman" w:cs="Times New Roman"/>
          <w:noProof/>
          <w:sz w:val="20"/>
        </w:rPr>
        <w:t xml:space="preserve">, </w:t>
      </w:r>
      <w:r w:rsidRPr="0044350A">
        <w:rPr>
          <w:rFonts w:ascii="Times New Roman" w:hAnsi="Times New Roman" w:cs="Times New Roman"/>
          <w:i/>
          <w:iCs/>
          <w:noProof/>
          <w:sz w:val="20"/>
        </w:rPr>
        <w:t>1</w:t>
      </w:r>
      <w:r w:rsidRPr="0044350A">
        <w:rPr>
          <w:rFonts w:ascii="Times New Roman" w:hAnsi="Times New Roman" w:cs="Times New Roman"/>
          <w:noProof/>
          <w:sz w:val="20"/>
        </w:rPr>
        <w:t>(Volume 1), 241–256. https://doi.org/10.1007/978-3-030-51241-5_16</w:t>
      </w:r>
    </w:p>
    <w:p w14:paraId="6C5CD15F"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Chłoń-Domińczak, A. (2020). Migrants’ Access to Social Protection in Poland. In J.-M. Lafleur &amp; D. Vintila (Eds.), </w:t>
      </w:r>
      <w:r w:rsidRPr="0044350A">
        <w:rPr>
          <w:rFonts w:ascii="Times New Roman" w:hAnsi="Times New Roman" w:cs="Times New Roman"/>
          <w:i/>
          <w:iCs/>
          <w:noProof/>
          <w:sz w:val="20"/>
        </w:rPr>
        <w:t>Migration and Social Protection in Europe and Beyond (Volume 1): Comparing Access to Welfare Entitlements</w:t>
      </w:r>
      <w:r w:rsidRPr="0044350A">
        <w:rPr>
          <w:rFonts w:ascii="Times New Roman" w:hAnsi="Times New Roman" w:cs="Times New Roman"/>
          <w:noProof/>
          <w:sz w:val="20"/>
        </w:rPr>
        <w:t xml:space="preserve"> (pp. 327–344). Springer International Publishing. https://doi.org/10.1007/978-3-030-51241-5_22</w:t>
      </w:r>
    </w:p>
    <w:p w14:paraId="3FD917A8"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Combes, S. J. B., Simonnot, N., Azzedine, F., Aznague, A., &amp; Chauvin, P. (2019). Self-perceived health among migrants seen in médecins du monde free clinics in Europe: Impact of length of stay and wealth of country of origin on migrants’ health. </w:t>
      </w:r>
      <w:r w:rsidRPr="0044350A">
        <w:rPr>
          <w:rFonts w:ascii="Times New Roman" w:hAnsi="Times New Roman" w:cs="Times New Roman"/>
          <w:i/>
          <w:iCs/>
          <w:noProof/>
          <w:sz w:val="20"/>
        </w:rPr>
        <w:t>International Journal of Environmental Research and Public Health</w:t>
      </w:r>
      <w:r w:rsidRPr="0044350A">
        <w:rPr>
          <w:rFonts w:ascii="Times New Roman" w:hAnsi="Times New Roman" w:cs="Times New Roman"/>
          <w:noProof/>
          <w:sz w:val="20"/>
        </w:rPr>
        <w:t xml:space="preserve">, </w:t>
      </w:r>
      <w:r w:rsidRPr="0044350A">
        <w:rPr>
          <w:rFonts w:ascii="Times New Roman" w:hAnsi="Times New Roman" w:cs="Times New Roman"/>
          <w:i/>
          <w:iCs/>
          <w:noProof/>
          <w:sz w:val="20"/>
        </w:rPr>
        <w:t>16</w:t>
      </w:r>
      <w:r w:rsidRPr="0044350A">
        <w:rPr>
          <w:rFonts w:ascii="Times New Roman" w:hAnsi="Times New Roman" w:cs="Times New Roman"/>
          <w:noProof/>
          <w:sz w:val="20"/>
        </w:rPr>
        <w:t>(24). https://doi.org/10.3390/ijerph16244878</w:t>
      </w:r>
    </w:p>
    <w:p w14:paraId="066D6279"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Diaz, E., Poblador-Pou, B., Gimeno-Feliu, L. A., Calderón-Larrañaga, A., Kumar, B. N., &amp; Prados-Torres, A. (2015). Multimorbidity and its patterns according to immigrant origin. A nationwide register-based study in Norway. </w:t>
      </w:r>
      <w:r w:rsidRPr="0044350A">
        <w:rPr>
          <w:rFonts w:ascii="Times New Roman" w:hAnsi="Times New Roman" w:cs="Times New Roman"/>
          <w:i/>
          <w:iCs/>
          <w:noProof/>
          <w:sz w:val="20"/>
        </w:rPr>
        <w:t>PLoS ONE</w:t>
      </w:r>
      <w:r w:rsidRPr="0044350A">
        <w:rPr>
          <w:rFonts w:ascii="Times New Roman" w:hAnsi="Times New Roman" w:cs="Times New Roman"/>
          <w:noProof/>
          <w:sz w:val="20"/>
        </w:rPr>
        <w:t xml:space="preserve">, </w:t>
      </w:r>
      <w:r w:rsidRPr="0044350A">
        <w:rPr>
          <w:rFonts w:ascii="Times New Roman" w:hAnsi="Times New Roman" w:cs="Times New Roman"/>
          <w:i/>
          <w:iCs/>
          <w:noProof/>
          <w:sz w:val="20"/>
        </w:rPr>
        <w:t>10</w:t>
      </w:r>
      <w:r w:rsidRPr="0044350A">
        <w:rPr>
          <w:rFonts w:ascii="Times New Roman" w:hAnsi="Times New Roman" w:cs="Times New Roman"/>
          <w:noProof/>
          <w:sz w:val="20"/>
        </w:rPr>
        <w:t>(12), 1–18. https://doi.org/10.1371/journal.pone.0145233</w:t>
      </w:r>
    </w:p>
    <w:p w14:paraId="2D6778A7"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Dossche, M., Kolndrekaj, A., Propst, M., Perez, J. R., &amp; Slacalek, J. (2023). Immigrants and the Distribution of Income and Wealth in the Euro Area: First Facts and Implications for Monetary Policy. </w:t>
      </w:r>
      <w:r w:rsidRPr="0044350A">
        <w:rPr>
          <w:rFonts w:ascii="Times New Roman" w:hAnsi="Times New Roman" w:cs="Times New Roman"/>
          <w:i/>
          <w:iCs/>
          <w:noProof/>
          <w:sz w:val="20"/>
        </w:rPr>
        <w:t>SSRN Electronic Journal</w:t>
      </w:r>
      <w:r w:rsidRPr="0044350A">
        <w:rPr>
          <w:rFonts w:ascii="Times New Roman" w:hAnsi="Times New Roman" w:cs="Times New Roman"/>
          <w:noProof/>
          <w:sz w:val="20"/>
        </w:rPr>
        <w:t>. https://doi.org/10.2139/ssrn.4626461</w:t>
      </w:r>
    </w:p>
    <w:p w14:paraId="758C5716"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Fasani, F., &amp; Mazza, J. (2023). Being on the Frontline? Immigrant Workers in Europe and the COVID-19 Pandemic. </w:t>
      </w:r>
      <w:r w:rsidRPr="0044350A">
        <w:rPr>
          <w:rFonts w:ascii="Times New Roman" w:hAnsi="Times New Roman" w:cs="Times New Roman"/>
          <w:i/>
          <w:iCs/>
          <w:noProof/>
          <w:sz w:val="20"/>
        </w:rPr>
        <w:t>ILR Review</w:t>
      </w:r>
      <w:r w:rsidRPr="0044350A">
        <w:rPr>
          <w:rFonts w:ascii="Times New Roman" w:hAnsi="Times New Roman" w:cs="Times New Roman"/>
          <w:noProof/>
          <w:sz w:val="20"/>
        </w:rPr>
        <w:t xml:space="preserve">, </w:t>
      </w:r>
      <w:r w:rsidRPr="0044350A">
        <w:rPr>
          <w:rFonts w:ascii="Times New Roman" w:hAnsi="Times New Roman" w:cs="Times New Roman"/>
          <w:i/>
          <w:iCs/>
          <w:noProof/>
          <w:sz w:val="20"/>
        </w:rPr>
        <w:t>76</w:t>
      </w:r>
      <w:r w:rsidRPr="0044350A">
        <w:rPr>
          <w:rFonts w:ascii="Times New Roman" w:hAnsi="Times New Roman" w:cs="Times New Roman"/>
          <w:noProof/>
          <w:sz w:val="20"/>
        </w:rPr>
        <w:t>(5), 890–918. https://doi.org/10.1177/00197939231173676</w:t>
      </w:r>
    </w:p>
    <w:p w14:paraId="23F5DE94"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Ganczak, M., Kalinowski, P., Twardowski, P., Osicka, D. A., Pasek, O., Duda-Duma, Ł., Vervoort, J. P. M., Edelstein, M., &amp; Kowalska, M. (2024). “Why would we?” A qualitative study on COVID-19 vaccination decision making among Ukrainian economic female migrants in Poland. </w:t>
      </w:r>
      <w:r w:rsidRPr="0044350A">
        <w:rPr>
          <w:rFonts w:ascii="Times New Roman" w:hAnsi="Times New Roman" w:cs="Times New Roman"/>
          <w:i/>
          <w:iCs/>
          <w:noProof/>
          <w:sz w:val="20"/>
        </w:rPr>
        <w:t>Frontiers in Public Health</w:t>
      </w:r>
      <w:r w:rsidRPr="0044350A">
        <w:rPr>
          <w:rFonts w:ascii="Times New Roman" w:hAnsi="Times New Roman" w:cs="Times New Roman"/>
          <w:noProof/>
          <w:sz w:val="20"/>
        </w:rPr>
        <w:t xml:space="preserve">, </w:t>
      </w:r>
      <w:r w:rsidRPr="0044350A">
        <w:rPr>
          <w:rFonts w:ascii="Times New Roman" w:hAnsi="Times New Roman" w:cs="Times New Roman"/>
          <w:i/>
          <w:iCs/>
          <w:noProof/>
          <w:sz w:val="20"/>
        </w:rPr>
        <w:t>12</w:t>
      </w:r>
      <w:r w:rsidRPr="0044350A">
        <w:rPr>
          <w:rFonts w:ascii="Times New Roman" w:hAnsi="Times New Roman" w:cs="Times New Roman"/>
          <w:noProof/>
          <w:sz w:val="20"/>
        </w:rPr>
        <w:t>(August), 1–8. https://doi.org/10.3389/fpubh.2024.1380627</w:t>
      </w:r>
    </w:p>
    <w:p w14:paraId="2A68A9B6"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Gosselin, A., Warszawski, J., &amp; Bajos, N. (2022). Higher risk, higher protection: COVID-19 risk among immigrants in France - results from the population-based EpiCov survey. </w:t>
      </w:r>
      <w:r w:rsidRPr="0044350A">
        <w:rPr>
          <w:rFonts w:ascii="Times New Roman" w:hAnsi="Times New Roman" w:cs="Times New Roman"/>
          <w:i/>
          <w:iCs/>
          <w:noProof/>
          <w:sz w:val="20"/>
        </w:rPr>
        <w:t>European Journal of Public Health</w:t>
      </w:r>
      <w:r w:rsidRPr="0044350A">
        <w:rPr>
          <w:rFonts w:ascii="Times New Roman" w:hAnsi="Times New Roman" w:cs="Times New Roman"/>
          <w:noProof/>
          <w:sz w:val="20"/>
        </w:rPr>
        <w:t xml:space="preserve">, </w:t>
      </w:r>
      <w:r w:rsidRPr="0044350A">
        <w:rPr>
          <w:rFonts w:ascii="Times New Roman" w:hAnsi="Times New Roman" w:cs="Times New Roman"/>
          <w:i/>
          <w:iCs/>
          <w:noProof/>
          <w:sz w:val="20"/>
        </w:rPr>
        <w:t>32</w:t>
      </w:r>
      <w:r w:rsidRPr="0044350A">
        <w:rPr>
          <w:rFonts w:ascii="Times New Roman" w:hAnsi="Times New Roman" w:cs="Times New Roman"/>
          <w:noProof/>
          <w:sz w:val="20"/>
        </w:rPr>
        <w:t>(4), 655–663. https://doi.org/10.1093/eurpub/ckac046</w:t>
      </w:r>
    </w:p>
    <w:p w14:paraId="0C436BB5"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Isidro, L., &amp; Math, A. (2020). Migrants’ Access to Social Protection in France. </w:t>
      </w:r>
      <w:r w:rsidRPr="0044350A">
        <w:rPr>
          <w:rFonts w:ascii="Times New Roman" w:hAnsi="Times New Roman" w:cs="Times New Roman"/>
          <w:i/>
          <w:iCs/>
          <w:noProof/>
          <w:sz w:val="20"/>
        </w:rPr>
        <w:t>IMISCOE Research Series</w:t>
      </w:r>
      <w:r w:rsidRPr="0044350A">
        <w:rPr>
          <w:rFonts w:ascii="Times New Roman" w:hAnsi="Times New Roman" w:cs="Times New Roman"/>
          <w:noProof/>
          <w:sz w:val="20"/>
        </w:rPr>
        <w:t xml:space="preserve">, </w:t>
      </w:r>
      <w:r w:rsidRPr="0044350A">
        <w:rPr>
          <w:rFonts w:ascii="Times New Roman" w:hAnsi="Times New Roman" w:cs="Times New Roman"/>
          <w:i/>
          <w:iCs/>
          <w:noProof/>
          <w:sz w:val="20"/>
        </w:rPr>
        <w:t>1</w:t>
      </w:r>
      <w:r w:rsidRPr="0044350A">
        <w:rPr>
          <w:rFonts w:ascii="Times New Roman" w:hAnsi="Times New Roman" w:cs="Times New Roman"/>
          <w:noProof/>
          <w:sz w:val="20"/>
        </w:rPr>
        <w:t>(Volume 1), 165–178. https://doi.org/10.1007/978-3-030-51241-5_19</w:t>
      </w:r>
    </w:p>
    <w:p w14:paraId="1187C843"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Lafleur, J.-M., &amp; Vintila, D. (2020). Migration and Social Protection in Europe and Beyond. In </w:t>
      </w:r>
      <w:r w:rsidRPr="0044350A">
        <w:rPr>
          <w:rFonts w:ascii="Times New Roman" w:hAnsi="Times New Roman" w:cs="Times New Roman"/>
          <w:i/>
          <w:iCs/>
          <w:noProof/>
          <w:sz w:val="20"/>
        </w:rPr>
        <w:t>Springer Nature</w:t>
      </w:r>
      <w:r w:rsidRPr="0044350A">
        <w:rPr>
          <w:rFonts w:ascii="Times New Roman" w:hAnsi="Times New Roman" w:cs="Times New Roman"/>
          <w:noProof/>
          <w:sz w:val="20"/>
        </w:rPr>
        <w:t xml:space="preserve"> (Vol. 3, Issue Volume 1). https://library.oapen.org/bitstream/handle/20.500.12657/42914/2020_Book_MigrationAndSocialProtectionIn.pdf</w:t>
      </w:r>
    </w:p>
    <w:p w14:paraId="211A6D16"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Mazzalai, E., Giannini, D., Tosti, M. E., D’Angelo, F., Declich, S., Jaljaa, A., Caminada, S., Turatto, F., De Marchi, C., Gatta, A., Angelozzi, A., Marchetti, G., Pizzarelli, S., &amp; Marceca, M. (2023). Risk of Covid-19 Severe Outcomes and Mortality in Migrants and Ethnic Minorities Compared to the General Population in the European WHO Region: a Systematic Review. In </w:t>
      </w:r>
      <w:r w:rsidRPr="0044350A">
        <w:rPr>
          <w:rFonts w:ascii="Times New Roman" w:hAnsi="Times New Roman" w:cs="Times New Roman"/>
          <w:i/>
          <w:iCs/>
          <w:noProof/>
          <w:sz w:val="20"/>
        </w:rPr>
        <w:t>Journal of International Migration and Integration</w:t>
      </w:r>
      <w:r w:rsidRPr="0044350A">
        <w:rPr>
          <w:rFonts w:ascii="Times New Roman" w:hAnsi="Times New Roman" w:cs="Times New Roman"/>
          <w:noProof/>
          <w:sz w:val="20"/>
        </w:rPr>
        <w:t xml:space="preserve"> (Vol. 24, Issue 3). https://doi.org/10.1007/s12134-023-01007-x</w:t>
      </w:r>
    </w:p>
    <w:p w14:paraId="0DD7A80E"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Melin, P. (2020). Migrants’ Access to Social Protection in Belgium. </w:t>
      </w:r>
      <w:r w:rsidRPr="0044350A">
        <w:rPr>
          <w:rFonts w:ascii="Times New Roman" w:hAnsi="Times New Roman" w:cs="Times New Roman"/>
          <w:i/>
          <w:iCs/>
          <w:noProof/>
          <w:sz w:val="20"/>
        </w:rPr>
        <w:t>IMISCOE Research Series</w:t>
      </w:r>
      <w:r w:rsidRPr="0044350A">
        <w:rPr>
          <w:rFonts w:ascii="Times New Roman" w:hAnsi="Times New Roman" w:cs="Times New Roman"/>
          <w:noProof/>
          <w:sz w:val="20"/>
        </w:rPr>
        <w:t xml:space="preserve">, </w:t>
      </w:r>
      <w:r w:rsidRPr="0044350A">
        <w:rPr>
          <w:rFonts w:ascii="Times New Roman" w:hAnsi="Times New Roman" w:cs="Times New Roman"/>
          <w:i/>
          <w:iCs/>
          <w:noProof/>
          <w:sz w:val="20"/>
        </w:rPr>
        <w:t>1</w:t>
      </w:r>
      <w:r w:rsidRPr="0044350A">
        <w:rPr>
          <w:rFonts w:ascii="Times New Roman" w:hAnsi="Times New Roman" w:cs="Times New Roman"/>
          <w:noProof/>
          <w:sz w:val="20"/>
        </w:rPr>
        <w:t>(Volume 1), 49–63. https://doi.org/10.1007/978-3-030-51241-5_11</w:t>
      </w:r>
    </w:p>
    <w:p w14:paraId="2556EA5E"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Moreno-Fuentes, F. J. (2020). Migrants’ Access to Social Protection in Spain. </w:t>
      </w:r>
      <w:r w:rsidRPr="0044350A">
        <w:rPr>
          <w:rFonts w:ascii="Times New Roman" w:hAnsi="Times New Roman" w:cs="Times New Roman"/>
          <w:i/>
          <w:iCs/>
          <w:noProof/>
          <w:sz w:val="20"/>
        </w:rPr>
        <w:t>IMISCOE Research Series</w:t>
      </w:r>
      <w:r w:rsidRPr="0044350A">
        <w:rPr>
          <w:rFonts w:ascii="Times New Roman" w:hAnsi="Times New Roman" w:cs="Times New Roman"/>
          <w:noProof/>
          <w:sz w:val="20"/>
        </w:rPr>
        <w:t xml:space="preserve">, </w:t>
      </w:r>
      <w:r w:rsidRPr="0044350A">
        <w:rPr>
          <w:rFonts w:ascii="Times New Roman" w:hAnsi="Times New Roman" w:cs="Times New Roman"/>
          <w:i/>
          <w:iCs/>
          <w:noProof/>
          <w:sz w:val="20"/>
        </w:rPr>
        <w:t>1</w:t>
      </w:r>
      <w:r w:rsidRPr="0044350A">
        <w:rPr>
          <w:rFonts w:ascii="Times New Roman" w:hAnsi="Times New Roman" w:cs="Times New Roman"/>
          <w:noProof/>
          <w:sz w:val="20"/>
        </w:rPr>
        <w:t>(Volume 1), 405–420. https://doi.org/10.1007/978-3-030-51241-5_27</w:t>
      </w:r>
    </w:p>
    <w:p w14:paraId="1269E45B"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lastRenderedPageBreak/>
        <w:t xml:space="preserve">OECD. (2021). How can European countries improve the integration of youth with migrant parents? </w:t>
      </w:r>
      <w:r w:rsidRPr="0044350A">
        <w:rPr>
          <w:rFonts w:ascii="Times New Roman" w:hAnsi="Times New Roman" w:cs="Times New Roman"/>
          <w:i/>
          <w:iCs/>
          <w:noProof/>
          <w:sz w:val="20"/>
        </w:rPr>
        <w:t>Migration Policy Debates</w:t>
      </w:r>
      <w:r w:rsidRPr="0044350A">
        <w:rPr>
          <w:rFonts w:ascii="Times New Roman" w:hAnsi="Times New Roman" w:cs="Times New Roman"/>
          <w:noProof/>
          <w:sz w:val="20"/>
        </w:rPr>
        <w:t xml:space="preserve">, </w:t>
      </w:r>
      <w:r w:rsidRPr="0044350A">
        <w:rPr>
          <w:rFonts w:ascii="Times New Roman" w:hAnsi="Times New Roman" w:cs="Times New Roman"/>
          <w:i/>
          <w:iCs/>
          <w:noProof/>
          <w:sz w:val="20"/>
        </w:rPr>
        <w:t>26</w:t>
      </w:r>
      <w:r w:rsidRPr="0044350A">
        <w:rPr>
          <w:rFonts w:ascii="Times New Roman" w:hAnsi="Times New Roman" w:cs="Times New Roman"/>
          <w:noProof/>
          <w:sz w:val="20"/>
        </w:rPr>
        <w:t>(APRIL), 1–8.</w:t>
      </w:r>
    </w:p>
    <w:p w14:paraId="036A2020"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Plümper, T., &amp; Neumayer, E. (2020). The pandemic predominantly hits poor neighbourhoods? SARS-CoV-2 infections and COVID-19 fatalities in German districts. </w:t>
      </w:r>
      <w:r w:rsidRPr="0044350A">
        <w:rPr>
          <w:rFonts w:ascii="Times New Roman" w:hAnsi="Times New Roman" w:cs="Times New Roman"/>
          <w:i/>
          <w:iCs/>
          <w:noProof/>
          <w:sz w:val="20"/>
        </w:rPr>
        <w:t>European Journal of Public Health</w:t>
      </w:r>
      <w:r w:rsidRPr="0044350A">
        <w:rPr>
          <w:rFonts w:ascii="Times New Roman" w:hAnsi="Times New Roman" w:cs="Times New Roman"/>
          <w:noProof/>
          <w:sz w:val="20"/>
        </w:rPr>
        <w:t xml:space="preserve">, </w:t>
      </w:r>
      <w:r w:rsidRPr="0044350A">
        <w:rPr>
          <w:rFonts w:ascii="Times New Roman" w:hAnsi="Times New Roman" w:cs="Times New Roman"/>
          <w:i/>
          <w:iCs/>
          <w:noProof/>
          <w:sz w:val="20"/>
        </w:rPr>
        <w:t>30</w:t>
      </w:r>
      <w:r w:rsidRPr="0044350A">
        <w:rPr>
          <w:rFonts w:ascii="Times New Roman" w:hAnsi="Times New Roman" w:cs="Times New Roman"/>
          <w:noProof/>
          <w:sz w:val="20"/>
        </w:rPr>
        <w:t>(6), 1176–1180. https://doi.org/10.1093/eurpub/ckaa168</w:t>
      </w:r>
    </w:p>
    <w:p w14:paraId="195F0D6C"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Rostila, M., Cederström, A., Wallace, M., Aradhya, S., Ahrne, M., &amp; Juárez, S. P. (2023). Inequalities in COVID-19 severe morbidity and mortality by country of birth in Sweden. </w:t>
      </w:r>
      <w:r w:rsidRPr="0044350A">
        <w:rPr>
          <w:rFonts w:ascii="Times New Roman" w:hAnsi="Times New Roman" w:cs="Times New Roman"/>
          <w:i/>
          <w:iCs/>
          <w:noProof/>
          <w:sz w:val="20"/>
        </w:rPr>
        <w:t>Nature Communications</w:t>
      </w:r>
      <w:r w:rsidRPr="0044350A">
        <w:rPr>
          <w:rFonts w:ascii="Times New Roman" w:hAnsi="Times New Roman" w:cs="Times New Roman"/>
          <w:noProof/>
          <w:sz w:val="20"/>
        </w:rPr>
        <w:t xml:space="preserve">, </w:t>
      </w:r>
      <w:r w:rsidRPr="0044350A">
        <w:rPr>
          <w:rFonts w:ascii="Times New Roman" w:hAnsi="Times New Roman" w:cs="Times New Roman"/>
          <w:i/>
          <w:iCs/>
          <w:noProof/>
          <w:sz w:val="20"/>
        </w:rPr>
        <w:t>14</w:t>
      </w:r>
      <w:r w:rsidRPr="0044350A">
        <w:rPr>
          <w:rFonts w:ascii="Times New Roman" w:hAnsi="Times New Roman" w:cs="Times New Roman"/>
          <w:noProof/>
          <w:sz w:val="20"/>
        </w:rPr>
        <w:t>(1), 1–9. https://doi.org/10.1038/s41467-023-40568-4</w:t>
      </w:r>
    </w:p>
    <w:p w14:paraId="6E9298A3"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Schnabel, R. (2020). Migrants’ Access to Social Protection in Germany. </w:t>
      </w:r>
      <w:r w:rsidRPr="0044350A">
        <w:rPr>
          <w:rFonts w:ascii="Times New Roman" w:hAnsi="Times New Roman" w:cs="Times New Roman"/>
          <w:i/>
          <w:iCs/>
          <w:noProof/>
          <w:sz w:val="20"/>
        </w:rPr>
        <w:t>IMISCOE Research Series</w:t>
      </w:r>
      <w:r w:rsidRPr="0044350A">
        <w:rPr>
          <w:rFonts w:ascii="Times New Roman" w:hAnsi="Times New Roman" w:cs="Times New Roman"/>
          <w:noProof/>
          <w:sz w:val="20"/>
        </w:rPr>
        <w:t xml:space="preserve">, </w:t>
      </w:r>
      <w:r w:rsidRPr="0044350A">
        <w:rPr>
          <w:rFonts w:ascii="Times New Roman" w:hAnsi="Times New Roman" w:cs="Times New Roman"/>
          <w:i/>
          <w:iCs/>
          <w:noProof/>
          <w:sz w:val="20"/>
        </w:rPr>
        <w:t>1</w:t>
      </w:r>
      <w:r w:rsidRPr="0044350A">
        <w:rPr>
          <w:rFonts w:ascii="Times New Roman" w:hAnsi="Times New Roman" w:cs="Times New Roman"/>
          <w:noProof/>
          <w:sz w:val="20"/>
        </w:rPr>
        <w:t>(Volume 1), 179–193. https://doi.org/10.1007/978-3-030-51241-5_11</w:t>
      </w:r>
    </w:p>
    <w:p w14:paraId="08F68C18"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Vanthomme, K., Gadeyne, S., Devleesschauwer, B., &amp; Van den Borre, L. (2023). Excess mortality among native Belgians and migrant groups in Belgium during the first three COVID-19 waves: the evolving dynamics of social inequalities. </w:t>
      </w:r>
      <w:r w:rsidRPr="0044350A">
        <w:rPr>
          <w:rFonts w:ascii="Times New Roman" w:hAnsi="Times New Roman" w:cs="Times New Roman"/>
          <w:i/>
          <w:iCs/>
          <w:noProof/>
          <w:sz w:val="20"/>
        </w:rPr>
        <w:t>Journal of Public Health</w:t>
      </w:r>
      <w:r w:rsidRPr="0044350A">
        <w:rPr>
          <w:rFonts w:ascii="Times New Roman" w:hAnsi="Times New Roman" w:cs="Times New Roman"/>
          <w:noProof/>
          <w:sz w:val="20"/>
        </w:rPr>
        <w:t>. https://doi.org/10.1007/s10389-023-02180-0</w:t>
      </w:r>
    </w:p>
    <w:p w14:paraId="75693754" w14:textId="77777777" w:rsidR="0044350A" w:rsidRPr="0044350A" w:rsidRDefault="0044350A" w:rsidP="0044350A">
      <w:pPr>
        <w:widowControl w:val="0"/>
        <w:autoSpaceDE w:val="0"/>
        <w:autoSpaceDN w:val="0"/>
        <w:adjustRightInd w:val="0"/>
        <w:spacing w:before="100" w:after="100" w:line="240" w:lineRule="auto"/>
        <w:ind w:left="480" w:hanging="480"/>
        <w:rPr>
          <w:rFonts w:ascii="Times New Roman" w:hAnsi="Times New Roman" w:cs="Times New Roman"/>
          <w:noProof/>
          <w:sz w:val="20"/>
        </w:rPr>
      </w:pPr>
      <w:r w:rsidRPr="0044350A">
        <w:rPr>
          <w:rFonts w:ascii="Times New Roman" w:hAnsi="Times New Roman" w:cs="Times New Roman"/>
          <w:noProof/>
          <w:sz w:val="20"/>
        </w:rPr>
        <w:t xml:space="preserve">Zimmermann, M. (2019). </w:t>
      </w:r>
      <w:r w:rsidRPr="0044350A">
        <w:rPr>
          <w:rFonts w:ascii="Times New Roman" w:hAnsi="Times New Roman" w:cs="Times New Roman"/>
          <w:i/>
          <w:iCs/>
          <w:noProof/>
          <w:sz w:val="20"/>
        </w:rPr>
        <w:t>Explaining gaps in educational transitions between migrant and native school leavers Discussion</w:t>
      </w:r>
      <w:r w:rsidRPr="0044350A">
        <w:rPr>
          <w:rFonts w:ascii="Times New Roman" w:hAnsi="Times New Roman" w:cs="Times New Roman"/>
          <w:noProof/>
          <w:sz w:val="20"/>
        </w:rPr>
        <w:t xml:space="preserve"> (Issue 156).</w:t>
      </w:r>
    </w:p>
    <w:p w14:paraId="41048943" w14:textId="137855FE" w:rsidR="004300F4" w:rsidRPr="00860DC5" w:rsidRDefault="006A6D84" w:rsidP="009D1C85">
      <w:pPr>
        <w:pStyle w:val="NormalWeb"/>
        <w:rPr>
          <w:sz w:val="20"/>
          <w:szCs w:val="20"/>
          <w:lang w:val="en-GB"/>
        </w:rPr>
      </w:pPr>
      <w:r>
        <w:rPr>
          <w:sz w:val="20"/>
          <w:szCs w:val="20"/>
          <w:lang w:val="en-GB"/>
        </w:rPr>
        <w:fldChar w:fldCharType="end"/>
      </w:r>
    </w:p>
    <w:sectPr w:rsidR="004300F4" w:rsidRPr="00860DC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AFFCD9" w14:textId="77777777" w:rsidR="00BE7EA8" w:rsidRDefault="00BE7EA8" w:rsidP="009D1C85">
      <w:pPr>
        <w:spacing w:after="0" w:line="240" w:lineRule="auto"/>
      </w:pPr>
      <w:r>
        <w:separator/>
      </w:r>
    </w:p>
  </w:endnote>
  <w:endnote w:type="continuationSeparator" w:id="0">
    <w:p w14:paraId="729B5F03" w14:textId="77777777" w:rsidR="00BE7EA8" w:rsidRDefault="00BE7EA8" w:rsidP="009D1C85">
      <w:pPr>
        <w:spacing w:after="0" w:line="240" w:lineRule="auto"/>
      </w:pPr>
      <w:r>
        <w:continuationSeparator/>
      </w:r>
    </w:p>
  </w:endnote>
  <w:endnote w:type="continuationNotice" w:id="1">
    <w:p w14:paraId="7DE5E72B" w14:textId="77777777" w:rsidR="00BE7EA8" w:rsidRDefault="00BE7E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4637645"/>
      <w:docPartObj>
        <w:docPartGallery w:val="Page Numbers (Bottom of Page)"/>
        <w:docPartUnique/>
      </w:docPartObj>
    </w:sdtPr>
    <w:sdtContent>
      <w:p w14:paraId="7276AF13" w14:textId="55E7621C" w:rsidR="00363A47" w:rsidRDefault="00363A47">
        <w:pPr>
          <w:pStyle w:val="Piedepgina"/>
          <w:jc w:val="right"/>
        </w:pPr>
        <w:r>
          <w:fldChar w:fldCharType="begin"/>
        </w:r>
        <w:r>
          <w:instrText>PAGE   \* MERGEFORMAT</w:instrText>
        </w:r>
        <w:r>
          <w:fldChar w:fldCharType="separate"/>
        </w:r>
        <w:r>
          <w:t>2</w:t>
        </w:r>
        <w:r>
          <w:fldChar w:fldCharType="end"/>
        </w:r>
      </w:p>
    </w:sdtContent>
  </w:sdt>
  <w:p w14:paraId="218DE0C9" w14:textId="77777777" w:rsidR="00363A47" w:rsidRDefault="00363A4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663394" w14:textId="77777777" w:rsidR="00BE7EA8" w:rsidRDefault="00BE7EA8" w:rsidP="009D1C85">
      <w:pPr>
        <w:spacing w:after="0" w:line="240" w:lineRule="auto"/>
      </w:pPr>
      <w:r>
        <w:separator/>
      </w:r>
    </w:p>
  </w:footnote>
  <w:footnote w:type="continuationSeparator" w:id="0">
    <w:p w14:paraId="27F79488" w14:textId="77777777" w:rsidR="00BE7EA8" w:rsidRDefault="00BE7EA8" w:rsidP="009D1C85">
      <w:pPr>
        <w:spacing w:after="0" w:line="240" w:lineRule="auto"/>
      </w:pPr>
      <w:r>
        <w:continuationSeparator/>
      </w:r>
    </w:p>
  </w:footnote>
  <w:footnote w:type="continuationNotice" w:id="1">
    <w:p w14:paraId="7983B1B6" w14:textId="77777777" w:rsidR="00BE7EA8" w:rsidRDefault="00BE7EA8">
      <w:pPr>
        <w:spacing w:after="0" w:line="240" w:lineRule="auto"/>
      </w:pPr>
    </w:p>
  </w:footnote>
  <w:footnote w:id="2">
    <w:p w14:paraId="011B451F" w14:textId="55EEA4F4" w:rsidR="00D255EA" w:rsidRDefault="00D255EA">
      <w:pPr>
        <w:pStyle w:val="Textonotapie"/>
      </w:pPr>
      <w:r>
        <w:rPr>
          <w:rStyle w:val="Refdenotaalpie"/>
        </w:rPr>
        <w:footnoteRef/>
      </w:r>
      <w:r>
        <w:t xml:space="preserve"> </w:t>
      </w:r>
      <w:r w:rsidR="00531C9F" w:rsidRPr="00642757">
        <w:rPr>
          <w:lang w:val="en-GB"/>
        </w:rPr>
        <w:t xml:space="preserve">A complete overview of migration in  Europe is provided by the European Commision </w:t>
      </w:r>
      <w:r w:rsidR="00EC77C3" w:rsidRPr="00642757">
        <w:rPr>
          <w:lang w:val="en-GB"/>
        </w:rPr>
        <w:t>(2023) in</w:t>
      </w:r>
      <w:r w:rsidR="00EC77C3" w:rsidRPr="00642757">
        <w:rPr>
          <w:i/>
          <w:iCs/>
          <w:lang w:val="en-GB"/>
        </w:rPr>
        <w:t xml:space="preserve"> Migration and Asylum in Europe 2023 Edition</w:t>
      </w:r>
      <w:r w:rsidR="00EC77C3" w:rsidRPr="00642757">
        <w:rPr>
          <w:lang w:val="en-GB"/>
        </w:rPr>
        <w:t>.</w:t>
      </w:r>
      <w:r w:rsidRPr="00642757">
        <w:rPr>
          <w:lang w:val="en-GB"/>
        </w:rPr>
        <w:t xml:space="preserve"> </w:t>
      </w:r>
      <w:r w:rsidR="002B04D0" w:rsidRPr="00642757">
        <w:rPr>
          <w:lang w:val="en-GB"/>
        </w:rPr>
        <w:t>https://ec.europa.eu/eurostat/web/interactive-publications/migration-2023#population-diversity</w:t>
      </w:r>
    </w:p>
  </w:footnote>
  <w:footnote w:id="3">
    <w:p w14:paraId="4FD95352" w14:textId="578EFC76" w:rsidR="00070B0C" w:rsidRPr="0090765F" w:rsidRDefault="00070B0C">
      <w:pPr>
        <w:pStyle w:val="Textonotapie"/>
        <w:rPr>
          <w:lang w:val="en-GB"/>
        </w:rPr>
      </w:pPr>
      <w:r>
        <w:rPr>
          <w:rStyle w:val="Refdenotaalpie"/>
        </w:rPr>
        <w:footnoteRef/>
      </w:r>
      <w:r w:rsidRPr="009A7757">
        <w:rPr>
          <w:lang w:val="en-GB"/>
        </w:rPr>
        <w:t xml:space="preserve"> </w:t>
      </w:r>
      <w:r w:rsidR="000F734B" w:rsidRPr="000F734B">
        <w:rPr>
          <w:lang w:val="en-GB"/>
        </w:rPr>
        <w:t>Unemployment rates by sex, age and country of birth (%) [lfsa_urgacob$defaultview]</w:t>
      </w:r>
    </w:p>
  </w:footnote>
  <w:footnote w:id="4">
    <w:p w14:paraId="29E3FC07" w14:textId="32E99294" w:rsidR="00070B0C" w:rsidRPr="0090765F" w:rsidRDefault="00070B0C">
      <w:pPr>
        <w:pStyle w:val="Textonotapie"/>
        <w:rPr>
          <w:lang w:val="en-GB"/>
        </w:rPr>
      </w:pPr>
      <w:r>
        <w:rPr>
          <w:rStyle w:val="Refdenotaalpie"/>
        </w:rPr>
        <w:footnoteRef/>
      </w:r>
      <w:r w:rsidR="009C36F0" w:rsidRPr="009C36F0">
        <w:rPr>
          <w:lang w:val="en-GB"/>
        </w:rPr>
        <w:t>Median equivalised net income by  group of country of birth (population aged 18 and over) [ilc_di16$defaultview]</w:t>
      </w:r>
    </w:p>
  </w:footnote>
  <w:footnote w:id="5">
    <w:p w14:paraId="0E3F44A5" w14:textId="14D1968D" w:rsidR="00070B0C" w:rsidRPr="0090765F" w:rsidRDefault="00070B0C">
      <w:pPr>
        <w:pStyle w:val="Textonotapie"/>
        <w:rPr>
          <w:lang w:val="en-GB"/>
        </w:rPr>
      </w:pPr>
      <w:r>
        <w:rPr>
          <w:rStyle w:val="Refdenotaalpie"/>
        </w:rPr>
        <w:footnoteRef/>
      </w:r>
      <w:r w:rsidRPr="0090765F">
        <w:rPr>
          <w:lang w:val="en-GB"/>
        </w:rPr>
        <w:t xml:space="preserve"> </w:t>
      </w:r>
      <w:r w:rsidR="00C6382E" w:rsidRPr="00C6382E">
        <w:rPr>
          <w:lang w:val="en-GB"/>
        </w:rPr>
        <w:t>Persons at risk of poverty or social exclusion by group of citizenship (population aged 18 and over) [ilc_peps05n$defaultview]</w:t>
      </w:r>
    </w:p>
  </w:footnote>
  <w:footnote w:id="6">
    <w:p w14:paraId="650C79EF" w14:textId="7275EB9C" w:rsidR="00070B0C" w:rsidRPr="009C36F0" w:rsidRDefault="00070B0C">
      <w:pPr>
        <w:pStyle w:val="Textonotapie"/>
        <w:rPr>
          <w:lang w:val="en-GB"/>
        </w:rPr>
      </w:pPr>
      <w:r>
        <w:rPr>
          <w:rStyle w:val="Refdenotaalpie"/>
        </w:rPr>
        <w:footnoteRef/>
      </w:r>
      <w:r w:rsidRPr="0090765F">
        <w:rPr>
          <w:lang w:val="en-GB"/>
        </w:rPr>
        <w:t xml:space="preserve"> </w:t>
      </w:r>
      <w:r w:rsidR="0090765F" w:rsidRPr="009A7757">
        <w:rPr>
          <w:lang w:val="en-GB"/>
        </w:rPr>
        <w:t xml:space="preserve">Populationfrom 25 to 74  by educational attainment level, sex, age and country of birth (%) [edat_lfs_9912__custom_14861772]. </w:t>
      </w:r>
      <w:r w:rsidR="0090765F" w:rsidRPr="009C36F0">
        <w:rPr>
          <w:lang w:val="en-GB"/>
        </w:rPr>
        <w:t>ISCED levels 5-8</w:t>
      </w:r>
    </w:p>
  </w:footnote>
  <w:footnote w:id="7">
    <w:p w14:paraId="25A247EE" w14:textId="50941E4F" w:rsidR="00070B0C" w:rsidRPr="009C36F0" w:rsidRDefault="00070B0C">
      <w:pPr>
        <w:pStyle w:val="Textonotapie"/>
        <w:rPr>
          <w:lang w:val="en-GB"/>
        </w:rPr>
      </w:pPr>
      <w:r>
        <w:rPr>
          <w:rStyle w:val="Refdenotaalpie"/>
        </w:rPr>
        <w:footnoteRef/>
      </w:r>
      <w:r w:rsidRPr="009C36F0">
        <w:rPr>
          <w:lang w:val="en-GB"/>
        </w:rPr>
        <w:t xml:space="preserve"> </w:t>
      </w:r>
      <w:r w:rsidR="009C36F0" w:rsidRPr="009C36F0">
        <w:rPr>
          <w:lang w:val="en-GB"/>
        </w:rPr>
        <w:t>Population from 15 to 64 by educational attainment level, sex, age and country of birth (%) [edat_lfs_9912__custom_13608041]. ISCED levels 0-2</w:t>
      </w:r>
    </w:p>
  </w:footnote>
  <w:footnote w:id="8">
    <w:p w14:paraId="155885E0" w14:textId="2FB3B072" w:rsidR="00070B0C" w:rsidRPr="009C36F0" w:rsidRDefault="00070B0C">
      <w:pPr>
        <w:pStyle w:val="Textonotapie"/>
        <w:rPr>
          <w:lang w:val="en-GB"/>
        </w:rPr>
      </w:pPr>
      <w:r>
        <w:rPr>
          <w:rStyle w:val="Refdenotaalpie"/>
        </w:rPr>
        <w:footnoteRef/>
      </w:r>
      <w:r w:rsidRPr="009C36F0">
        <w:rPr>
          <w:lang w:val="en-GB"/>
        </w:rPr>
        <w:t xml:space="preserve"> </w:t>
      </w:r>
      <w:r w:rsidR="00611028" w:rsidRPr="00611028">
        <w:rPr>
          <w:lang w:val="en-GB"/>
        </w:rPr>
        <w:t>Self-perceived health (very good) 16years or over  [hlth_silc_23$defaultview]</w:t>
      </w:r>
    </w:p>
  </w:footnote>
  <w:footnote w:id="9">
    <w:p w14:paraId="54F5E894" w14:textId="51479AE2" w:rsidR="00070B0C" w:rsidRPr="00AD65C4" w:rsidRDefault="00070B0C">
      <w:pPr>
        <w:pStyle w:val="Textonotapie"/>
        <w:rPr>
          <w:lang w:val="en-GB"/>
        </w:rPr>
      </w:pPr>
      <w:r>
        <w:rPr>
          <w:rStyle w:val="Refdenotaalpie"/>
        </w:rPr>
        <w:footnoteRef/>
      </w:r>
      <w:r w:rsidR="00AD65C4" w:rsidRPr="00AD65C4">
        <w:rPr>
          <w:lang w:val="en-GB"/>
        </w:rPr>
        <w:t xml:space="preserve"> Self-reported unmet needs for medical examination by sex, age, main reason declared and groups of country of citizenship [hlth_silc_30$defaultview]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9711E"/>
    <w:multiLevelType w:val="multilevel"/>
    <w:tmpl w:val="C3D2D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20F6B"/>
    <w:multiLevelType w:val="hybridMultilevel"/>
    <w:tmpl w:val="5F60449A"/>
    <w:lvl w:ilvl="0" w:tplc="5EFC59AE">
      <w:start w:val="1"/>
      <w:numFmt w:val="bullet"/>
      <w:lvlText w:val=""/>
      <w:lvlJc w:val="left"/>
      <w:pPr>
        <w:ind w:left="1080" w:hanging="360"/>
      </w:pPr>
      <w:rPr>
        <w:rFonts w:ascii="Symbol" w:hAnsi="Symbol"/>
      </w:rPr>
    </w:lvl>
    <w:lvl w:ilvl="1" w:tplc="00B22C24">
      <w:start w:val="1"/>
      <w:numFmt w:val="bullet"/>
      <w:lvlText w:val=""/>
      <w:lvlJc w:val="left"/>
      <w:pPr>
        <w:ind w:left="1080" w:hanging="360"/>
      </w:pPr>
      <w:rPr>
        <w:rFonts w:ascii="Symbol" w:hAnsi="Symbol"/>
      </w:rPr>
    </w:lvl>
    <w:lvl w:ilvl="2" w:tplc="B43037E2">
      <w:start w:val="1"/>
      <w:numFmt w:val="bullet"/>
      <w:lvlText w:val=""/>
      <w:lvlJc w:val="left"/>
      <w:pPr>
        <w:ind w:left="1080" w:hanging="360"/>
      </w:pPr>
      <w:rPr>
        <w:rFonts w:ascii="Symbol" w:hAnsi="Symbol"/>
      </w:rPr>
    </w:lvl>
    <w:lvl w:ilvl="3" w:tplc="21528722">
      <w:start w:val="1"/>
      <w:numFmt w:val="bullet"/>
      <w:lvlText w:val=""/>
      <w:lvlJc w:val="left"/>
      <w:pPr>
        <w:ind w:left="1080" w:hanging="360"/>
      </w:pPr>
      <w:rPr>
        <w:rFonts w:ascii="Symbol" w:hAnsi="Symbol"/>
      </w:rPr>
    </w:lvl>
    <w:lvl w:ilvl="4" w:tplc="A9F223D8">
      <w:start w:val="1"/>
      <w:numFmt w:val="bullet"/>
      <w:lvlText w:val=""/>
      <w:lvlJc w:val="left"/>
      <w:pPr>
        <w:ind w:left="1080" w:hanging="360"/>
      </w:pPr>
      <w:rPr>
        <w:rFonts w:ascii="Symbol" w:hAnsi="Symbol"/>
      </w:rPr>
    </w:lvl>
    <w:lvl w:ilvl="5" w:tplc="A29E1E3C">
      <w:start w:val="1"/>
      <w:numFmt w:val="bullet"/>
      <w:lvlText w:val=""/>
      <w:lvlJc w:val="left"/>
      <w:pPr>
        <w:ind w:left="1080" w:hanging="360"/>
      </w:pPr>
      <w:rPr>
        <w:rFonts w:ascii="Symbol" w:hAnsi="Symbol"/>
      </w:rPr>
    </w:lvl>
    <w:lvl w:ilvl="6" w:tplc="252C6264">
      <w:start w:val="1"/>
      <w:numFmt w:val="bullet"/>
      <w:lvlText w:val=""/>
      <w:lvlJc w:val="left"/>
      <w:pPr>
        <w:ind w:left="1080" w:hanging="360"/>
      </w:pPr>
      <w:rPr>
        <w:rFonts w:ascii="Symbol" w:hAnsi="Symbol"/>
      </w:rPr>
    </w:lvl>
    <w:lvl w:ilvl="7" w:tplc="02B2D5DA">
      <w:start w:val="1"/>
      <w:numFmt w:val="bullet"/>
      <w:lvlText w:val=""/>
      <w:lvlJc w:val="left"/>
      <w:pPr>
        <w:ind w:left="1080" w:hanging="360"/>
      </w:pPr>
      <w:rPr>
        <w:rFonts w:ascii="Symbol" w:hAnsi="Symbol"/>
      </w:rPr>
    </w:lvl>
    <w:lvl w:ilvl="8" w:tplc="CD8AD0E4">
      <w:start w:val="1"/>
      <w:numFmt w:val="bullet"/>
      <w:lvlText w:val=""/>
      <w:lvlJc w:val="left"/>
      <w:pPr>
        <w:ind w:left="1080" w:hanging="360"/>
      </w:pPr>
      <w:rPr>
        <w:rFonts w:ascii="Symbol" w:hAnsi="Symbol"/>
      </w:rPr>
    </w:lvl>
  </w:abstractNum>
  <w:abstractNum w:abstractNumId="2" w15:restartNumberingAfterBreak="0">
    <w:nsid w:val="0AEC22DA"/>
    <w:multiLevelType w:val="hybridMultilevel"/>
    <w:tmpl w:val="73480D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0CD150B5"/>
    <w:multiLevelType w:val="hybridMultilevel"/>
    <w:tmpl w:val="E3D4E3EA"/>
    <w:lvl w:ilvl="0" w:tplc="4EEE671C">
      <w:start w:val="1"/>
      <w:numFmt w:val="decimal"/>
      <w:lvlText w:val="%1."/>
      <w:lvlJc w:val="left"/>
      <w:pPr>
        <w:ind w:left="1440" w:hanging="360"/>
      </w:pPr>
    </w:lvl>
    <w:lvl w:ilvl="1" w:tplc="0C7E9986">
      <w:start w:val="1"/>
      <w:numFmt w:val="decimal"/>
      <w:lvlText w:val="%2."/>
      <w:lvlJc w:val="left"/>
      <w:pPr>
        <w:ind w:left="1440" w:hanging="360"/>
      </w:pPr>
    </w:lvl>
    <w:lvl w:ilvl="2" w:tplc="15920B1A">
      <w:start w:val="1"/>
      <w:numFmt w:val="decimal"/>
      <w:lvlText w:val="%3."/>
      <w:lvlJc w:val="left"/>
      <w:pPr>
        <w:ind w:left="1440" w:hanging="360"/>
      </w:pPr>
    </w:lvl>
    <w:lvl w:ilvl="3" w:tplc="25942326">
      <w:start w:val="1"/>
      <w:numFmt w:val="decimal"/>
      <w:lvlText w:val="%4."/>
      <w:lvlJc w:val="left"/>
      <w:pPr>
        <w:ind w:left="1440" w:hanging="360"/>
      </w:pPr>
    </w:lvl>
    <w:lvl w:ilvl="4" w:tplc="BB66CDF4">
      <w:start w:val="1"/>
      <w:numFmt w:val="decimal"/>
      <w:lvlText w:val="%5."/>
      <w:lvlJc w:val="left"/>
      <w:pPr>
        <w:ind w:left="1440" w:hanging="360"/>
      </w:pPr>
    </w:lvl>
    <w:lvl w:ilvl="5" w:tplc="9644326E">
      <w:start w:val="1"/>
      <w:numFmt w:val="decimal"/>
      <w:lvlText w:val="%6."/>
      <w:lvlJc w:val="left"/>
      <w:pPr>
        <w:ind w:left="1440" w:hanging="360"/>
      </w:pPr>
    </w:lvl>
    <w:lvl w:ilvl="6" w:tplc="09985D1A">
      <w:start w:val="1"/>
      <w:numFmt w:val="decimal"/>
      <w:lvlText w:val="%7."/>
      <w:lvlJc w:val="left"/>
      <w:pPr>
        <w:ind w:left="1440" w:hanging="360"/>
      </w:pPr>
    </w:lvl>
    <w:lvl w:ilvl="7" w:tplc="20BE7912">
      <w:start w:val="1"/>
      <w:numFmt w:val="decimal"/>
      <w:lvlText w:val="%8."/>
      <w:lvlJc w:val="left"/>
      <w:pPr>
        <w:ind w:left="1440" w:hanging="360"/>
      </w:pPr>
    </w:lvl>
    <w:lvl w:ilvl="8" w:tplc="0406C0A6">
      <w:start w:val="1"/>
      <w:numFmt w:val="decimal"/>
      <w:lvlText w:val="%9."/>
      <w:lvlJc w:val="left"/>
      <w:pPr>
        <w:ind w:left="1440" w:hanging="360"/>
      </w:pPr>
    </w:lvl>
  </w:abstractNum>
  <w:abstractNum w:abstractNumId="4" w15:restartNumberingAfterBreak="0">
    <w:nsid w:val="0D4A72AF"/>
    <w:multiLevelType w:val="hybridMultilevel"/>
    <w:tmpl w:val="4FF03DF0"/>
    <w:lvl w:ilvl="0" w:tplc="FFFFFFF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ED24415"/>
    <w:multiLevelType w:val="hybridMultilevel"/>
    <w:tmpl w:val="1BE0CB36"/>
    <w:lvl w:ilvl="0" w:tplc="0C0A0001">
      <w:start w:val="1"/>
      <w:numFmt w:val="bullet"/>
      <w:lvlText w:val=""/>
      <w:lvlJc w:val="left"/>
      <w:pPr>
        <w:ind w:left="-351" w:hanging="360"/>
      </w:pPr>
      <w:rPr>
        <w:rFonts w:ascii="Symbol" w:hAnsi="Symbol" w:hint="default"/>
      </w:rPr>
    </w:lvl>
    <w:lvl w:ilvl="1" w:tplc="0C0A0003" w:tentative="1">
      <w:start w:val="1"/>
      <w:numFmt w:val="bullet"/>
      <w:lvlText w:val="o"/>
      <w:lvlJc w:val="left"/>
      <w:pPr>
        <w:ind w:left="369" w:hanging="360"/>
      </w:pPr>
      <w:rPr>
        <w:rFonts w:ascii="Courier New" w:hAnsi="Courier New" w:cs="Courier New" w:hint="default"/>
      </w:rPr>
    </w:lvl>
    <w:lvl w:ilvl="2" w:tplc="0C0A0005" w:tentative="1">
      <w:start w:val="1"/>
      <w:numFmt w:val="bullet"/>
      <w:lvlText w:val=""/>
      <w:lvlJc w:val="left"/>
      <w:pPr>
        <w:ind w:left="1089" w:hanging="360"/>
      </w:pPr>
      <w:rPr>
        <w:rFonts w:ascii="Wingdings" w:hAnsi="Wingdings" w:hint="default"/>
      </w:rPr>
    </w:lvl>
    <w:lvl w:ilvl="3" w:tplc="0C0A0001" w:tentative="1">
      <w:start w:val="1"/>
      <w:numFmt w:val="bullet"/>
      <w:lvlText w:val=""/>
      <w:lvlJc w:val="left"/>
      <w:pPr>
        <w:ind w:left="1809" w:hanging="360"/>
      </w:pPr>
      <w:rPr>
        <w:rFonts w:ascii="Symbol" w:hAnsi="Symbol" w:hint="default"/>
      </w:rPr>
    </w:lvl>
    <w:lvl w:ilvl="4" w:tplc="0C0A0003" w:tentative="1">
      <w:start w:val="1"/>
      <w:numFmt w:val="bullet"/>
      <w:lvlText w:val="o"/>
      <w:lvlJc w:val="left"/>
      <w:pPr>
        <w:ind w:left="2529" w:hanging="360"/>
      </w:pPr>
      <w:rPr>
        <w:rFonts w:ascii="Courier New" w:hAnsi="Courier New" w:cs="Courier New" w:hint="default"/>
      </w:rPr>
    </w:lvl>
    <w:lvl w:ilvl="5" w:tplc="0C0A0005" w:tentative="1">
      <w:start w:val="1"/>
      <w:numFmt w:val="bullet"/>
      <w:lvlText w:val=""/>
      <w:lvlJc w:val="left"/>
      <w:pPr>
        <w:ind w:left="3249" w:hanging="360"/>
      </w:pPr>
      <w:rPr>
        <w:rFonts w:ascii="Wingdings" w:hAnsi="Wingdings" w:hint="default"/>
      </w:rPr>
    </w:lvl>
    <w:lvl w:ilvl="6" w:tplc="0C0A0001" w:tentative="1">
      <w:start w:val="1"/>
      <w:numFmt w:val="bullet"/>
      <w:lvlText w:val=""/>
      <w:lvlJc w:val="left"/>
      <w:pPr>
        <w:ind w:left="3969" w:hanging="360"/>
      </w:pPr>
      <w:rPr>
        <w:rFonts w:ascii="Symbol" w:hAnsi="Symbol" w:hint="default"/>
      </w:rPr>
    </w:lvl>
    <w:lvl w:ilvl="7" w:tplc="0C0A0003" w:tentative="1">
      <w:start w:val="1"/>
      <w:numFmt w:val="bullet"/>
      <w:lvlText w:val="o"/>
      <w:lvlJc w:val="left"/>
      <w:pPr>
        <w:ind w:left="4689" w:hanging="360"/>
      </w:pPr>
      <w:rPr>
        <w:rFonts w:ascii="Courier New" w:hAnsi="Courier New" w:cs="Courier New" w:hint="default"/>
      </w:rPr>
    </w:lvl>
    <w:lvl w:ilvl="8" w:tplc="0C0A0005" w:tentative="1">
      <w:start w:val="1"/>
      <w:numFmt w:val="bullet"/>
      <w:lvlText w:val=""/>
      <w:lvlJc w:val="left"/>
      <w:pPr>
        <w:ind w:left="5409" w:hanging="360"/>
      </w:pPr>
      <w:rPr>
        <w:rFonts w:ascii="Wingdings" w:hAnsi="Wingdings" w:hint="default"/>
      </w:rPr>
    </w:lvl>
  </w:abstractNum>
  <w:abstractNum w:abstractNumId="6" w15:restartNumberingAfterBreak="0">
    <w:nsid w:val="0FFE3CAC"/>
    <w:multiLevelType w:val="hybridMultilevel"/>
    <w:tmpl w:val="801060CE"/>
    <w:lvl w:ilvl="0" w:tplc="3FC03D12">
      <w:start w:val="1"/>
      <w:numFmt w:val="decimal"/>
      <w:lvlText w:val="%1."/>
      <w:lvlJc w:val="left"/>
      <w:pPr>
        <w:ind w:left="720" w:hanging="360"/>
      </w:pPr>
    </w:lvl>
    <w:lvl w:ilvl="1" w:tplc="409AD13A">
      <w:start w:val="1"/>
      <w:numFmt w:val="decimal"/>
      <w:lvlText w:val="%2."/>
      <w:lvlJc w:val="left"/>
      <w:pPr>
        <w:ind w:left="720" w:hanging="360"/>
      </w:pPr>
    </w:lvl>
    <w:lvl w:ilvl="2" w:tplc="25023708">
      <w:start w:val="1"/>
      <w:numFmt w:val="decimal"/>
      <w:lvlText w:val="%3."/>
      <w:lvlJc w:val="left"/>
      <w:pPr>
        <w:ind w:left="720" w:hanging="360"/>
      </w:pPr>
    </w:lvl>
    <w:lvl w:ilvl="3" w:tplc="AEFEDF46">
      <w:start w:val="1"/>
      <w:numFmt w:val="decimal"/>
      <w:lvlText w:val="%4."/>
      <w:lvlJc w:val="left"/>
      <w:pPr>
        <w:ind w:left="720" w:hanging="360"/>
      </w:pPr>
    </w:lvl>
    <w:lvl w:ilvl="4" w:tplc="3F782A60">
      <w:start w:val="1"/>
      <w:numFmt w:val="decimal"/>
      <w:lvlText w:val="%5."/>
      <w:lvlJc w:val="left"/>
      <w:pPr>
        <w:ind w:left="720" w:hanging="360"/>
      </w:pPr>
    </w:lvl>
    <w:lvl w:ilvl="5" w:tplc="31A038CE">
      <w:start w:val="1"/>
      <w:numFmt w:val="decimal"/>
      <w:lvlText w:val="%6."/>
      <w:lvlJc w:val="left"/>
      <w:pPr>
        <w:ind w:left="720" w:hanging="360"/>
      </w:pPr>
    </w:lvl>
    <w:lvl w:ilvl="6" w:tplc="9D8819AC">
      <w:start w:val="1"/>
      <w:numFmt w:val="decimal"/>
      <w:lvlText w:val="%7."/>
      <w:lvlJc w:val="left"/>
      <w:pPr>
        <w:ind w:left="720" w:hanging="360"/>
      </w:pPr>
    </w:lvl>
    <w:lvl w:ilvl="7" w:tplc="2A3CB6DE">
      <w:start w:val="1"/>
      <w:numFmt w:val="decimal"/>
      <w:lvlText w:val="%8."/>
      <w:lvlJc w:val="left"/>
      <w:pPr>
        <w:ind w:left="720" w:hanging="360"/>
      </w:pPr>
    </w:lvl>
    <w:lvl w:ilvl="8" w:tplc="0CAC88C4">
      <w:start w:val="1"/>
      <w:numFmt w:val="decimal"/>
      <w:lvlText w:val="%9."/>
      <w:lvlJc w:val="left"/>
      <w:pPr>
        <w:ind w:left="720" w:hanging="360"/>
      </w:pPr>
    </w:lvl>
  </w:abstractNum>
  <w:abstractNum w:abstractNumId="7" w15:restartNumberingAfterBreak="0">
    <w:nsid w:val="10165993"/>
    <w:multiLevelType w:val="hybridMultilevel"/>
    <w:tmpl w:val="252A3A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13008FC"/>
    <w:multiLevelType w:val="hybridMultilevel"/>
    <w:tmpl w:val="A014885A"/>
    <w:lvl w:ilvl="0" w:tplc="5CCA105E">
      <w:start w:val="1"/>
      <w:numFmt w:val="decimal"/>
      <w:lvlText w:val="%1."/>
      <w:lvlJc w:val="left"/>
      <w:pPr>
        <w:ind w:left="1440" w:hanging="360"/>
      </w:pPr>
    </w:lvl>
    <w:lvl w:ilvl="1" w:tplc="22D46E88">
      <w:start w:val="1"/>
      <w:numFmt w:val="decimal"/>
      <w:lvlText w:val="%2."/>
      <w:lvlJc w:val="left"/>
      <w:pPr>
        <w:ind w:left="1440" w:hanging="360"/>
      </w:pPr>
    </w:lvl>
    <w:lvl w:ilvl="2" w:tplc="F738BADC">
      <w:start w:val="1"/>
      <w:numFmt w:val="decimal"/>
      <w:lvlText w:val="%3."/>
      <w:lvlJc w:val="left"/>
      <w:pPr>
        <w:ind w:left="1440" w:hanging="360"/>
      </w:pPr>
    </w:lvl>
    <w:lvl w:ilvl="3" w:tplc="20FA894A">
      <w:start w:val="1"/>
      <w:numFmt w:val="decimal"/>
      <w:lvlText w:val="%4."/>
      <w:lvlJc w:val="left"/>
      <w:pPr>
        <w:ind w:left="1440" w:hanging="360"/>
      </w:pPr>
    </w:lvl>
    <w:lvl w:ilvl="4" w:tplc="441403D8">
      <w:start w:val="1"/>
      <w:numFmt w:val="decimal"/>
      <w:lvlText w:val="%5."/>
      <w:lvlJc w:val="left"/>
      <w:pPr>
        <w:ind w:left="1440" w:hanging="360"/>
      </w:pPr>
    </w:lvl>
    <w:lvl w:ilvl="5" w:tplc="E0221A6A">
      <w:start w:val="1"/>
      <w:numFmt w:val="decimal"/>
      <w:lvlText w:val="%6."/>
      <w:lvlJc w:val="left"/>
      <w:pPr>
        <w:ind w:left="1440" w:hanging="360"/>
      </w:pPr>
    </w:lvl>
    <w:lvl w:ilvl="6" w:tplc="9902629C">
      <w:start w:val="1"/>
      <w:numFmt w:val="decimal"/>
      <w:lvlText w:val="%7."/>
      <w:lvlJc w:val="left"/>
      <w:pPr>
        <w:ind w:left="1440" w:hanging="360"/>
      </w:pPr>
    </w:lvl>
    <w:lvl w:ilvl="7" w:tplc="6444E902">
      <w:start w:val="1"/>
      <w:numFmt w:val="decimal"/>
      <w:lvlText w:val="%8."/>
      <w:lvlJc w:val="left"/>
      <w:pPr>
        <w:ind w:left="1440" w:hanging="360"/>
      </w:pPr>
    </w:lvl>
    <w:lvl w:ilvl="8" w:tplc="777A2592">
      <w:start w:val="1"/>
      <w:numFmt w:val="decimal"/>
      <w:lvlText w:val="%9."/>
      <w:lvlJc w:val="left"/>
      <w:pPr>
        <w:ind w:left="1440" w:hanging="360"/>
      </w:pPr>
    </w:lvl>
  </w:abstractNum>
  <w:abstractNum w:abstractNumId="9" w15:restartNumberingAfterBreak="0">
    <w:nsid w:val="12B00E0D"/>
    <w:multiLevelType w:val="multilevel"/>
    <w:tmpl w:val="66BA81D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BE1129"/>
    <w:multiLevelType w:val="hybridMultilevel"/>
    <w:tmpl w:val="287ECB60"/>
    <w:lvl w:ilvl="0" w:tplc="0C0A0001">
      <w:start w:val="1"/>
      <w:numFmt w:val="bullet"/>
      <w:lvlText w:val=""/>
      <w:lvlJc w:val="left"/>
      <w:pPr>
        <w:ind w:left="-708" w:hanging="360"/>
      </w:pPr>
      <w:rPr>
        <w:rFonts w:ascii="Symbol" w:hAnsi="Symbol" w:hint="default"/>
      </w:rPr>
    </w:lvl>
    <w:lvl w:ilvl="1" w:tplc="0C0A0003" w:tentative="1">
      <w:start w:val="1"/>
      <w:numFmt w:val="bullet"/>
      <w:lvlText w:val="o"/>
      <w:lvlJc w:val="left"/>
      <w:pPr>
        <w:ind w:left="12" w:hanging="360"/>
      </w:pPr>
      <w:rPr>
        <w:rFonts w:ascii="Courier New" w:hAnsi="Courier New" w:cs="Courier New" w:hint="default"/>
      </w:rPr>
    </w:lvl>
    <w:lvl w:ilvl="2" w:tplc="0C0A0005" w:tentative="1">
      <w:start w:val="1"/>
      <w:numFmt w:val="bullet"/>
      <w:lvlText w:val=""/>
      <w:lvlJc w:val="left"/>
      <w:pPr>
        <w:ind w:left="732" w:hanging="360"/>
      </w:pPr>
      <w:rPr>
        <w:rFonts w:ascii="Wingdings" w:hAnsi="Wingdings" w:hint="default"/>
      </w:rPr>
    </w:lvl>
    <w:lvl w:ilvl="3" w:tplc="0C0A0001" w:tentative="1">
      <w:start w:val="1"/>
      <w:numFmt w:val="bullet"/>
      <w:lvlText w:val=""/>
      <w:lvlJc w:val="left"/>
      <w:pPr>
        <w:ind w:left="1452" w:hanging="360"/>
      </w:pPr>
      <w:rPr>
        <w:rFonts w:ascii="Symbol" w:hAnsi="Symbol" w:hint="default"/>
      </w:rPr>
    </w:lvl>
    <w:lvl w:ilvl="4" w:tplc="0C0A0003" w:tentative="1">
      <w:start w:val="1"/>
      <w:numFmt w:val="bullet"/>
      <w:lvlText w:val="o"/>
      <w:lvlJc w:val="left"/>
      <w:pPr>
        <w:ind w:left="2172" w:hanging="360"/>
      </w:pPr>
      <w:rPr>
        <w:rFonts w:ascii="Courier New" w:hAnsi="Courier New" w:cs="Courier New" w:hint="default"/>
      </w:rPr>
    </w:lvl>
    <w:lvl w:ilvl="5" w:tplc="0C0A0005" w:tentative="1">
      <w:start w:val="1"/>
      <w:numFmt w:val="bullet"/>
      <w:lvlText w:val=""/>
      <w:lvlJc w:val="left"/>
      <w:pPr>
        <w:ind w:left="2892" w:hanging="360"/>
      </w:pPr>
      <w:rPr>
        <w:rFonts w:ascii="Wingdings" w:hAnsi="Wingdings" w:hint="default"/>
      </w:rPr>
    </w:lvl>
    <w:lvl w:ilvl="6" w:tplc="0C0A0001" w:tentative="1">
      <w:start w:val="1"/>
      <w:numFmt w:val="bullet"/>
      <w:lvlText w:val=""/>
      <w:lvlJc w:val="left"/>
      <w:pPr>
        <w:ind w:left="3612" w:hanging="360"/>
      </w:pPr>
      <w:rPr>
        <w:rFonts w:ascii="Symbol" w:hAnsi="Symbol" w:hint="default"/>
      </w:rPr>
    </w:lvl>
    <w:lvl w:ilvl="7" w:tplc="0C0A0003" w:tentative="1">
      <w:start w:val="1"/>
      <w:numFmt w:val="bullet"/>
      <w:lvlText w:val="o"/>
      <w:lvlJc w:val="left"/>
      <w:pPr>
        <w:ind w:left="4332" w:hanging="360"/>
      </w:pPr>
      <w:rPr>
        <w:rFonts w:ascii="Courier New" w:hAnsi="Courier New" w:cs="Courier New" w:hint="default"/>
      </w:rPr>
    </w:lvl>
    <w:lvl w:ilvl="8" w:tplc="0C0A0005" w:tentative="1">
      <w:start w:val="1"/>
      <w:numFmt w:val="bullet"/>
      <w:lvlText w:val=""/>
      <w:lvlJc w:val="left"/>
      <w:pPr>
        <w:ind w:left="5052" w:hanging="360"/>
      </w:pPr>
      <w:rPr>
        <w:rFonts w:ascii="Wingdings" w:hAnsi="Wingdings" w:hint="default"/>
      </w:rPr>
    </w:lvl>
  </w:abstractNum>
  <w:abstractNum w:abstractNumId="11" w15:restartNumberingAfterBreak="0">
    <w:nsid w:val="15AD52CE"/>
    <w:multiLevelType w:val="hybridMultilevel"/>
    <w:tmpl w:val="CE3C80CE"/>
    <w:lvl w:ilvl="0" w:tplc="D32A8D2E">
      <w:start w:val="1"/>
      <w:numFmt w:val="decimal"/>
      <w:lvlText w:val="(%1)"/>
      <w:lvlJc w:val="left"/>
      <w:pPr>
        <w:ind w:left="1440" w:hanging="360"/>
      </w:pPr>
    </w:lvl>
    <w:lvl w:ilvl="1" w:tplc="AD5895B2">
      <w:start w:val="1"/>
      <w:numFmt w:val="decimal"/>
      <w:lvlText w:val="(%2)"/>
      <w:lvlJc w:val="left"/>
      <w:pPr>
        <w:ind w:left="1440" w:hanging="360"/>
      </w:pPr>
    </w:lvl>
    <w:lvl w:ilvl="2" w:tplc="477E097A">
      <w:start w:val="1"/>
      <w:numFmt w:val="decimal"/>
      <w:lvlText w:val="(%3)"/>
      <w:lvlJc w:val="left"/>
      <w:pPr>
        <w:ind w:left="1440" w:hanging="360"/>
      </w:pPr>
    </w:lvl>
    <w:lvl w:ilvl="3" w:tplc="0D888E18">
      <w:start w:val="1"/>
      <w:numFmt w:val="decimal"/>
      <w:lvlText w:val="(%4)"/>
      <w:lvlJc w:val="left"/>
      <w:pPr>
        <w:ind w:left="1440" w:hanging="360"/>
      </w:pPr>
    </w:lvl>
    <w:lvl w:ilvl="4" w:tplc="B6324632">
      <w:start w:val="1"/>
      <w:numFmt w:val="decimal"/>
      <w:lvlText w:val="(%5)"/>
      <w:lvlJc w:val="left"/>
      <w:pPr>
        <w:ind w:left="1440" w:hanging="360"/>
      </w:pPr>
    </w:lvl>
    <w:lvl w:ilvl="5" w:tplc="41EE98E0">
      <w:start w:val="1"/>
      <w:numFmt w:val="decimal"/>
      <w:lvlText w:val="(%6)"/>
      <w:lvlJc w:val="left"/>
      <w:pPr>
        <w:ind w:left="1440" w:hanging="360"/>
      </w:pPr>
    </w:lvl>
    <w:lvl w:ilvl="6" w:tplc="3272A65A">
      <w:start w:val="1"/>
      <w:numFmt w:val="decimal"/>
      <w:lvlText w:val="(%7)"/>
      <w:lvlJc w:val="left"/>
      <w:pPr>
        <w:ind w:left="1440" w:hanging="360"/>
      </w:pPr>
    </w:lvl>
    <w:lvl w:ilvl="7" w:tplc="4D30960E">
      <w:start w:val="1"/>
      <w:numFmt w:val="decimal"/>
      <w:lvlText w:val="(%8)"/>
      <w:lvlJc w:val="left"/>
      <w:pPr>
        <w:ind w:left="1440" w:hanging="360"/>
      </w:pPr>
    </w:lvl>
    <w:lvl w:ilvl="8" w:tplc="2D36FDC4">
      <w:start w:val="1"/>
      <w:numFmt w:val="decimal"/>
      <w:lvlText w:val="(%9)"/>
      <w:lvlJc w:val="left"/>
      <w:pPr>
        <w:ind w:left="1440" w:hanging="360"/>
      </w:pPr>
    </w:lvl>
  </w:abstractNum>
  <w:abstractNum w:abstractNumId="12" w15:restartNumberingAfterBreak="0">
    <w:nsid w:val="1659796F"/>
    <w:multiLevelType w:val="hybridMultilevel"/>
    <w:tmpl w:val="F782C37C"/>
    <w:lvl w:ilvl="0" w:tplc="B5AE8A12">
      <w:start w:val="1"/>
      <w:numFmt w:val="decimal"/>
      <w:lvlText w:val="%1)"/>
      <w:lvlJc w:val="left"/>
      <w:pPr>
        <w:ind w:left="2160" w:hanging="360"/>
      </w:pPr>
    </w:lvl>
    <w:lvl w:ilvl="1" w:tplc="F7E813C2">
      <w:start w:val="1"/>
      <w:numFmt w:val="bullet"/>
      <w:lvlText w:val=""/>
      <w:lvlJc w:val="left"/>
      <w:pPr>
        <w:ind w:left="1800" w:hanging="360"/>
      </w:pPr>
      <w:rPr>
        <w:rFonts w:ascii="Symbol" w:hAnsi="Symbol"/>
      </w:rPr>
    </w:lvl>
    <w:lvl w:ilvl="2" w:tplc="63FAC552">
      <w:start w:val="1"/>
      <w:numFmt w:val="decimal"/>
      <w:lvlText w:val="%3)"/>
      <w:lvlJc w:val="left"/>
      <w:pPr>
        <w:ind w:left="2160" w:hanging="360"/>
      </w:pPr>
    </w:lvl>
    <w:lvl w:ilvl="3" w:tplc="57EC55F4">
      <w:start w:val="1"/>
      <w:numFmt w:val="decimal"/>
      <w:lvlText w:val="%4)"/>
      <w:lvlJc w:val="left"/>
      <w:pPr>
        <w:ind w:left="2160" w:hanging="360"/>
      </w:pPr>
    </w:lvl>
    <w:lvl w:ilvl="4" w:tplc="065E9150">
      <w:start w:val="1"/>
      <w:numFmt w:val="decimal"/>
      <w:lvlText w:val="%5)"/>
      <w:lvlJc w:val="left"/>
      <w:pPr>
        <w:ind w:left="2160" w:hanging="360"/>
      </w:pPr>
    </w:lvl>
    <w:lvl w:ilvl="5" w:tplc="2082835C">
      <w:start w:val="1"/>
      <w:numFmt w:val="decimal"/>
      <w:lvlText w:val="%6)"/>
      <w:lvlJc w:val="left"/>
      <w:pPr>
        <w:ind w:left="2160" w:hanging="360"/>
      </w:pPr>
    </w:lvl>
    <w:lvl w:ilvl="6" w:tplc="E584A6DE">
      <w:start w:val="1"/>
      <w:numFmt w:val="decimal"/>
      <w:lvlText w:val="%7)"/>
      <w:lvlJc w:val="left"/>
      <w:pPr>
        <w:ind w:left="2160" w:hanging="360"/>
      </w:pPr>
    </w:lvl>
    <w:lvl w:ilvl="7" w:tplc="15C4711A">
      <w:start w:val="1"/>
      <w:numFmt w:val="decimal"/>
      <w:lvlText w:val="%8)"/>
      <w:lvlJc w:val="left"/>
      <w:pPr>
        <w:ind w:left="2160" w:hanging="360"/>
      </w:pPr>
    </w:lvl>
    <w:lvl w:ilvl="8" w:tplc="5C964124">
      <w:start w:val="1"/>
      <w:numFmt w:val="decimal"/>
      <w:lvlText w:val="%9)"/>
      <w:lvlJc w:val="left"/>
      <w:pPr>
        <w:ind w:left="2160" w:hanging="360"/>
      </w:pPr>
    </w:lvl>
  </w:abstractNum>
  <w:abstractNum w:abstractNumId="13" w15:restartNumberingAfterBreak="0">
    <w:nsid w:val="1AC4049A"/>
    <w:multiLevelType w:val="hybridMultilevel"/>
    <w:tmpl w:val="6D805B36"/>
    <w:lvl w:ilvl="0" w:tplc="A1A857E4">
      <w:start w:val="1"/>
      <w:numFmt w:val="decimal"/>
      <w:lvlText w:val="%1."/>
      <w:lvlJc w:val="left"/>
      <w:pPr>
        <w:ind w:left="1440" w:hanging="360"/>
      </w:pPr>
    </w:lvl>
    <w:lvl w:ilvl="1" w:tplc="5AC239AC">
      <w:start w:val="1"/>
      <w:numFmt w:val="decimal"/>
      <w:lvlText w:val="%2."/>
      <w:lvlJc w:val="left"/>
      <w:pPr>
        <w:ind w:left="1440" w:hanging="360"/>
      </w:pPr>
    </w:lvl>
    <w:lvl w:ilvl="2" w:tplc="C98C7426">
      <w:start w:val="1"/>
      <w:numFmt w:val="decimal"/>
      <w:lvlText w:val="%3."/>
      <w:lvlJc w:val="left"/>
      <w:pPr>
        <w:ind w:left="1440" w:hanging="360"/>
      </w:pPr>
    </w:lvl>
    <w:lvl w:ilvl="3" w:tplc="38E28378">
      <w:start w:val="1"/>
      <w:numFmt w:val="decimal"/>
      <w:lvlText w:val="%4."/>
      <w:lvlJc w:val="left"/>
      <w:pPr>
        <w:ind w:left="1440" w:hanging="360"/>
      </w:pPr>
    </w:lvl>
    <w:lvl w:ilvl="4" w:tplc="2B3AC042">
      <w:start w:val="1"/>
      <w:numFmt w:val="decimal"/>
      <w:lvlText w:val="%5."/>
      <w:lvlJc w:val="left"/>
      <w:pPr>
        <w:ind w:left="1440" w:hanging="360"/>
      </w:pPr>
    </w:lvl>
    <w:lvl w:ilvl="5" w:tplc="513AB68A">
      <w:start w:val="1"/>
      <w:numFmt w:val="decimal"/>
      <w:lvlText w:val="%6."/>
      <w:lvlJc w:val="left"/>
      <w:pPr>
        <w:ind w:left="1440" w:hanging="360"/>
      </w:pPr>
    </w:lvl>
    <w:lvl w:ilvl="6" w:tplc="74F42FCC">
      <w:start w:val="1"/>
      <w:numFmt w:val="decimal"/>
      <w:lvlText w:val="%7."/>
      <w:lvlJc w:val="left"/>
      <w:pPr>
        <w:ind w:left="1440" w:hanging="360"/>
      </w:pPr>
    </w:lvl>
    <w:lvl w:ilvl="7" w:tplc="04F698CE">
      <w:start w:val="1"/>
      <w:numFmt w:val="decimal"/>
      <w:lvlText w:val="%8."/>
      <w:lvlJc w:val="left"/>
      <w:pPr>
        <w:ind w:left="1440" w:hanging="360"/>
      </w:pPr>
    </w:lvl>
    <w:lvl w:ilvl="8" w:tplc="AD201B34">
      <w:start w:val="1"/>
      <w:numFmt w:val="decimal"/>
      <w:lvlText w:val="%9."/>
      <w:lvlJc w:val="left"/>
      <w:pPr>
        <w:ind w:left="1440" w:hanging="360"/>
      </w:pPr>
    </w:lvl>
  </w:abstractNum>
  <w:abstractNum w:abstractNumId="14" w15:restartNumberingAfterBreak="0">
    <w:nsid w:val="1D516DA7"/>
    <w:multiLevelType w:val="hybridMultilevel"/>
    <w:tmpl w:val="C71E42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E554A7A"/>
    <w:multiLevelType w:val="hybridMultilevel"/>
    <w:tmpl w:val="DE02A302"/>
    <w:lvl w:ilvl="0" w:tplc="3322FF26">
      <w:start w:val="1"/>
      <w:numFmt w:val="decimal"/>
      <w:lvlText w:val="%1."/>
      <w:lvlJc w:val="left"/>
      <w:pPr>
        <w:ind w:left="1440" w:hanging="360"/>
      </w:pPr>
    </w:lvl>
    <w:lvl w:ilvl="1" w:tplc="E2C8C556">
      <w:start w:val="1"/>
      <w:numFmt w:val="decimal"/>
      <w:lvlText w:val="%2."/>
      <w:lvlJc w:val="left"/>
      <w:pPr>
        <w:ind w:left="1440" w:hanging="360"/>
      </w:pPr>
    </w:lvl>
    <w:lvl w:ilvl="2" w:tplc="226E2DDA">
      <w:start w:val="1"/>
      <w:numFmt w:val="decimal"/>
      <w:lvlText w:val="%3."/>
      <w:lvlJc w:val="left"/>
      <w:pPr>
        <w:ind w:left="1440" w:hanging="360"/>
      </w:pPr>
    </w:lvl>
    <w:lvl w:ilvl="3" w:tplc="53844AB4">
      <w:start w:val="1"/>
      <w:numFmt w:val="decimal"/>
      <w:lvlText w:val="%4."/>
      <w:lvlJc w:val="left"/>
      <w:pPr>
        <w:ind w:left="1440" w:hanging="360"/>
      </w:pPr>
    </w:lvl>
    <w:lvl w:ilvl="4" w:tplc="4B429B94">
      <w:start w:val="1"/>
      <w:numFmt w:val="decimal"/>
      <w:lvlText w:val="%5."/>
      <w:lvlJc w:val="left"/>
      <w:pPr>
        <w:ind w:left="1440" w:hanging="360"/>
      </w:pPr>
    </w:lvl>
    <w:lvl w:ilvl="5" w:tplc="1B02761C">
      <w:start w:val="1"/>
      <w:numFmt w:val="decimal"/>
      <w:lvlText w:val="%6."/>
      <w:lvlJc w:val="left"/>
      <w:pPr>
        <w:ind w:left="1440" w:hanging="360"/>
      </w:pPr>
    </w:lvl>
    <w:lvl w:ilvl="6" w:tplc="A864AE24">
      <w:start w:val="1"/>
      <w:numFmt w:val="decimal"/>
      <w:lvlText w:val="%7."/>
      <w:lvlJc w:val="left"/>
      <w:pPr>
        <w:ind w:left="1440" w:hanging="360"/>
      </w:pPr>
    </w:lvl>
    <w:lvl w:ilvl="7" w:tplc="1CB820D2">
      <w:start w:val="1"/>
      <w:numFmt w:val="decimal"/>
      <w:lvlText w:val="%8."/>
      <w:lvlJc w:val="left"/>
      <w:pPr>
        <w:ind w:left="1440" w:hanging="360"/>
      </w:pPr>
    </w:lvl>
    <w:lvl w:ilvl="8" w:tplc="72FEE7F8">
      <w:start w:val="1"/>
      <w:numFmt w:val="decimal"/>
      <w:lvlText w:val="%9."/>
      <w:lvlJc w:val="left"/>
      <w:pPr>
        <w:ind w:left="1440" w:hanging="360"/>
      </w:pPr>
    </w:lvl>
  </w:abstractNum>
  <w:abstractNum w:abstractNumId="16" w15:restartNumberingAfterBreak="0">
    <w:nsid w:val="1FFE04E9"/>
    <w:multiLevelType w:val="hybridMultilevel"/>
    <w:tmpl w:val="0FF0DB06"/>
    <w:lvl w:ilvl="0" w:tplc="284C6FC8">
      <w:start w:val="1"/>
      <w:numFmt w:val="decimal"/>
      <w:lvlText w:val="%1."/>
      <w:lvlJc w:val="left"/>
      <w:pPr>
        <w:ind w:left="1440" w:hanging="360"/>
      </w:pPr>
    </w:lvl>
    <w:lvl w:ilvl="1" w:tplc="E9AAC094">
      <w:start w:val="1"/>
      <w:numFmt w:val="decimal"/>
      <w:lvlText w:val="%2."/>
      <w:lvlJc w:val="left"/>
      <w:pPr>
        <w:ind w:left="1440" w:hanging="360"/>
      </w:pPr>
    </w:lvl>
    <w:lvl w:ilvl="2" w:tplc="767CCE0E">
      <w:start w:val="1"/>
      <w:numFmt w:val="decimal"/>
      <w:lvlText w:val="%3."/>
      <w:lvlJc w:val="left"/>
      <w:pPr>
        <w:ind w:left="1440" w:hanging="360"/>
      </w:pPr>
    </w:lvl>
    <w:lvl w:ilvl="3" w:tplc="A2645E78">
      <w:start w:val="1"/>
      <w:numFmt w:val="decimal"/>
      <w:lvlText w:val="%4."/>
      <w:lvlJc w:val="left"/>
      <w:pPr>
        <w:ind w:left="1440" w:hanging="360"/>
      </w:pPr>
    </w:lvl>
    <w:lvl w:ilvl="4" w:tplc="A1D4BCA6">
      <w:start w:val="1"/>
      <w:numFmt w:val="decimal"/>
      <w:lvlText w:val="%5."/>
      <w:lvlJc w:val="left"/>
      <w:pPr>
        <w:ind w:left="1440" w:hanging="360"/>
      </w:pPr>
    </w:lvl>
    <w:lvl w:ilvl="5" w:tplc="A3BCECCE">
      <w:start w:val="1"/>
      <w:numFmt w:val="decimal"/>
      <w:lvlText w:val="%6."/>
      <w:lvlJc w:val="left"/>
      <w:pPr>
        <w:ind w:left="1440" w:hanging="360"/>
      </w:pPr>
    </w:lvl>
    <w:lvl w:ilvl="6" w:tplc="413AA970">
      <w:start w:val="1"/>
      <w:numFmt w:val="decimal"/>
      <w:lvlText w:val="%7."/>
      <w:lvlJc w:val="left"/>
      <w:pPr>
        <w:ind w:left="1440" w:hanging="360"/>
      </w:pPr>
    </w:lvl>
    <w:lvl w:ilvl="7" w:tplc="C7103DC0">
      <w:start w:val="1"/>
      <w:numFmt w:val="decimal"/>
      <w:lvlText w:val="%8."/>
      <w:lvlJc w:val="left"/>
      <w:pPr>
        <w:ind w:left="1440" w:hanging="360"/>
      </w:pPr>
    </w:lvl>
    <w:lvl w:ilvl="8" w:tplc="6322A72C">
      <w:start w:val="1"/>
      <w:numFmt w:val="decimal"/>
      <w:lvlText w:val="%9."/>
      <w:lvlJc w:val="left"/>
      <w:pPr>
        <w:ind w:left="1440" w:hanging="360"/>
      </w:pPr>
    </w:lvl>
  </w:abstractNum>
  <w:abstractNum w:abstractNumId="17" w15:restartNumberingAfterBreak="0">
    <w:nsid w:val="22135970"/>
    <w:multiLevelType w:val="multilevel"/>
    <w:tmpl w:val="C2C0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CE03B6"/>
    <w:multiLevelType w:val="hybridMultilevel"/>
    <w:tmpl w:val="3FFE519A"/>
    <w:lvl w:ilvl="0" w:tplc="642AF728">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13C7654"/>
    <w:multiLevelType w:val="hybridMultilevel"/>
    <w:tmpl w:val="42C04678"/>
    <w:lvl w:ilvl="0" w:tplc="642AF728">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3B0A6FA"/>
    <w:multiLevelType w:val="hybridMultilevel"/>
    <w:tmpl w:val="4030DC74"/>
    <w:lvl w:ilvl="0" w:tplc="DC182B9C">
      <w:start w:val="1"/>
      <w:numFmt w:val="bullet"/>
      <w:lvlText w:val="-"/>
      <w:lvlJc w:val="left"/>
      <w:pPr>
        <w:ind w:left="720" w:hanging="360"/>
      </w:pPr>
      <w:rPr>
        <w:rFonts w:ascii="Calibri" w:hAnsi="Calibri" w:hint="default"/>
      </w:rPr>
    </w:lvl>
    <w:lvl w:ilvl="1" w:tplc="7992770C">
      <w:start w:val="1"/>
      <w:numFmt w:val="bullet"/>
      <w:lvlText w:val="o"/>
      <w:lvlJc w:val="left"/>
      <w:pPr>
        <w:ind w:left="1440" w:hanging="360"/>
      </w:pPr>
      <w:rPr>
        <w:rFonts w:ascii="Courier New" w:hAnsi="Courier New" w:hint="default"/>
      </w:rPr>
    </w:lvl>
    <w:lvl w:ilvl="2" w:tplc="8BC0C43E">
      <w:start w:val="1"/>
      <w:numFmt w:val="bullet"/>
      <w:lvlText w:val=""/>
      <w:lvlJc w:val="left"/>
      <w:pPr>
        <w:ind w:left="2160" w:hanging="360"/>
      </w:pPr>
      <w:rPr>
        <w:rFonts w:ascii="Wingdings" w:hAnsi="Wingdings" w:hint="default"/>
      </w:rPr>
    </w:lvl>
    <w:lvl w:ilvl="3" w:tplc="28AEEE3C">
      <w:start w:val="1"/>
      <w:numFmt w:val="bullet"/>
      <w:lvlText w:val=""/>
      <w:lvlJc w:val="left"/>
      <w:pPr>
        <w:ind w:left="2880" w:hanging="360"/>
      </w:pPr>
      <w:rPr>
        <w:rFonts w:ascii="Symbol" w:hAnsi="Symbol" w:hint="default"/>
      </w:rPr>
    </w:lvl>
    <w:lvl w:ilvl="4" w:tplc="341EE53C">
      <w:start w:val="1"/>
      <w:numFmt w:val="bullet"/>
      <w:lvlText w:val="o"/>
      <w:lvlJc w:val="left"/>
      <w:pPr>
        <w:ind w:left="3600" w:hanging="360"/>
      </w:pPr>
      <w:rPr>
        <w:rFonts w:ascii="Courier New" w:hAnsi="Courier New" w:hint="default"/>
      </w:rPr>
    </w:lvl>
    <w:lvl w:ilvl="5" w:tplc="F1F88106">
      <w:start w:val="1"/>
      <w:numFmt w:val="bullet"/>
      <w:lvlText w:val=""/>
      <w:lvlJc w:val="left"/>
      <w:pPr>
        <w:ind w:left="4320" w:hanging="360"/>
      </w:pPr>
      <w:rPr>
        <w:rFonts w:ascii="Wingdings" w:hAnsi="Wingdings" w:hint="default"/>
      </w:rPr>
    </w:lvl>
    <w:lvl w:ilvl="6" w:tplc="61FEA7C0">
      <w:start w:val="1"/>
      <w:numFmt w:val="bullet"/>
      <w:lvlText w:val=""/>
      <w:lvlJc w:val="left"/>
      <w:pPr>
        <w:ind w:left="5040" w:hanging="360"/>
      </w:pPr>
      <w:rPr>
        <w:rFonts w:ascii="Symbol" w:hAnsi="Symbol" w:hint="default"/>
      </w:rPr>
    </w:lvl>
    <w:lvl w:ilvl="7" w:tplc="08FE6B6E">
      <w:start w:val="1"/>
      <w:numFmt w:val="bullet"/>
      <w:lvlText w:val="o"/>
      <w:lvlJc w:val="left"/>
      <w:pPr>
        <w:ind w:left="5760" w:hanging="360"/>
      </w:pPr>
      <w:rPr>
        <w:rFonts w:ascii="Courier New" w:hAnsi="Courier New" w:hint="default"/>
      </w:rPr>
    </w:lvl>
    <w:lvl w:ilvl="8" w:tplc="E08C0798">
      <w:start w:val="1"/>
      <w:numFmt w:val="bullet"/>
      <w:lvlText w:val=""/>
      <w:lvlJc w:val="left"/>
      <w:pPr>
        <w:ind w:left="6480" w:hanging="360"/>
      </w:pPr>
      <w:rPr>
        <w:rFonts w:ascii="Wingdings" w:hAnsi="Wingdings" w:hint="default"/>
      </w:rPr>
    </w:lvl>
  </w:abstractNum>
  <w:abstractNum w:abstractNumId="21" w15:restartNumberingAfterBreak="0">
    <w:nsid w:val="35390464"/>
    <w:multiLevelType w:val="multilevel"/>
    <w:tmpl w:val="51CC9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3064C8"/>
    <w:multiLevelType w:val="hybridMultilevel"/>
    <w:tmpl w:val="20B2B63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15:restartNumberingAfterBreak="0">
    <w:nsid w:val="3B160BAE"/>
    <w:multiLevelType w:val="hybridMultilevel"/>
    <w:tmpl w:val="7EBEE102"/>
    <w:lvl w:ilvl="0" w:tplc="A72247AC">
      <w:start w:val="1"/>
      <w:numFmt w:val="decimal"/>
      <w:lvlText w:val="(%1)"/>
      <w:lvlJc w:val="left"/>
      <w:pPr>
        <w:ind w:left="1440" w:hanging="360"/>
      </w:pPr>
    </w:lvl>
    <w:lvl w:ilvl="1" w:tplc="F8E4DF9C">
      <w:start w:val="1"/>
      <w:numFmt w:val="decimal"/>
      <w:lvlText w:val="(%2)"/>
      <w:lvlJc w:val="left"/>
      <w:pPr>
        <w:ind w:left="1440" w:hanging="360"/>
      </w:pPr>
    </w:lvl>
    <w:lvl w:ilvl="2" w:tplc="1A0205DC">
      <w:start w:val="1"/>
      <w:numFmt w:val="decimal"/>
      <w:lvlText w:val="(%3)"/>
      <w:lvlJc w:val="left"/>
      <w:pPr>
        <w:ind w:left="1440" w:hanging="360"/>
      </w:pPr>
    </w:lvl>
    <w:lvl w:ilvl="3" w:tplc="24D6761C">
      <w:start w:val="1"/>
      <w:numFmt w:val="decimal"/>
      <w:lvlText w:val="(%4)"/>
      <w:lvlJc w:val="left"/>
      <w:pPr>
        <w:ind w:left="1440" w:hanging="360"/>
      </w:pPr>
    </w:lvl>
    <w:lvl w:ilvl="4" w:tplc="9918B3DC">
      <w:start w:val="1"/>
      <w:numFmt w:val="decimal"/>
      <w:lvlText w:val="(%5)"/>
      <w:lvlJc w:val="left"/>
      <w:pPr>
        <w:ind w:left="1440" w:hanging="360"/>
      </w:pPr>
    </w:lvl>
    <w:lvl w:ilvl="5" w:tplc="7150A4A0">
      <w:start w:val="1"/>
      <w:numFmt w:val="decimal"/>
      <w:lvlText w:val="(%6)"/>
      <w:lvlJc w:val="left"/>
      <w:pPr>
        <w:ind w:left="1440" w:hanging="360"/>
      </w:pPr>
    </w:lvl>
    <w:lvl w:ilvl="6" w:tplc="05362E3C">
      <w:start w:val="1"/>
      <w:numFmt w:val="decimal"/>
      <w:lvlText w:val="(%7)"/>
      <w:lvlJc w:val="left"/>
      <w:pPr>
        <w:ind w:left="1440" w:hanging="360"/>
      </w:pPr>
    </w:lvl>
    <w:lvl w:ilvl="7" w:tplc="F8104142">
      <w:start w:val="1"/>
      <w:numFmt w:val="decimal"/>
      <w:lvlText w:val="(%8)"/>
      <w:lvlJc w:val="left"/>
      <w:pPr>
        <w:ind w:left="1440" w:hanging="360"/>
      </w:pPr>
    </w:lvl>
    <w:lvl w:ilvl="8" w:tplc="F3F4706E">
      <w:start w:val="1"/>
      <w:numFmt w:val="decimal"/>
      <w:lvlText w:val="(%9)"/>
      <w:lvlJc w:val="left"/>
      <w:pPr>
        <w:ind w:left="1440" w:hanging="360"/>
      </w:pPr>
    </w:lvl>
  </w:abstractNum>
  <w:abstractNum w:abstractNumId="24" w15:restartNumberingAfterBreak="0">
    <w:nsid w:val="3BAF69E6"/>
    <w:multiLevelType w:val="hybridMultilevel"/>
    <w:tmpl w:val="DAFC79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1F2229B"/>
    <w:multiLevelType w:val="hybridMultilevel"/>
    <w:tmpl w:val="BB86A1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2200ABE"/>
    <w:multiLevelType w:val="hybridMultilevel"/>
    <w:tmpl w:val="95569F6E"/>
    <w:lvl w:ilvl="0" w:tplc="B9741D7C">
      <w:start w:val="1"/>
      <w:numFmt w:val="decimal"/>
      <w:lvlText w:val="%1."/>
      <w:lvlJc w:val="left"/>
      <w:pPr>
        <w:ind w:left="1440" w:hanging="360"/>
      </w:pPr>
    </w:lvl>
    <w:lvl w:ilvl="1" w:tplc="6316C244">
      <w:start w:val="1"/>
      <w:numFmt w:val="decimal"/>
      <w:lvlText w:val="%2."/>
      <w:lvlJc w:val="left"/>
      <w:pPr>
        <w:ind w:left="1440" w:hanging="360"/>
      </w:pPr>
    </w:lvl>
    <w:lvl w:ilvl="2" w:tplc="496C20FA">
      <w:start w:val="1"/>
      <w:numFmt w:val="decimal"/>
      <w:lvlText w:val="%3."/>
      <w:lvlJc w:val="left"/>
      <w:pPr>
        <w:ind w:left="1440" w:hanging="360"/>
      </w:pPr>
    </w:lvl>
    <w:lvl w:ilvl="3" w:tplc="8C9E2E40">
      <w:start w:val="1"/>
      <w:numFmt w:val="decimal"/>
      <w:lvlText w:val="%4."/>
      <w:lvlJc w:val="left"/>
      <w:pPr>
        <w:ind w:left="1440" w:hanging="360"/>
      </w:pPr>
    </w:lvl>
    <w:lvl w:ilvl="4" w:tplc="D652BD5E">
      <w:start w:val="1"/>
      <w:numFmt w:val="decimal"/>
      <w:lvlText w:val="%5."/>
      <w:lvlJc w:val="left"/>
      <w:pPr>
        <w:ind w:left="1440" w:hanging="360"/>
      </w:pPr>
    </w:lvl>
    <w:lvl w:ilvl="5" w:tplc="629087F2">
      <w:start w:val="1"/>
      <w:numFmt w:val="decimal"/>
      <w:lvlText w:val="%6."/>
      <w:lvlJc w:val="left"/>
      <w:pPr>
        <w:ind w:left="1440" w:hanging="360"/>
      </w:pPr>
    </w:lvl>
    <w:lvl w:ilvl="6" w:tplc="E012D78A">
      <w:start w:val="1"/>
      <w:numFmt w:val="decimal"/>
      <w:lvlText w:val="%7."/>
      <w:lvlJc w:val="left"/>
      <w:pPr>
        <w:ind w:left="1440" w:hanging="360"/>
      </w:pPr>
    </w:lvl>
    <w:lvl w:ilvl="7" w:tplc="5934B876">
      <w:start w:val="1"/>
      <w:numFmt w:val="decimal"/>
      <w:lvlText w:val="%8."/>
      <w:lvlJc w:val="left"/>
      <w:pPr>
        <w:ind w:left="1440" w:hanging="360"/>
      </w:pPr>
    </w:lvl>
    <w:lvl w:ilvl="8" w:tplc="FD1815D2">
      <w:start w:val="1"/>
      <w:numFmt w:val="decimal"/>
      <w:lvlText w:val="%9."/>
      <w:lvlJc w:val="left"/>
      <w:pPr>
        <w:ind w:left="1440" w:hanging="360"/>
      </w:pPr>
    </w:lvl>
  </w:abstractNum>
  <w:abstractNum w:abstractNumId="27" w15:restartNumberingAfterBreak="0">
    <w:nsid w:val="448A2659"/>
    <w:multiLevelType w:val="hybridMultilevel"/>
    <w:tmpl w:val="11765FEC"/>
    <w:lvl w:ilvl="0" w:tplc="D81C58B2">
      <w:numFmt w:val="bullet"/>
      <w:lvlText w:val="-"/>
      <w:lvlJc w:val="left"/>
      <w:pPr>
        <w:ind w:left="360" w:hanging="360"/>
      </w:pPr>
      <w:rPr>
        <w:rFonts w:ascii="Calibri" w:eastAsiaTheme="minorHAnsi"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47E267DB"/>
    <w:multiLevelType w:val="hybridMultilevel"/>
    <w:tmpl w:val="2B70AEC2"/>
    <w:lvl w:ilvl="0" w:tplc="F3FCCF52">
      <w:start w:val="1"/>
      <w:numFmt w:val="decimal"/>
      <w:lvlText w:val="%1)"/>
      <w:lvlJc w:val="left"/>
      <w:pPr>
        <w:ind w:left="2160" w:hanging="360"/>
      </w:pPr>
    </w:lvl>
    <w:lvl w:ilvl="1" w:tplc="278EC478">
      <w:start w:val="1"/>
      <w:numFmt w:val="decimal"/>
      <w:lvlText w:val="%2)"/>
      <w:lvlJc w:val="left"/>
      <w:pPr>
        <w:ind w:left="2160" w:hanging="360"/>
      </w:pPr>
    </w:lvl>
    <w:lvl w:ilvl="2" w:tplc="E81649D8">
      <w:start w:val="1"/>
      <w:numFmt w:val="decimal"/>
      <w:lvlText w:val="%3)"/>
      <w:lvlJc w:val="left"/>
      <w:pPr>
        <w:ind w:left="2160" w:hanging="360"/>
      </w:pPr>
    </w:lvl>
    <w:lvl w:ilvl="3" w:tplc="49B03C06">
      <w:start w:val="1"/>
      <w:numFmt w:val="decimal"/>
      <w:lvlText w:val="%4)"/>
      <w:lvlJc w:val="left"/>
      <w:pPr>
        <w:ind w:left="2160" w:hanging="360"/>
      </w:pPr>
    </w:lvl>
    <w:lvl w:ilvl="4" w:tplc="325C7008">
      <w:start w:val="1"/>
      <w:numFmt w:val="decimal"/>
      <w:lvlText w:val="%5)"/>
      <w:lvlJc w:val="left"/>
      <w:pPr>
        <w:ind w:left="2160" w:hanging="360"/>
      </w:pPr>
    </w:lvl>
    <w:lvl w:ilvl="5" w:tplc="8392F98A">
      <w:start w:val="1"/>
      <w:numFmt w:val="decimal"/>
      <w:lvlText w:val="%6)"/>
      <w:lvlJc w:val="left"/>
      <w:pPr>
        <w:ind w:left="2160" w:hanging="360"/>
      </w:pPr>
    </w:lvl>
    <w:lvl w:ilvl="6" w:tplc="C0120FB8">
      <w:start w:val="1"/>
      <w:numFmt w:val="decimal"/>
      <w:lvlText w:val="%7)"/>
      <w:lvlJc w:val="left"/>
      <w:pPr>
        <w:ind w:left="2160" w:hanging="360"/>
      </w:pPr>
    </w:lvl>
    <w:lvl w:ilvl="7" w:tplc="76DC45F8">
      <w:start w:val="1"/>
      <w:numFmt w:val="decimal"/>
      <w:lvlText w:val="%8)"/>
      <w:lvlJc w:val="left"/>
      <w:pPr>
        <w:ind w:left="2160" w:hanging="360"/>
      </w:pPr>
    </w:lvl>
    <w:lvl w:ilvl="8" w:tplc="93FE0382">
      <w:start w:val="1"/>
      <w:numFmt w:val="decimal"/>
      <w:lvlText w:val="%9)"/>
      <w:lvlJc w:val="left"/>
      <w:pPr>
        <w:ind w:left="2160" w:hanging="360"/>
      </w:pPr>
    </w:lvl>
  </w:abstractNum>
  <w:abstractNum w:abstractNumId="29" w15:restartNumberingAfterBreak="0">
    <w:nsid w:val="4996C53D"/>
    <w:multiLevelType w:val="hybridMultilevel"/>
    <w:tmpl w:val="FFFFFFFF"/>
    <w:lvl w:ilvl="0" w:tplc="5FDACDA0">
      <w:start w:val="1"/>
      <w:numFmt w:val="decimal"/>
      <w:lvlText w:val="%1."/>
      <w:lvlJc w:val="left"/>
      <w:pPr>
        <w:ind w:left="720" w:hanging="360"/>
      </w:pPr>
      <w:rPr>
        <w:rFonts w:ascii="Calibri" w:hAnsi="Calibri" w:hint="default"/>
      </w:rPr>
    </w:lvl>
    <w:lvl w:ilvl="1" w:tplc="E96A3484">
      <w:start w:val="1"/>
      <w:numFmt w:val="lowerLetter"/>
      <w:lvlText w:val="%2."/>
      <w:lvlJc w:val="left"/>
      <w:pPr>
        <w:ind w:left="1440" w:hanging="360"/>
      </w:pPr>
    </w:lvl>
    <w:lvl w:ilvl="2" w:tplc="317CF27A">
      <w:start w:val="1"/>
      <w:numFmt w:val="lowerRoman"/>
      <w:lvlText w:val="%3."/>
      <w:lvlJc w:val="right"/>
      <w:pPr>
        <w:ind w:left="2160" w:hanging="180"/>
      </w:pPr>
    </w:lvl>
    <w:lvl w:ilvl="3" w:tplc="F922386A">
      <w:start w:val="1"/>
      <w:numFmt w:val="decimal"/>
      <w:lvlText w:val="%4."/>
      <w:lvlJc w:val="left"/>
      <w:pPr>
        <w:ind w:left="2880" w:hanging="360"/>
      </w:pPr>
    </w:lvl>
    <w:lvl w:ilvl="4" w:tplc="A03A73CE">
      <w:start w:val="1"/>
      <w:numFmt w:val="lowerLetter"/>
      <w:lvlText w:val="%5."/>
      <w:lvlJc w:val="left"/>
      <w:pPr>
        <w:ind w:left="3600" w:hanging="360"/>
      </w:pPr>
    </w:lvl>
    <w:lvl w:ilvl="5" w:tplc="00949976">
      <w:start w:val="1"/>
      <w:numFmt w:val="lowerRoman"/>
      <w:lvlText w:val="%6."/>
      <w:lvlJc w:val="right"/>
      <w:pPr>
        <w:ind w:left="4320" w:hanging="180"/>
      </w:pPr>
    </w:lvl>
    <w:lvl w:ilvl="6" w:tplc="EC3423CE">
      <w:start w:val="1"/>
      <w:numFmt w:val="decimal"/>
      <w:lvlText w:val="%7."/>
      <w:lvlJc w:val="left"/>
      <w:pPr>
        <w:ind w:left="5040" w:hanging="360"/>
      </w:pPr>
    </w:lvl>
    <w:lvl w:ilvl="7" w:tplc="FA2AE13E">
      <w:start w:val="1"/>
      <w:numFmt w:val="lowerLetter"/>
      <w:lvlText w:val="%8."/>
      <w:lvlJc w:val="left"/>
      <w:pPr>
        <w:ind w:left="5760" w:hanging="360"/>
      </w:pPr>
    </w:lvl>
    <w:lvl w:ilvl="8" w:tplc="9A343492">
      <w:start w:val="1"/>
      <w:numFmt w:val="lowerRoman"/>
      <w:lvlText w:val="%9."/>
      <w:lvlJc w:val="right"/>
      <w:pPr>
        <w:ind w:left="6480" w:hanging="180"/>
      </w:pPr>
    </w:lvl>
  </w:abstractNum>
  <w:abstractNum w:abstractNumId="30" w15:restartNumberingAfterBreak="0">
    <w:nsid w:val="4B993E66"/>
    <w:multiLevelType w:val="hybridMultilevel"/>
    <w:tmpl w:val="4E5476E4"/>
    <w:lvl w:ilvl="0" w:tplc="6D8AAD66">
      <w:start w:val="1"/>
      <w:numFmt w:val="bullet"/>
      <w:lvlText w:val=""/>
      <w:lvlJc w:val="left"/>
      <w:pPr>
        <w:ind w:left="720" w:hanging="360"/>
      </w:pPr>
      <w:rPr>
        <w:rFonts w:ascii="Symbol" w:hAnsi="Symbol" w:hint="default"/>
      </w:rPr>
    </w:lvl>
    <w:lvl w:ilvl="1" w:tplc="9106FEC8">
      <w:start w:val="1"/>
      <w:numFmt w:val="bullet"/>
      <w:lvlText w:val="o"/>
      <w:lvlJc w:val="left"/>
      <w:pPr>
        <w:ind w:left="1440" w:hanging="360"/>
      </w:pPr>
      <w:rPr>
        <w:rFonts w:ascii="Courier New" w:hAnsi="Courier New" w:hint="default"/>
      </w:rPr>
    </w:lvl>
    <w:lvl w:ilvl="2" w:tplc="CC2AE2D4">
      <w:start w:val="1"/>
      <w:numFmt w:val="bullet"/>
      <w:lvlText w:val=""/>
      <w:lvlJc w:val="left"/>
      <w:pPr>
        <w:ind w:left="2160" w:hanging="360"/>
      </w:pPr>
      <w:rPr>
        <w:rFonts w:ascii="Wingdings" w:hAnsi="Wingdings" w:hint="default"/>
      </w:rPr>
    </w:lvl>
    <w:lvl w:ilvl="3" w:tplc="90FED1E4">
      <w:start w:val="1"/>
      <w:numFmt w:val="bullet"/>
      <w:lvlText w:val=""/>
      <w:lvlJc w:val="left"/>
      <w:pPr>
        <w:ind w:left="2880" w:hanging="360"/>
      </w:pPr>
      <w:rPr>
        <w:rFonts w:ascii="Symbol" w:hAnsi="Symbol" w:hint="default"/>
      </w:rPr>
    </w:lvl>
    <w:lvl w:ilvl="4" w:tplc="9C028CBA">
      <w:start w:val="1"/>
      <w:numFmt w:val="bullet"/>
      <w:lvlText w:val="o"/>
      <w:lvlJc w:val="left"/>
      <w:pPr>
        <w:ind w:left="3600" w:hanging="360"/>
      </w:pPr>
      <w:rPr>
        <w:rFonts w:ascii="Courier New" w:hAnsi="Courier New" w:hint="default"/>
      </w:rPr>
    </w:lvl>
    <w:lvl w:ilvl="5" w:tplc="66EAA0E0">
      <w:start w:val="1"/>
      <w:numFmt w:val="bullet"/>
      <w:lvlText w:val=""/>
      <w:lvlJc w:val="left"/>
      <w:pPr>
        <w:ind w:left="4320" w:hanging="360"/>
      </w:pPr>
      <w:rPr>
        <w:rFonts w:ascii="Wingdings" w:hAnsi="Wingdings" w:hint="default"/>
      </w:rPr>
    </w:lvl>
    <w:lvl w:ilvl="6" w:tplc="49084B44">
      <w:start w:val="1"/>
      <w:numFmt w:val="bullet"/>
      <w:lvlText w:val=""/>
      <w:lvlJc w:val="left"/>
      <w:pPr>
        <w:ind w:left="5040" w:hanging="360"/>
      </w:pPr>
      <w:rPr>
        <w:rFonts w:ascii="Symbol" w:hAnsi="Symbol" w:hint="default"/>
      </w:rPr>
    </w:lvl>
    <w:lvl w:ilvl="7" w:tplc="FCFABB02">
      <w:start w:val="1"/>
      <w:numFmt w:val="bullet"/>
      <w:lvlText w:val="o"/>
      <w:lvlJc w:val="left"/>
      <w:pPr>
        <w:ind w:left="5760" w:hanging="360"/>
      </w:pPr>
      <w:rPr>
        <w:rFonts w:ascii="Courier New" w:hAnsi="Courier New" w:hint="default"/>
      </w:rPr>
    </w:lvl>
    <w:lvl w:ilvl="8" w:tplc="B74ED4AC">
      <w:start w:val="1"/>
      <w:numFmt w:val="bullet"/>
      <w:lvlText w:val=""/>
      <w:lvlJc w:val="left"/>
      <w:pPr>
        <w:ind w:left="6480" w:hanging="360"/>
      </w:pPr>
      <w:rPr>
        <w:rFonts w:ascii="Wingdings" w:hAnsi="Wingdings" w:hint="default"/>
      </w:rPr>
    </w:lvl>
  </w:abstractNum>
  <w:abstractNum w:abstractNumId="31" w15:restartNumberingAfterBreak="0">
    <w:nsid w:val="4BD1455B"/>
    <w:multiLevelType w:val="hybridMultilevel"/>
    <w:tmpl w:val="FA7C2CA8"/>
    <w:lvl w:ilvl="0" w:tplc="8F74B8B8">
      <w:start w:val="1"/>
      <w:numFmt w:val="decimal"/>
      <w:lvlText w:val="%1)"/>
      <w:lvlJc w:val="left"/>
      <w:pPr>
        <w:ind w:left="2160" w:hanging="360"/>
      </w:pPr>
    </w:lvl>
    <w:lvl w:ilvl="1" w:tplc="055880C2">
      <w:start w:val="1"/>
      <w:numFmt w:val="decimal"/>
      <w:lvlText w:val="%2)"/>
      <w:lvlJc w:val="left"/>
      <w:pPr>
        <w:ind w:left="2160" w:hanging="360"/>
      </w:pPr>
    </w:lvl>
    <w:lvl w:ilvl="2" w:tplc="10A4D56E">
      <w:start w:val="1"/>
      <w:numFmt w:val="decimal"/>
      <w:lvlText w:val="%3)"/>
      <w:lvlJc w:val="left"/>
      <w:pPr>
        <w:ind w:left="2160" w:hanging="360"/>
      </w:pPr>
    </w:lvl>
    <w:lvl w:ilvl="3" w:tplc="75163C4A">
      <w:start w:val="1"/>
      <w:numFmt w:val="decimal"/>
      <w:lvlText w:val="%4)"/>
      <w:lvlJc w:val="left"/>
      <w:pPr>
        <w:ind w:left="2160" w:hanging="360"/>
      </w:pPr>
    </w:lvl>
    <w:lvl w:ilvl="4" w:tplc="49EC6590">
      <w:start w:val="1"/>
      <w:numFmt w:val="decimal"/>
      <w:lvlText w:val="%5)"/>
      <w:lvlJc w:val="left"/>
      <w:pPr>
        <w:ind w:left="2160" w:hanging="360"/>
      </w:pPr>
    </w:lvl>
    <w:lvl w:ilvl="5" w:tplc="E50EF236">
      <w:start w:val="1"/>
      <w:numFmt w:val="decimal"/>
      <w:lvlText w:val="%6)"/>
      <w:lvlJc w:val="left"/>
      <w:pPr>
        <w:ind w:left="2160" w:hanging="360"/>
      </w:pPr>
    </w:lvl>
    <w:lvl w:ilvl="6" w:tplc="858498CE">
      <w:start w:val="1"/>
      <w:numFmt w:val="decimal"/>
      <w:lvlText w:val="%7)"/>
      <w:lvlJc w:val="left"/>
      <w:pPr>
        <w:ind w:left="2160" w:hanging="360"/>
      </w:pPr>
    </w:lvl>
    <w:lvl w:ilvl="7" w:tplc="99168A78">
      <w:start w:val="1"/>
      <w:numFmt w:val="decimal"/>
      <w:lvlText w:val="%8)"/>
      <w:lvlJc w:val="left"/>
      <w:pPr>
        <w:ind w:left="2160" w:hanging="360"/>
      </w:pPr>
    </w:lvl>
    <w:lvl w:ilvl="8" w:tplc="BC7C8ABC">
      <w:start w:val="1"/>
      <w:numFmt w:val="decimal"/>
      <w:lvlText w:val="%9)"/>
      <w:lvlJc w:val="left"/>
      <w:pPr>
        <w:ind w:left="2160" w:hanging="360"/>
      </w:pPr>
    </w:lvl>
  </w:abstractNum>
  <w:abstractNum w:abstractNumId="32" w15:restartNumberingAfterBreak="0">
    <w:nsid w:val="4DAC3505"/>
    <w:multiLevelType w:val="hybridMultilevel"/>
    <w:tmpl w:val="6316D36C"/>
    <w:lvl w:ilvl="0" w:tplc="6550330E">
      <w:start w:val="1"/>
      <w:numFmt w:val="bullet"/>
      <w:lvlText w:val=""/>
      <w:lvlJc w:val="left"/>
      <w:pPr>
        <w:ind w:left="720" w:hanging="360"/>
      </w:pPr>
      <w:rPr>
        <w:rFonts w:ascii="Symbol" w:hAnsi="Symbol" w:hint="default"/>
      </w:rPr>
    </w:lvl>
    <w:lvl w:ilvl="1" w:tplc="212C13FE">
      <w:start w:val="1"/>
      <w:numFmt w:val="bullet"/>
      <w:lvlText w:val="o"/>
      <w:lvlJc w:val="left"/>
      <w:pPr>
        <w:ind w:left="1440" w:hanging="360"/>
      </w:pPr>
      <w:rPr>
        <w:rFonts w:ascii="Courier New" w:hAnsi="Courier New" w:hint="default"/>
      </w:rPr>
    </w:lvl>
    <w:lvl w:ilvl="2" w:tplc="36907EE0">
      <w:start w:val="1"/>
      <w:numFmt w:val="bullet"/>
      <w:lvlText w:val=""/>
      <w:lvlJc w:val="left"/>
      <w:pPr>
        <w:ind w:left="2160" w:hanging="360"/>
      </w:pPr>
      <w:rPr>
        <w:rFonts w:ascii="Wingdings" w:hAnsi="Wingdings" w:hint="default"/>
      </w:rPr>
    </w:lvl>
    <w:lvl w:ilvl="3" w:tplc="F40ADBB0">
      <w:start w:val="1"/>
      <w:numFmt w:val="bullet"/>
      <w:lvlText w:val=""/>
      <w:lvlJc w:val="left"/>
      <w:pPr>
        <w:ind w:left="2880" w:hanging="360"/>
      </w:pPr>
      <w:rPr>
        <w:rFonts w:ascii="Symbol" w:hAnsi="Symbol" w:hint="default"/>
      </w:rPr>
    </w:lvl>
    <w:lvl w:ilvl="4" w:tplc="9DB48A5E">
      <w:start w:val="1"/>
      <w:numFmt w:val="bullet"/>
      <w:lvlText w:val="o"/>
      <w:lvlJc w:val="left"/>
      <w:pPr>
        <w:ind w:left="3600" w:hanging="360"/>
      </w:pPr>
      <w:rPr>
        <w:rFonts w:ascii="Courier New" w:hAnsi="Courier New" w:hint="default"/>
      </w:rPr>
    </w:lvl>
    <w:lvl w:ilvl="5" w:tplc="CFF4453A">
      <w:start w:val="1"/>
      <w:numFmt w:val="bullet"/>
      <w:lvlText w:val=""/>
      <w:lvlJc w:val="left"/>
      <w:pPr>
        <w:ind w:left="4320" w:hanging="360"/>
      </w:pPr>
      <w:rPr>
        <w:rFonts w:ascii="Wingdings" w:hAnsi="Wingdings" w:hint="default"/>
      </w:rPr>
    </w:lvl>
    <w:lvl w:ilvl="6" w:tplc="577A4B74">
      <w:start w:val="1"/>
      <w:numFmt w:val="bullet"/>
      <w:lvlText w:val=""/>
      <w:lvlJc w:val="left"/>
      <w:pPr>
        <w:ind w:left="5040" w:hanging="360"/>
      </w:pPr>
      <w:rPr>
        <w:rFonts w:ascii="Symbol" w:hAnsi="Symbol" w:hint="default"/>
      </w:rPr>
    </w:lvl>
    <w:lvl w:ilvl="7" w:tplc="F96ADFB2">
      <w:start w:val="1"/>
      <w:numFmt w:val="bullet"/>
      <w:lvlText w:val="o"/>
      <w:lvlJc w:val="left"/>
      <w:pPr>
        <w:ind w:left="5760" w:hanging="360"/>
      </w:pPr>
      <w:rPr>
        <w:rFonts w:ascii="Courier New" w:hAnsi="Courier New" w:hint="default"/>
      </w:rPr>
    </w:lvl>
    <w:lvl w:ilvl="8" w:tplc="503A1894">
      <w:start w:val="1"/>
      <w:numFmt w:val="bullet"/>
      <w:lvlText w:val=""/>
      <w:lvlJc w:val="left"/>
      <w:pPr>
        <w:ind w:left="6480" w:hanging="360"/>
      </w:pPr>
      <w:rPr>
        <w:rFonts w:ascii="Wingdings" w:hAnsi="Wingdings" w:hint="default"/>
      </w:rPr>
    </w:lvl>
  </w:abstractNum>
  <w:abstractNum w:abstractNumId="33" w15:restartNumberingAfterBreak="0">
    <w:nsid w:val="57BD2F90"/>
    <w:multiLevelType w:val="hybridMultilevel"/>
    <w:tmpl w:val="D1D8F112"/>
    <w:lvl w:ilvl="0" w:tplc="C6CE49B0">
      <w:start w:val="1"/>
      <w:numFmt w:val="decimal"/>
      <w:lvlText w:val="(%1)"/>
      <w:lvlJc w:val="left"/>
      <w:pPr>
        <w:ind w:left="1440" w:hanging="360"/>
      </w:pPr>
    </w:lvl>
    <w:lvl w:ilvl="1" w:tplc="E80A54BE">
      <w:start w:val="1"/>
      <w:numFmt w:val="bullet"/>
      <w:lvlText w:val=""/>
      <w:lvlJc w:val="left"/>
      <w:pPr>
        <w:ind w:left="1800" w:hanging="360"/>
      </w:pPr>
      <w:rPr>
        <w:rFonts w:ascii="Symbol" w:hAnsi="Symbol"/>
      </w:rPr>
    </w:lvl>
    <w:lvl w:ilvl="2" w:tplc="026A0E20">
      <w:start w:val="1"/>
      <w:numFmt w:val="decimal"/>
      <w:lvlText w:val="(%3)"/>
      <w:lvlJc w:val="left"/>
      <w:pPr>
        <w:ind w:left="1440" w:hanging="360"/>
      </w:pPr>
    </w:lvl>
    <w:lvl w:ilvl="3" w:tplc="2EE6B6D4">
      <w:start w:val="1"/>
      <w:numFmt w:val="decimal"/>
      <w:lvlText w:val="(%4)"/>
      <w:lvlJc w:val="left"/>
      <w:pPr>
        <w:ind w:left="1440" w:hanging="360"/>
      </w:pPr>
    </w:lvl>
    <w:lvl w:ilvl="4" w:tplc="77D493FC">
      <w:start w:val="1"/>
      <w:numFmt w:val="decimal"/>
      <w:lvlText w:val="(%5)"/>
      <w:lvlJc w:val="left"/>
      <w:pPr>
        <w:ind w:left="1440" w:hanging="360"/>
      </w:pPr>
    </w:lvl>
    <w:lvl w:ilvl="5" w:tplc="9FC243EA">
      <w:start w:val="1"/>
      <w:numFmt w:val="decimal"/>
      <w:lvlText w:val="(%6)"/>
      <w:lvlJc w:val="left"/>
      <w:pPr>
        <w:ind w:left="1440" w:hanging="360"/>
      </w:pPr>
    </w:lvl>
    <w:lvl w:ilvl="6" w:tplc="FE687EC4">
      <w:start w:val="1"/>
      <w:numFmt w:val="decimal"/>
      <w:lvlText w:val="(%7)"/>
      <w:lvlJc w:val="left"/>
      <w:pPr>
        <w:ind w:left="1440" w:hanging="360"/>
      </w:pPr>
    </w:lvl>
    <w:lvl w:ilvl="7" w:tplc="984E64EE">
      <w:start w:val="1"/>
      <w:numFmt w:val="decimal"/>
      <w:lvlText w:val="(%8)"/>
      <w:lvlJc w:val="left"/>
      <w:pPr>
        <w:ind w:left="1440" w:hanging="360"/>
      </w:pPr>
    </w:lvl>
    <w:lvl w:ilvl="8" w:tplc="5784D61A">
      <w:start w:val="1"/>
      <w:numFmt w:val="decimal"/>
      <w:lvlText w:val="(%9)"/>
      <w:lvlJc w:val="left"/>
      <w:pPr>
        <w:ind w:left="1440" w:hanging="360"/>
      </w:pPr>
    </w:lvl>
  </w:abstractNum>
  <w:abstractNum w:abstractNumId="34" w15:restartNumberingAfterBreak="0">
    <w:nsid w:val="59B422B2"/>
    <w:multiLevelType w:val="hybridMultilevel"/>
    <w:tmpl w:val="902452A6"/>
    <w:lvl w:ilvl="0" w:tplc="3F528AD6">
      <w:start w:val="1"/>
      <w:numFmt w:val="decimal"/>
      <w:lvlText w:val="%1."/>
      <w:lvlJc w:val="left"/>
      <w:pPr>
        <w:ind w:left="1440" w:hanging="360"/>
      </w:pPr>
    </w:lvl>
    <w:lvl w:ilvl="1" w:tplc="AAD40ABE">
      <w:start w:val="1"/>
      <w:numFmt w:val="decimal"/>
      <w:lvlText w:val="%2."/>
      <w:lvlJc w:val="left"/>
      <w:pPr>
        <w:ind w:left="1440" w:hanging="360"/>
      </w:pPr>
    </w:lvl>
    <w:lvl w:ilvl="2" w:tplc="A0B8326E">
      <w:start w:val="1"/>
      <w:numFmt w:val="decimal"/>
      <w:lvlText w:val="%3."/>
      <w:lvlJc w:val="left"/>
      <w:pPr>
        <w:ind w:left="1440" w:hanging="360"/>
      </w:pPr>
    </w:lvl>
    <w:lvl w:ilvl="3" w:tplc="F0BAD098">
      <w:start w:val="1"/>
      <w:numFmt w:val="decimal"/>
      <w:lvlText w:val="%4."/>
      <w:lvlJc w:val="left"/>
      <w:pPr>
        <w:ind w:left="1440" w:hanging="360"/>
      </w:pPr>
    </w:lvl>
    <w:lvl w:ilvl="4" w:tplc="120C946E">
      <w:start w:val="1"/>
      <w:numFmt w:val="decimal"/>
      <w:lvlText w:val="%5."/>
      <w:lvlJc w:val="left"/>
      <w:pPr>
        <w:ind w:left="1440" w:hanging="360"/>
      </w:pPr>
    </w:lvl>
    <w:lvl w:ilvl="5" w:tplc="E9109808">
      <w:start w:val="1"/>
      <w:numFmt w:val="decimal"/>
      <w:lvlText w:val="%6."/>
      <w:lvlJc w:val="left"/>
      <w:pPr>
        <w:ind w:left="1440" w:hanging="360"/>
      </w:pPr>
    </w:lvl>
    <w:lvl w:ilvl="6" w:tplc="DAB26A68">
      <w:start w:val="1"/>
      <w:numFmt w:val="decimal"/>
      <w:lvlText w:val="%7."/>
      <w:lvlJc w:val="left"/>
      <w:pPr>
        <w:ind w:left="1440" w:hanging="360"/>
      </w:pPr>
    </w:lvl>
    <w:lvl w:ilvl="7" w:tplc="6F660204">
      <w:start w:val="1"/>
      <w:numFmt w:val="decimal"/>
      <w:lvlText w:val="%8."/>
      <w:lvlJc w:val="left"/>
      <w:pPr>
        <w:ind w:left="1440" w:hanging="360"/>
      </w:pPr>
    </w:lvl>
    <w:lvl w:ilvl="8" w:tplc="8ACE716C">
      <w:start w:val="1"/>
      <w:numFmt w:val="decimal"/>
      <w:lvlText w:val="%9."/>
      <w:lvlJc w:val="left"/>
      <w:pPr>
        <w:ind w:left="1440" w:hanging="360"/>
      </w:pPr>
    </w:lvl>
  </w:abstractNum>
  <w:abstractNum w:abstractNumId="35" w15:restartNumberingAfterBreak="0">
    <w:nsid w:val="5E8841EE"/>
    <w:multiLevelType w:val="multilevel"/>
    <w:tmpl w:val="FAECE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0E5720"/>
    <w:multiLevelType w:val="hybridMultilevel"/>
    <w:tmpl w:val="45CE64A2"/>
    <w:lvl w:ilvl="0" w:tplc="14F2EBBA">
      <w:start w:val="1"/>
      <w:numFmt w:val="decimal"/>
      <w:lvlText w:val="%1."/>
      <w:lvlJc w:val="left"/>
      <w:pPr>
        <w:ind w:left="1440" w:hanging="360"/>
      </w:pPr>
    </w:lvl>
    <w:lvl w:ilvl="1" w:tplc="C12C5BBA">
      <w:start w:val="1"/>
      <w:numFmt w:val="decimal"/>
      <w:lvlText w:val="%2."/>
      <w:lvlJc w:val="left"/>
      <w:pPr>
        <w:ind w:left="1440" w:hanging="360"/>
      </w:pPr>
    </w:lvl>
    <w:lvl w:ilvl="2" w:tplc="553C6AD0">
      <w:start w:val="1"/>
      <w:numFmt w:val="decimal"/>
      <w:lvlText w:val="%3."/>
      <w:lvlJc w:val="left"/>
      <w:pPr>
        <w:ind w:left="1440" w:hanging="360"/>
      </w:pPr>
    </w:lvl>
    <w:lvl w:ilvl="3" w:tplc="0B6C99E0">
      <w:start w:val="1"/>
      <w:numFmt w:val="decimal"/>
      <w:lvlText w:val="%4."/>
      <w:lvlJc w:val="left"/>
      <w:pPr>
        <w:ind w:left="1440" w:hanging="360"/>
      </w:pPr>
    </w:lvl>
    <w:lvl w:ilvl="4" w:tplc="B804E582">
      <w:start w:val="1"/>
      <w:numFmt w:val="decimal"/>
      <w:lvlText w:val="%5."/>
      <w:lvlJc w:val="left"/>
      <w:pPr>
        <w:ind w:left="1440" w:hanging="360"/>
      </w:pPr>
    </w:lvl>
    <w:lvl w:ilvl="5" w:tplc="70CA5302">
      <w:start w:val="1"/>
      <w:numFmt w:val="decimal"/>
      <w:lvlText w:val="%6."/>
      <w:lvlJc w:val="left"/>
      <w:pPr>
        <w:ind w:left="1440" w:hanging="360"/>
      </w:pPr>
    </w:lvl>
    <w:lvl w:ilvl="6" w:tplc="FC38BBF6">
      <w:start w:val="1"/>
      <w:numFmt w:val="decimal"/>
      <w:lvlText w:val="%7."/>
      <w:lvlJc w:val="left"/>
      <w:pPr>
        <w:ind w:left="1440" w:hanging="360"/>
      </w:pPr>
    </w:lvl>
    <w:lvl w:ilvl="7" w:tplc="77AC67C6">
      <w:start w:val="1"/>
      <w:numFmt w:val="decimal"/>
      <w:lvlText w:val="%8."/>
      <w:lvlJc w:val="left"/>
      <w:pPr>
        <w:ind w:left="1440" w:hanging="360"/>
      </w:pPr>
    </w:lvl>
    <w:lvl w:ilvl="8" w:tplc="B8343048">
      <w:start w:val="1"/>
      <w:numFmt w:val="decimal"/>
      <w:lvlText w:val="%9."/>
      <w:lvlJc w:val="left"/>
      <w:pPr>
        <w:ind w:left="1440" w:hanging="360"/>
      </w:pPr>
    </w:lvl>
  </w:abstractNum>
  <w:abstractNum w:abstractNumId="37" w15:restartNumberingAfterBreak="0">
    <w:nsid w:val="60944CFA"/>
    <w:multiLevelType w:val="hybridMultilevel"/>
    <w:tmpl w:val="ABD22572"/>
    <w:lvl w:ilvl="0" w:tplc="CA524090">
      <w:start w:val="1"/>
      <w:numFmt w:val="decimal"/>
      <w:lvlText w:val="%1."/>
      <w:lvlJc w:val="left"/>
      <w:pPr>
        <w:ind w:left="1440" w:hanging="360"/>
      </w:pPr>
    </w:lvl>
    <w:lvl w:ilvl="1" w:tplc="290E68EA">
      <w:start w:val="1"/>
      <w:numFmt w:val="decimal"/>
      <w:lvlText w:val="%2."/>
      <w:lvlJc w:val="left"/>
      <w:pPr>
        <w:ind w:left="1440" w:hanging="360"/>
      </w:pPr>
    </w:lvl>
    <w:lvl w:ilvl="2" w:tplc="3B12A4DA">
      <w:start w:val="1"/>
      <w:numFmt w:val="decimal"/>
      <w:lvlText w:val="%3."/>
      <w:lvlJc w:val="left"/>
      <w:pPr>
        <w:ind w:left="1440" w:hanging="360"/>
      </w:pPr>
    </w:lvl>
    <w:lvl w:ilvl="3" w:tplc="BE32FA68">
      <w:start w:val="1"/>
      <w:numFmt w:val="decimal"/>
      <w:lvlText w:val="%4."/>
      <w:lvlJc w:val="left"/>
      <w:pPr>
        <w:ind w:left="1440" w:hanging="360"/>
      </w:pPr>
    </w:lvl>
    <w:lvl w:ilvl="4" w:tplc="303A7F62">
      <w:start w:val="1"/>
      <w:numFmt w:val="decimal"/>
      <w:lvlText w:val="%5."/>
      <w:lvlJc w:val="left"/>
      <w:pPr>
        <w:ind w:left="1440" w:hanging="360"/>
      </w:pPr>
    </w:lvl>
    <w:lvl w:ilvl="5" w:tplc="5E2EA018">
      <w:start w:val="1"/>
      <w:numFmt w:val="decimal"/>
      <w:lvlText w:val="%6."/>
      <w:lvlJc w:val="left"/>
      <w:pPr>
        <w:ind w:left="1440" w:hanging="360"/>
      </w:pPr>
    </w:lvl>
    <w:lvl w:ilvl="6" w:tplc="4D2640F4">
      <w:start w:val="1"/>
      <w:numFmt w:val="decimal"/>
      <w:lvlText w:val="%7."/>
      <w:lvlJc w:val="left"/>
      <w:pPr>
        <w:ind w:left="1440" w:hanging="360"/>
      </w:pPr>
    </w:lvl>
    <w:lvl w:ilvl="7" w:tplc="262EFD76">
      <w:start w:val="1"/>
      <w:numFmt w:val="decimal"/>
      <w:lvlText w:val="%8."/>
      <w:lvlJc w:val="left"/>
      <w:pPr>
        <w:ind w:left="1440" w:hanging="360"/>
      </w:pPr>
    </w:lvl>
    <w:lvl w:ilvl="8" w:tplc="23C0CFCE">
      <w:start w:val="1"/>
      <w:numFmt w:val="decimal"/>
      <w:lvlText w:val="%9."/>
      <w:lvlJc w:val="left"/>
      <w:pPr>
        <w:ind w:left="1440" w:hanging="360"/>
      </w:pPr>
    </w:lvl>
  </w:abstractNum>
  <w:abstractNum w:abstractNumId="38" w15:restartNumberingAfterBreak="0">
    <w:nsid w:val="62331426"/>
    <w:multiLevelType w:val="hybridMultilevel"/>
    <w:tmpl w:val="6F2EC7AA"/>
    <w:lvl w:ilvl="0" w:tplc="774AC2CA">
      <w:start w:val="1"/>
      <w:numFmt w:val="decimal"/>
      <w:lvlText w:val="%1."/>
      <w:lvlJc w:val="left"/>
      <w:pPr>
        <w:ind w:left="1440" w:hanging="360"/>
      </w:pPr>
    </w:lvl>
    <w:lvl w:ilvl="1" w:tplc="4AD65048">
      <w:start w:val="1"/>
      <w:numFmt w:val="decimal"/>
      <w:lvlText w:val="%2."/>
      <w:lvlJc w:val="left"/>
      <w:pPr>
        <w:ind w:left="1440" w:hanging="360"/>
      </w:pPr>
    </w:lvl>
    <w:lvl w:ilvl="2" w:tplc="49BE5E24">
      <w:start w:val="1"/>
      <w:numFmt w:val="decimal"/>
      <w:lvlText w:val="%3."/>
      <w:lvlJc w:val="left"/>
      <w:pPr>
        <w:ind w:left="1440" w:hanging="360"/>
      </w:pPr>
    </w:lvl>
    <w:lvl w:ilvl="3" w:tplc="114842FA">
      <w:start w:val="1"/>
      <w:numFmt w:val="decimal"/>
      <w:lvlText w:val="%4."/>
      <w:lvlJc w:val="left"/>
      <w:pPr>
        <w:ind w:left="1440" w:hanging="360"/>
      </w:pPr>
    </w:lvl>
    <w:lvl w:ilvl="4" w:tplc="CCD6B99A">
      <w:start w:val="1"/>
      <w:numFmt w:val="decimal"/>
      <w:lvlText w:val="%5."/>
      <w:lvlJc w:val="left"/>
      <w:pPr>
        <w:ind w:left="1440" w:hanging="360"/>
      </w:pPr>
    </w:lvl>
    <w:lvl w:ilvl="5" w:tplc="D9705680">
      <w:start w:val="1"/>
      <w:numFmt w:val="decimal"/>
      <w:lvlText w:val="%6."/>
      <w:lvlJc w:val="left"/>
      <w:pPr>
        <w:ind w:left="1440" w:hanging="360"/>
      </w:pPr>
    </w:lvl>
    <w:lvl w:ilvl="6" w:tplc="C1CA0496">
      <w:start w:val="1"/>
      <w:numFmt w:val="decimal"/>
      <w:lvlText w:val="%7."/>
      <w:lvlJc w:val="left"/>
      <w:pPr>
        <w:ind w:left="1440" w:hanging="360"/>
      </w:pPr>
    </w:lvl>
    <w:lvl w:ilvl="7" w:tplc="71E6FFD2">
      <w:start w:val="1"/>
      <w:numFmt w:val="decimal"/>
      <w:lvlText w:val="%8."/>
      <w:lvlJc w:val="left"/>
      <w:pPr>
        <w:ind w:left="1440" w:hanging="360"/>
      </w:pPr>
    </w:lvl>
    <w:lvl w:ilvl="8" w:tplc="A47EF66A">
      <w:start w:val="1"/>
      <w:numFmt w:val="decimal"/>
      <w:lvlText w:val="%9."/>
      <w:lvlJc w:val="left"/>
      <w:pPr>
        <w:ind w:left="1440" w:hanging="360"/>
      </w:pPr>
    </w:lvl>
  </w:abstractNum>
  <w:abstractNum w:abstractNumId="39" w15:restartNumberingAfterBreak="0">
    <w:nsid w:val="66CB518A"/>
    <w:multiLevelType w:val="hybridMultilevel"/>
    <w:tmpl w:val="A9DA9CCA"/>
    <w:lvl w:ilvl="0" w:tplc="8DD21C72">
      <w:start w:val="1"/>
      <w:numFmt w:val="decimal"/>
      <w:lvlText w:val="%1."/>
      <w:lvlJc w:val="left"/>
      <w:pPr>
        <w:ind w:left="720" w:hanging="360"/>
      </w:pPr>
    </w:lvl>
    <w:lvl w:ilvl="1" w:tplc="A60EE694">
      <w:start w:val="1"/>
      <w:numFmt w:val="decimal"/>
      <w:lvlText w:val="%2."/>
      <w:lvlJc w:val="left"/>
      <w:pPr>
        <w:ind w:left="720" w:hanging="360"/>
      </w:pPr>
    </w:lvl>
    <w:lvl w:ilvl="2" w:tplc="3B58EEC2">
      <w:start w:val="1"/>
      <w:numFmt w:val="decimal"/>
      <w:lvlText w:val="%3."/>
      <w:lvlJc w:val="left"/>
      <w:pPr>
        <w:ind w:left="720" w:hanging="360"/>
      </w:pPr>
    </w:lvl>
    <w:lvl w:ilvl="3" w:tplc="356E358A">
      <w:start w:val="1"/>
      <w:numFmt w:val="decimal"/>
      <w:lvlText w:val="%4."/>
      <w:lvlJc w:val="left"/>
      <w:pPr>
        <w:ind w:left="720" w:hanging="360"/>
      </w:pPr>
    </w:lvl>
    <w:lvl w:ilvl="4" w:tplc="7F7881DC">
      <w:start w:val="1"/>
      <w:numFmt w:val="decimal"/>
      <w:lvlText w:val="%5."/>
      <w:lvlJc w:val="left"/>
      <w:pPr>
        <w:ind w:left="720" w:hanging="360"/>
      </w:pPr>
    </w:lvl>
    <w:lvl w:ilvl="5" w:tplc="7C3EF330">
      <w:start w:val="1"/>
      <w:numFmt w:val="decimal"/>
      <w:lvlText w:val="%6."/>
      <w:lvlJc w:val="left"/>
      <w:pPr>
        <w:ind w:left="720" w:hanging="360"/>
      </w:pPr>
    </w:lvl>
    <w:lvl w:ilvl="6" w:tplc="FF949A68">
      <w:start w:val="1"/>
      <w:numFmt w:val="decimal"/>
      <w:lvlText w:val="%7."/>
      <w:lvlJc w:val="left"/>
      <w:pPr>
        <w:ind w:left="720" w:hanging="360"/>
      </w:pPr>
    </w:lvl>
    <w:lvl w:ilvl="7" w:tplc="17A45844">
      <w:start w:val="1"/>
      <w:numFmt w:val="decimal"/>
      <w:lvlText w:val="%8."/>
      <w:lvlJc w:val="left"/>
      <w:pPr>
        <w:ind w:left="720" w:hanging="360"/>
      </w:pPr>
    </w:lvl>
    <w:lvl w:ilvl="8" w:tplc="8490EF9C">
      <w:start w:val="1"/>
      <w:numFmt w:val="decimal"/>
      <w:lvlText w:val="%9."/>
      <w:lvlJc w:val="left"/>
      <w:pPr>
        <w:ind w:left="720" w:hanging="360"/>
      </w:pPr>
    </w:lvl>
  </w:abstractNum>
  <w:abstractNum w:abstractNumId="40" w15:restartNumberingAfterBreak="0">
    <w:nsid w:val="683048E5"/>
    <w:multiLevelType w:val="hybridMultilevel"/>
    <w:tmpl w:val="66286AB4"/>
    <w:lvl w:ilvl="0" w:tplc="FFFFFFF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F218A45"/>
    <w:multiLevelType w:val="hybridMultilevel"/>
    <w:tmpl w:val="FFFFFFFF"/>
    <w:lvl w:ilvl="0" w:tplc="FBA45AD2">
      <w:start w:val="2"/>
      <w:numFmt w:val="decimal"/>
      <w:lvlText w:val="%1."/>
      <w:lvlJc w:val="left"/>
      <w:pPr>
        <w:ind w:left="720" w:hanging="360"/>
      </w:pPr>
      <w:rPr>
        <w:rFonts w:ascii="Calibri" w:hAnsi="Calibri" w:hint="default"/>
      </w:rPr>
    </w:lvl>
    <w:lvl w:ilvl="1" w:tplc="BEC047D0">
      <w:start w:val="1"/>
      <w:numFmt w:val="lowerLetter"/>
      <w:lvlText w:val="%2."/>
      <w:lvlJc w:val="left"/>
      <w:pPr>
        <w:ind w:left="1440" w:hanging="360"/>
      </w:pPr>
    </w:lvl>
    <w:lvl w:ilvl="2" w:tplc="76E47AC4">
      <w:start w:val="1"/>
      <w:numFmt w:val="lowerRoman"/>
      <w:lvlText w:val="%3."/>
      <w:lvlJc w:val="right"/>
      <w:pPr>
        <w:ind w:left="2160" w:hanging="180"/>
      </w:pPr>
    </w:lvl>
    <w:lvl w:ilvl="3" w:tplc="2762426E">
      <w:start w:val="1"/>
      <w:numFmt w:val="decimal"/>
      <w:lvlText w:val="%4."/>
      <w:lvlJc w:val="left"/>
      <w:pPr>
        <w:ind w:left="2880" w:hanging="360"/>
      </w:pPr>
    </w:lvl>
    <w:lvl w:ilvl="4" w:tplc="EF9CF0A4">
      <w:start w:val="1"/>
      <w:numFmt w:val="lowerLetter"/>
      <w:lvlText w:val="%5."/>
      <w:lvlJc w:val="left"/>
      <w:pPr>
        <w:ind w:left="3600" w:hanging="360"/>
      </w:pPr>
    </w:lvl>
    <w:lvl w:ilvl="5" w:tplc="630AE714">
      <w:start w:val="1"/>
      <w:numFmt w:val="lowerRoman"/>
      <w:lvlText w:val="%6."/>
      <w:lvlJc w:val="right"/>
      <w:pPr>
        <w:ind w:left="4320" w:hanging="180"/>
      </w:pPr>
    </w:lvl>
    <w:lvl w:ilvl="6" w:tplc="6F36F592">
      <w:start w:val="1"/>
      <w:numFmt w:val="decimal"/>
      <w:lvlText w:val="%7."/>
      <w:lvlJc w:val="left"/>
      <w:pPr>
        <w:ind w:left="5040" w:hanging="360"/>
      </w:pPr>
    </w:lvl>
    <w:lvl w:ilvl="7" w:tplc="91B8DCF2">
      <w:start w:val="1"/>
      <w:numFmt w:val="lowerLetter"/>
      <w:lvlText w:val="%8."/>
      <w:lvlJc w:val="left"/>
      <w:pPr>
        <w:ind w:left="5760" w:hanging="360"/>
      </w:pPr>
    </w:lvl>
    <w:lvl w:ilvl="8" w:tplc="D7B85988">
      <w:start w:val="1"/>
      <w:numFmt w:val="lowerRoman"/>
      <w:lvlText w:val="%9."/>
      <w:lvlJc w:val="right"/>
      <w:pPr>
        <w:ind w:left="6480" w:hanging="180"/>
      </w:pPr>
    </w:lvl>
  </w:abstractNum>
  <w:abstractNum w:abstractNumId="42" w15:restartNumberingAfterBreak="0">
    <w:nsid w:val="7035A0FB"/>
    <w:multiLevelType w:val="hybridMultilevel"/>
    <w:tmpl w:val="93862322"/>
    <w:lvl w:ilvl="0" w:tplc="419EA098">
      <w:start w:val="1"/>
      <w:numFmt w:val="bullet"/>
      <w:lvlText w:val=""/>
      <w:lvlJc w:val="left"/>
      <w:pPr>
        <w:ind w:left="720" w:hanging="360"/>
      </w:pPr>
      <w:rPr>
        <w:rFonts w:ascii="Symbol" w:hAnsi="Symbol" w:hint="default"/>
      </w:rPr>
    </w:lvl>
    <w:lvl w:ilvl="1" w:tplc="56EC35D0">
      <w:start w:val="1"/>
      <w:numFmt w:val="bullet"/>
      <w:lvlText w:val="o"/>
      <w:lvlJc w:val="left"/>
      <w:pPr>
        <w:ind w:left="1440" w:hanging="360"/>
      </w:pPr>
      <w:rPr>
        <w:rFonts w:ascii="Courier New" w:hAnsi="Courier New" w:hint="default"/>
      </w:rPr>
    </w:lvl>
    <w:lvl w:ilvl="2" w:tplc="F712059A">
      <w:start w:val="1"/>
      <w:numFmt w:val="bullet"/>
      <w:lvlText w:val=""/>
      <w:lvlJc w:val="left"/>
      <w:pPr>
        <w:ind w:left="2160" w:hanging="360"/>
      </w:pPr>
      <w:rPr>
        <w:rFonts w:ascii="Wingdings" w:hAnsi="Wingdings" w:hint="default"/>
      </w:rPr>
    </w:lvl>
    <w:lvl w:ilvl="3" w:tplc="6834EF1A">
      <w:start w:val="1"/>
      <w:numFmt w:val="bullet"/>
      <w:lvlText w:val=""/>
      <w:lvlJc w:val="left"/>
      <w:pPr>
        <w:ind w:left="2880" w:hanging="360"/>
      </w:pPr>
      <w:rPr>
        <w:rFonts w:ascii="Symbol" w:hAnsi="Symbol" w:hint="default"/>
      </w:rPr>
    </w:lvl>
    <w:lvl w:ilvl="4" w:tplc="7A9C23FA">
      <w:start w:val="1"/>
      <w:numFmt w:val="bullet"/>
      <w:lvlText w:val="o"/>
      <w:lvlJc w:val="left"/>
      <w:pPr>
        <w:ind w:left="3600" w:hanging="360"/>
      </w:pPr>
      <w:rPr>
        <w:rFonts w:ascii="Courier New" w:hAnsi="Courier New" w:hint="default"/>
      </w:rPr>
    </w:lvl>
    <w:lvl w:ilvl="5" w:tplc="B18E0610">
      <w:start w:val="1"/>
      <w:numFmt w:val="bullet"/>
      <w:lvlText w:val=""/>
      <w:lvlJc w:val="left"/>
      <w:pPr>
        <w:ind w:left="4320" w:hanging="360"/>
      </w:pPr>
      <w:rPr>
        <w:rFonts w:ascii="Wingdings" w:hAnsi="Wingdings" w:hint="default"/>
      </w:rPr>
    </w:lvl>
    <w:lvl w:ilvl="6" w:tplc="D83CF6CA">
      <w:start w:val="1"/>
      <w:numFmt w:val="bullet"/>
      <w:lvlText w:val=""/>
      <w:lvlJc w:val="left"/>
      <w:pPr>
        <w:ind w:left="5040" w:hanging="360"/>
      </w:pPr>
      <w:rPr>
        <w:rFonts w:ascii="Symbol" w:hAnsi="Symbol" w:hint="default"/>
      </w:rPr>
    </w:lvl>
    <w:lvl w:ilvl="7" w:tplc="2A52E7B8">
      <w:start w:val="1"/>
      <w:numFmt w:val="bullet"/>
      <w:lvlText w:val="o"/>
      <w:lvlJc w:val="left"/>
      <w:pPr>
        <w:ind w:left="5760" w:hanging="360"/>
      </w:pPr>
      <w:rPr>
        <w:rFonts w:ascii="Courier New" w:hAnsi="Courier New" w:hint="default"/>
      </w:rPr>
    </w:lvl>
    <w:lvl w:ilvl="8" w:tplc="0B4CA290">
      <w:start w:val="1"/>
      <w:numFmt w:val="bullet"/>
      <w:lvlText w:val=""/>
      <w:lvlJc w:val="left"/>
      <w:pPr>
        <w:ind w:left="6480" w:hanging="360"/>
      </w:pPr>
      <w:rPr>
        <w:rFonts w:ascii="Wingdings" w:hAnsi="Wingdings" w:hint="default"/>
      </w:rPr>
    </w:lvl>
  </w:abstractNum>
  <w:abstractNum w:abstractNumId="43" w15:restartNumberingAfterBreak="0">
    <w:nsid w:val="73FB2C4C"/>
    <w:multiLevelType w:val="hybridMultilevel"/>
    <w:tmpl w:val="2ECE0D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77776E9C"/>
    <w:multiLevelType w:val="hybridMultilevel"/>
    <w:tmpl w:val="5C6022B4"/>
    <w:lvl w:ilvl="0" w:tplc="B0D68996">
      <w:start w:val="1"/>
      <w:numFmt w:val="decimal"/>
      <w:lvlText w:val="(%1)"/>
      <w:lvlJc w:val="left"/>
      <w:pPr>
        <w:ind w:left="1440" w:hanging="360"/>
      </w:pPr>
    </w:lvl>
    <w:lvl w:ilvl="1" w:tplc="C51C5806">
      <w:start w:val="1"/>
      <w:numFmt w:val="decimal"/>
      <w:lvlText w:val="(%2)"/>
      <w:lvlJc w:val="left"/>
      <w:pPr>
        <w:ind w:left="1440" w:hanging="360"/>
      </w:pPr>
    </w:lvl>
    <w:lvl w:ilvl="2" w:tplc="34F857DC">
      <w:start w:val="1"/>
      <w:numFmt w:val="decimal"/>
      <w:lvlText w:val="(%3)"/>
      <w:lvlJc w:val="left"/>
      <w:pPr>
        <w:ind w:left="1440" w:hanging="360"/>
      </w:pPr>
    </w:lvl>
    <w:lvl w:ilvl="3" w:tplc="EDEC1C44">
      <w:start w:val="1"/>
      <w:numFmt w:val="decimal"/>
      <w:lvlText w:val="(%4)"/>
      <w:lvlJc w:val="left"/>
      <w:pPr>
        <w:ind w:left="1440" w:hanging="360"/>
      </w:pPr>
    </w:lvl>
    <w:lvl w:ilvl="4" w:tplc="D46A6A8C">
      <w:start w:val="1"/>
      <w:numFmt w:val="decimal"/>
      <w:lvlText w:val="(%5)"/>
      <w:lvlJc w:val="left"/>
      <w:pPr>
        <w:ind w:left="1440" w:hanging="360"/>
      </w:pPr>
    </w:lvl>
    <w:lvl w:ilvl="5" w:tplc="0F163912">
      <w:start w:val="1"/>
      <w:numFmt w:val="decimal"/>
      <w:lvlText w:val="(%6)"/>
      <w:lvlJc w:val="left"/>
      <w:pPr>
        <w:ind w:left="1440" w:hanging="360"/>
      </w:pPr>
    </w:lvl>
    <w:lvl w:ilvl="6" w:tplc="F59E4DDE">
      <w:start w:val="1"/>
      <w:numFmt w:val="decimal"/>
      <w:lvlText w:val="(%7)"/>
      <w:lvlJc w:val="left"/>
      <w:pPr>
        <w:ind w:left="1440" w:hanging="360"/>
      </w:pPr>
    </w:lvl>
    <w:lvl w:ilvl="7" w:tplc="9EA6F150">
      <w:start w:val="1"/>
      <w:numFmt w:val="decimal"/>
      <w:lvlText w:val="(%8)"/>
      <w:lvlJc w:val="left"/>
      <w:pPr>
        <w:ind w:left="1440" w:hanging="360"/>
      </w:pPr>
    </w:lvl>
    <w:lvl w:ilvl="8" w:tplc="10280FB8">
      <w:start w:val="1"/>
      <w:numFmt w:val="decimal"/>
      <w:lvlText w:val="(%9)"/>
      <w:lvlJc w:val="left"/>
      <w:pPr>
        <w:ind w:left="1440" w:hanging="360"/>
      </w:pPr>
    </w:lvl>
  </w:abstractNum>
  <w:abstractNum w:abstractNumId="45" w15:restartNumberingAfterBreak="0">
    <w:nsid w:val="7BB6E052"/>
    <w:multiLevelType w:val="hybridMultilevel"/>
    <w:tmpl w:val="FFFFFFFF"/>
    <w:lvl w:ilvl="0" w:tplc="949461D4">
      <w:start w:val="3"/>
      <w:numFmt w:val="decimal"/>
      <w:lvlText w:val="%1."/>
      <w:lvlJc w:val="left"/>
      <w:pPr>
        <w:ind w:left="720" w:hanging="360"/>
      </w:pPr>
      <w:rPr>
        <w:rFonts w:ascii="Calibri" w:hAnsi="Calibri" w:hint="default"/>
      </w:rPr>
    </w:lvl>
    <w:lvl w:ilvl="1" w:tplc="5AB0857A">
      <w:start w:val="1"/>
      <w:numFmt w:val="lowerLetter"/>
      <w:lvlText w:val="%2."/>
      <w:lvlJc w:val="left"/>
      <w:pPr>
        <w:ind w:left="1440" w:hanging="360"/>
      </w:pPr>
    </w:lvl>
    <w:lvl w:ilvl="2" w:tplc="186A0012">
      <w:start w:val="1"/>
      <w:numFmt w:val="lowerRoman"/>
      <w:lvlText w:val="%3."/>
      <w:lvlJc w:val="right"/>
      <w:pPr>
        <w:ind w:left="2160" w:hanging="180"/>
      </w:pPr>
    </w:lvl>
    <w:lvl w:ilvl="3" w:tplc="1470828A">
      <w:start w:val="1"/>
      <w:numFmt w:val="decimal"/>
      <w:lvlText w:val="%4."/>
      <w:lvlJc w:val="left"/>
      <w:pPr>
        <w:ind w:left="2880" w:hanging="360"/>
      </w:pPr>
    </w:lvl>
    <w:lvl w:ilvl="4" w:tplc="6ADE5876">
      <w:start w:val="1"/>
      <w:numFmt w:val="lowerLetter"/>
      <w:lvlText w:val="%5."/>
      <w:lvlJc w:val="left"/>
      <w:pPr>
        <w:ind w:left="3600" w:hanging="360"/>
      </w:pPr>
    </w:lvl>
    <w:lvl w:ilvl="5" w:tplc="1500F546">
      <w:start w:val="1"/>
      <w:numFmt w:val="lowerRoman"/>
      <w:lvlText w:val="%6."/>
      <w:lvlJc w:val="right"/>
      <w:pPr>
        <w:ind w:left="4320" w:hanging="180"/>
      </w:pPr>
    </w:lvl>
    <w:lvl w:ilvl="6" w:tplc="122CA1EA">
      <w:start w:val="1"/>
      <w:numFmt w:val="decimal"/>
      <w:lvlText w:val="%7."/>
      <w:lvlJc w:val="left"/>
      <w:pPr>
        <w:ind w:left="5040" w:hanging="360"/>
      </w:pPr>
    </w:lvl>
    <w:lvl w:ilvl="7" w:tplc="14729B02">
      <w:start w:val="1"/>
      <w:numFmt w:val="lowerLetter"/>
      <w:lvlText w:val="%8."/>
      <w:lvlJc w:val="left"/>
      <w:pPr>
        <w:ind w:left="5760" w:hanging="360"/>
      </w:pPr>
    </w:lvl>
    <w:lvl w:ilvl="8" w:tplc="4A3A000C">
      <w:start w:val="1"/>
      <w:numFmt w:val="lowerRoman"/>
      <w:lvlText w:val="%9."/>
      <w:lvlJc w:val="right"/>
      <w:pPr>
        <w:ind w:left="6480" w:hanging="180"/>
      </w:pPr>
    </w:lvl>
  </w:abstractNum>
  <w:abstractNum w:abstractNumId="46" w15:restartNumberingAfterBreak="0">
    <w:nsid w:val="7D2A1A99"/>
    <w:multiLevelType w:val="hybridMultilevel"/>
    <w:tmpl w:val="0A967CC4"/>
    <w:lvl w:ilvl="0" w:tplc="FB487F1E">
      <w:start w:val="1"/>
      <w:numFmt w:val="decimal"/>
      <w:lvlText w:val="%1)"/>
      <w:lvlJc w:val="left"/>
      <w:pPr>
        <w:ind w:left="2160" w:hanging="360"/>
      </w:pPr>
    </w:lvl>
    <w:lvl w:ilvl="1" w:tplc="26E222A0">
      <w:start w:val="1"/>
      <w:numFmt w:val="decimal"/>
      <w:lvlText w:val="%2)"/>
      <w:lvlJc w:val="left"/>
      <w:pPr>
        <w:ind w:left="2160" w:hanging="360"/>
      </w:pPr>
    </w:lvl>
    <w:lvl w:ilvl="2" w:tplc="C6BE0252">
      <w:start w:val="1"/>
      <w:numFmt w:val="decimal"/>
      <w:lvlText w:val="%3)"/>
      <w:lvlJc w:val="left"/>
      <w:pPr>
        <w:ind w:left="2160" w:hanging="360"/>
      </w:pPr>
    </w:lvl>
    <w:lvl w:ilvl="3" w:tplc="624A47C6">
      <w:start w:val="1"/>
      <w:numFmt w:val="decimal"/>
      <w:lvlText w:val="%4)"/>
      <w:lvlJc w:val="left"/>
      <w:pPr>
        <w:ind w:left="2160" w:hanging="360"/>
      </w:pPr>
    </w:lvl>
    <w:lvl w:ilvl="4" w:tplc="EB7445B0">
      <w:start w:val="1"/>
      <w:numFmt w:val="decimal"/>
      <w:lvlText w:val="%5)"/>
      <w:lvlJc w:val="left"/>
      <w:pPr>
        <w:ind w:left="2160" w:hanging="360"/>
      </w:pPr>
    </w:lvl>
    <w:lvl w:ilvl="5" w:tplc="DD5A7748">
      <w:start w:val="1"/>
      <w:numFmt w:val="decimal"/>
      <w:lvlText w:val="%6)"/>
      <w:lvlJc w:val="left"/>
      <w:pPr>
        <w:ind w:left="2160" w:hanging="360"/>
      </w:pPr>
    </w:lvl>
    <w:lvl w:ilvl="6" w:tplc="8554565A">
      <w:start w:val="1"/>
      <w:numFmt w:val="decimal"/>
      <w:lvlText w:val="%7)"/>
      <w:lvlJc w:val="left"/>
      <w:pPr>
        <w:ind w:left="2160" w:hanging="360"/>
      </w:pPr>
    </w:lvl>
    <w:lvl w:ilvl="7" w:tplc="4AEE11C0">
      <w:start w:val="1"/>
      <w:numFmt w:val="decimal"/>
      <w:lvlText w:val="%8)"/>
      <w:lvlJc w:val="left"/>
      <w:pPr>
        <w:ind w:left="2160" w:hanging="360"/>
      </w:pPr>
    </w:lvl>
    <w:lvl w:ilvl="8" w:tplc="64300588">
      <w:start w:val="1"/>
      <w:numFmt w:val="decimal"/>
      <w:lvlText w:val="%9)"/>
      <w:lvlJc w:val="left"/>
      <w:pPr>
        <w:ind w:left="2160" w:hanging="360"/>
      </w:pPr>
    </w:lvl>
  </w:abstractNum>
  <w:num w:numId="1" w16cid:durableId="215824688">
    <w:abstractNumId w:val="30"/>
  </w:num>
  <w:num w:numId="2" w16cid:durableId="914171610">
    <w:abstractNumId w:val="42"/>
  </w:num>
  <w:num w:numId="3" w16cid:durableId="2116363398">
    <w:abstractNumId w:val="32"/>
  </w:num>
  <w:num w:numId="4" w16cid:durableId="1983659500">
    <w:abstractNumId w:val="20"/>
  </w:num>
  <w:num w:numId="5" w16cid:durableId="1919174210">
    <w:abstractNumId w:val="45"/>
  </w:num>
  <w:num w:numId="6" w16cid:durableId="1006060194">
    <w:abstractNumId w:val="41"/>
  </w:num>
  <w:num w:numId="7" w16cid:durableId="1116296391">
    <w:abstractNumId w:val="29"/>
  </w:num>
  <w:num w:numId="8" w16cid:durableId="1924145049">
    <w:abstractNumId w:val="40"/>
  </w:num>
  <w:num w:numId="9" w16cid:durableId="33694311">
    <w:abstractNumId w:val="4"/>
  </w:num>
  <w:num w:numId="10" w16cid:durableId="1927229643">
    <w:abstractNumId w:val="14"/>
  </w:num>
  <w:num w:numId="11" w16cid:durableId="1558587768">
    <w:abstractNumId w:val="7"/>
  </w:num>
  <w:num w:numId="12" w16cid:durableId="349184454">
    <w:abstractNumId w:val="3"/>
  </w:num>
  <w:num w:numId="13" w16cid:durableId="1865904118">
    <w:abstractNumId w:val="39"/>
  </w:num>
  <w:num w:numId="14" w16cid:durableId="515075898">
    <w:abstractNumId w:val="6"/>
  </w:num>
  <w:num w:numId="15" w16cid:durableId="1250895653">
    <w:abstractNumId w:val="35"/>
  </w:num>
  <w:num w:numId="16" w16cid:durableId="2089761468">
    <w:abstractNumId w:val="43"/>
  </w:num>
  <w:num w:numId="17" w16cid:durableId="71204839">
    <w:abstractNumId w:val="0"/>
  </w:num>
  <w:num w:numId="18" w16cid:durableId="1682513549">
    <w:abstractNumId w:val="9"/>
  </w:num>
  <w:num w:numId="19" w16cid:durableId="1936474028">
    <w:abstractNumId w:val="13"/>
  </w:num>
  <w:num w:numId="20" w16cid:durableId="930167450">
    <w:abstractNumId w:val="1"/>
  </w:num>
  <w:num w:numId="21" w16cid:durableId="1735858865">
    <w:abstractNumId w:val="17"/>
  </w:num>
  <w:num w:numId="22" w16cid:durableId="1670714541">
    <w:abstractNumId w:val="37"/>
  </w:num>
  <w:num w:numId="23" w16cid:durableId="247928754">
    <w:abstractNumId w:val="33"/>
  </w:num>
  <w:num w:numId="24" w16cid:durableId="1086682642">
    <w:abstractNumId w:val="26"/>
  </w:num>
  <w:num w:numId="25" w16cid:durableId="597910163">
    <w:abstractNumId w:val="44"/>
  </w:num>
  <w:num w:numId="26" w16cid:durableId="2056418861">
    <w:abstractNumId w:val="38"/>
  </w:num>
  <w:num w:numId="27" w16cid:durableId="84040820">
    <w:abstractNumId w:val="11"/>
  </w:num>
  <w:num w:numId="28" w16cid:durableId="1598058707">
    <w:abstractNumId w:val="16"/>
  </w:num>
  <w:num w:numId="29" w16cid:durableId="1264849159">
    <w:abstractNumId w:val="23"/>
  </w:num>
  <w:num w:numId="30" w16cid:durableId="401954345">
    <w:abstractNumId w:val="22"/>
  </w:num>
  <w:num w:numId="31" w16cid:durableId="78523636">
    <w:abstractNumId w:val="25"/>
  </w:num>
  <w:num w:numId="32" w16cid:durableId="2088457250">
    <w:abstractNumId w:val="27"/>
  </w:num>
  <w:num w:numId="33" w16cid:durableId="1482887205">
    <w:abstractNumId w:val="15"/>
  </w:num>
  <w:num w:numId="34" w16cid:durableId="1073510384">
    <w:abstractNumId w:val="12"/>
  </w:num>
  <w:num w:numId="35" w16cid:durableId="1530492401">
    <w:abstractNumId w:val="34"/>
  </w:num>
  <w:num w:numId="36" w16cid:durableId="1504779005">
    <w:abstractNumId w:val="31"/>
  </w:num>
  <w:num w:numId="37" w16cid:durableId="1228341620">
    <w:abstractNumId w:val="36"/>
  </w:num>
  <w:num w:numId="38" w16cid:durableId="1207373362">
    <w:abstractNumId w:val="46"/>
  </w:num>
  <w:num w:numId="39" w16cid:durableId="1726365934">
    <w:abstractNumId w:val="8"/>
  </w:num>
  <w:num w:numId="40" w16cid:durableId="2141914513">
    <w:abstractNumId w:val="28"/>
  </w:num>
  <w:num w:numId="41" w16cid:durableId="1601527363">
    <w:abstractNumId w:val="2"/>
  </w:num>
  <w:num w:numId="42" w16cid:durableId="1057775559">
    <w:abstractNumId w:val="10"/>
  </w:num>
  <w:num w:numId="43" w16cid:durableId="1174147753">
    <w:abstractNumId w:val="5"/>
  </w:num>
  <w:num w:numId="44" w16cid:durableId="821628712">
    <w:abstractNumId w:val="18"/>
  </w:num>
  <w:num w:numId="45" w16cid:durableId="573321847">
    <w:abstractNumId w:val="24"/>
  </w:num>
  <w:num w:numId="46" w16cid:durableId="956792587">
    <w:abstractNumId w:val="19"/>
  </w:num>
  <w:num w:numId="47" w16cid:durableId="147779345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LAwMDQwtTC3MDUzMzZW0lEKTi0uzszPAykwqgUAnDjayCwAAAA="/>
  </w:docVars>
  <w:rsids>
    <w:rsidRoot w:val="1FBEB712"/>
    <w:rsid w:val="00010142"/>
    <w:rsid w:val="00020373"/>
    <w:rsid w:val="000439A0"/>
    <w:rsid w:val="0004623B"/>
    <w:rsid w:val="00052A06"/>
    <w:rsid w:val="00061F1E"/>
    <w:rsid w:val="00070B0C"/>
    <w:rsid w:val="000A6F55"/>
    <w:rsid w:val="000C78E1"/>
    <w:rsid w:val="000E5E70"/>
    <w:rsid w:val="000F734B"/>
    <w:rsid w:val="0010466A"/>
    <w:rsid w:val="001076E2"/>
    <w:rsid w:val="00114654"/>
    <w:rsid w:val="00120C12"/>
    <w:rsid w:val="0014148B"/>
    <w:rsid w:val="00153739"/>
    <w:rsid w:val="001575C0"/>
    <w:rsid w:val="001663D7"/>
    <w:rsid w:val="00170431"/>
    <w:rsid w:val="001857D4"/>
    <w:rsid w:val="001B2744"/>
    <w:rsid w:val="001C64DE"/>
    <w:rsid w:val="00201874"/>
    <w:rsid w:val="00214B08"/>
    <w:rsid w:val="00217B77"/>
    <w:rsid w:val="00294667"/>
    <w:rsid w:val="002B04D0"/>
    <w:rsid w:val="002B62B0"/>
    <w:rsid w:val="002D153F"/>
    <w:rsid w:val="002D3176"/>
    <w:rsid w:val="002F047C"/>
    <w:rsid w:val="0033177E"/>
    <w:rsid w:val="003343FC"/>
    <w:rsid w:val="003405F4"/>
    <w:rsid w:val="00357089"/>
    <w:rsid w:val="00363A47"/>
    <w:rsid w:val="003714AA"/>
    <w:rsid w:val="003802B1"/>
    <w:rsid w:val="003959DF"/>
    <w:rsid w:val="00395B85"/>
    <w:rsid w:val="003A1668"/>
    <w:rsid w:val="003B0E0E"/>
    <w:rsid w:val="003B2203"/>
    <w:rsid w:val="003B33C4"/>
    <w:rsid w:val="003C2701"/>
    <w:rsid w:val="003D53B0"/>
    <w:rsid w:val="003D6BD9"/>
    <w:rsid w:val="003E5311"/>
    <w:rsid w:val="00424FF1"/>
    <w:rsid w:val="004300F4"/>
    <w:rsid w:val="0043458F"/>
    <w:rsid w:val="00443275"/>
    <w:rsid w:val="0044350A"/>
    <w:rsid w:val="004B39C2"/>
    <w:rsid w:val="004C123C"/>
    <w:rsid w:val="004C70C5"/>
    <w:rsid w:val="004E1863"/>
    <w:rsid w:val="004E5445"/>
    <w:rsid w:val="004F1020"/>
    <w:rsid w:val="00511A72"/>
    <w:rsid w:val="00526E61"/>
    <w:rsid w:val="00531C9F"/>
    <w:rsid w:val="00537CBD"/>
    <w:rsid w:val="005424CE"/>
    <w:rsid w:val="00553BDF"/>
    <w:rsid w:val="005565BD"/>
    <w:rsid w:val="005735EB"/>
    <w:rsid w:val="0058366A"/>
    <w:rsid w:val="00591946"/>
    <w:rsid w:val="005D0964"/>
    <w:rsid w:val="005E3D03"/>
    <w:rsid w:val="00611028"/>
    <w:rsid w:val="006318E2"/>
    <w:rsid w:val="00642757"/>
    <w:rsid w:val="0065105B"/>
    <w:rsid w:val="00656462"/>
    <w:rsid w:val="00656C21"/>
    <w:rsid w:val="00663215"/>
    <w:rsid w:val="00665A60"/>
    <w:rsid w:val="0068326A"/>
    <w:rsid w:val="006A3B71"/>
    <w:rsid w:val="006A6D84"/>
    <w:rsid w:val="006D6296"/>
    <w:rsid w:val="006F0A4D"/>
    <w:rsid w:val="007432C9"/>
    <w:rsid w:val="007463DF"/>
    <w:rsid w:val="00756440"/>
    <w:rsid w:val="007763DA"/>
    <w:rsid w:val="007A6B82"/>
    <w:rsid w:val="007E29BF"/>
    <w:rsid w:val="008279C1"/>
    <w:rsid w:val="00843F67"/>
    <w:rsid w:val="00854528"/>
    <w:rsid w:val="0086068A"/>
    <w:rsid w:val="00860DC5"/>
    <w:rsid w:val="008773B9"/>
    <w:rsid w:val="00884A6A"/>
    <w:rsid w:val="008922B1"/>
    <w:rsid w:val="00896235"/>
    <w:rsid w:val="008A606D"/>
    <w:rsid w:val="008B006E"/>
    <w:rsid w:val="008C06E4"/>
    <w:rsid w:val="008C4FF4"/>
    <w:rsid w:val="008E6AF6"/>
    <w:rsid w:val="008F2E8C"/>
    <w:rsid w:val="00907288"/>
    <w:rsid w:val="0090765F"/>
    <w:rsid w:val="00924B92"/>
    <w:rsid w:val="009318D7"/>
    <w:rsid w:val="00934EE4"/>
    <w:rsid w:val="00944278"/>
    <w:rsid w:val="009453EB"/>
    <w:rsid w:val="009601F2"/>
    <w:rsid w:val="00963414"/>
    <w:rsid w:val="00980509"/>
    <w:rsid w:val="00984E09"/>
    <w:rsid w:val="009A7757"/>
    <w:rsid w:val="009B1980"/>
    <w:rsid w:val="009C36F0"/>
    <w:rsid w:val="009D1C85"/>
    <w:rsid w:val="009F349E"/>
    <w:rsid w:val="00A07434"/>
    <w:rsid w:val="00A07458"/>
    <w:rsid w:val="00A10C17"/>
    <w:rsid w:val="00A2507D"/>
    <w:rsid w:val="00A34726"/>
    <w:rsid w:val="00A71FDC"/>
    <w:rsid w:val="00A76327"/>
    <w:rsid w:val="00A90B88"/>
    <w:rsid w:val="00AA1D9A"/>
    <w:rsid w:val="00AA392D"/>
    <w:rsid w:val="00AD65C4"/>
    <w:rsid w:val="00AF1012"/>
    <w:rsid w:val="00B15D75"/>
    <w:rsid w:val="00B17BA9"/>
    <w:rsid w:val="00B2343F"/>
    <w:rsid w:val="00B2758E"/>
    <w:rsid w:val="00B66FB5"/>
    <w:rsid w:val="00B73979"/>
    <w:rsid w:val="00B85272"/>
    <w:rsid w:val="00B9561B"/>
    <w:rsid w:val="00BA4AB3"/>
    <w:rsid w:val="00BE7000"/>
    <w:rsid w:val="00BE7EA8"/>
    <w:rsid w:val="00C14DA6"/>
    <w:rsid w:val="00C249AF"/>
    <w:rsid w:val="00C473A1"/>
    <w:rsid w:val="00C6382E"/>
    <w:rsid w:val="00C673D7"/>
    <w:rsid w:val="00C73AA8"/>
    <w:rsid w:val="00C745B5"/>
    <w:rsid w:val="00C76BF8"/>
    <w:rsid w:val="00C87E8A"/>
    <w:rsid w:val="00C93411"/>
    <w:rsid w:val="00C941B6"/>
    <w:rsid w:val="00CA4CE3"/>
    <w:rsid w:val="00CA6C72"/>
    <w:rsid w:val="00CB7625"/>
    <w:rsid w:val="00CC5E1D"/>
    <w:rsid w:val="00CD31A9"/>
    <w:rsid w:val="00CF3A40"/>
    <w:rsid w:val="00D073B6"/>
    <w:rsid w:val="00D255EA"/>
    <w:rsid w:val="00D348AC"/>
    <w:rsid w:val="00D44ACF"/>
    <w:rsid w:val="00D8180A"/>
    <w:rsid w:val="00DC6B7C"/>
    <w:rsid w:val="00DD6B22"/>
    <w:rsid w:val="00DF3ABE"/>
    <w:rsid w:val="00E07423"/>
    <w:rsid w:val="00E16325"/>
    <w:rsid w:val="00E177B7"/>
    <w:rsid w:val="00E235B4"/>
    <w:rsid w:val="00E34984"/>
    <w:rsid w:val="00E6220A"/>
    <w:rsid w:val="00E826D9"/>
    <w:rsid w:val="00E95FC2"/>
    <w:rsid w:val="00EB59FF"/>
    <w:rsid w:val="00EC239A"/>
    <w:rsid w:val="00EC77C3"/>
    <w:rsid w:val="00F00AEF"/>
    <w:rsid w:val="00F2192F"/>
    <w:rsid w:val="00F245E6"/>
    <w:rsid w:val="00F2579D"/>
    <w:rsid w:val="00F456EA"/>
    <w:rsid w:val="00F54D82"/>
    <w:rsid w:val="00F54E4F"/>
    <w:rsid w:val="00FB1960"/>
    <w:rsid w:val="00FD01B4"/>
    <w:rsid w:val="00FE1E81"/>
    <w:rsid w:val="0BF5BC88"/>
    <w:rsid w:val="1FBEB712"/>
    <w:rsid w:val="2654C961"/>
    <w:rsid w:val="282F832A"/>
    <w:rsid w:val="2BC267C0"/>
    <w:rsid w:val="2E97A571"/>
    <w:rsid w:val="3153E6DA"/>
    <w:rsid w:val="39897B6F"/>
    <w:rsid w:val="3DD6C878"/>
    <w:rsid w:val="429C9689"/>
    <w:rsid w:val="51CF4B39"/>
    <w:rsid w:val="5340E4F9"/>
    <w:rsid w:val="7FE889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BEB712"/>
  <w15:chartTrackingRefBased/>
  <w15:docId w15:val="{03CFB6BF-DC05-43EC-AB5D-F5F7A84B2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43275"/>
    <w:pPr>
      <w:keepNext/>
      <w:keepLines/>
      <w:spacing w:before="360" w:after="80" w:line="259" w:lineRule="auto"/>
      <w:jc w:val="both"/>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tulo3">
    <w:name w:val="heading 3"/>
    <w:basedOn w:val="Normal"/>
    <w:next w:val="Normal"/>
    <w:link w:val="Ttulo3Car"/>
    <w:uiPriority w:val="9"/>
    <w:unhideWhenUsed/>
    <w:qFormat/>
    <w:rsid w:val="00443275"/>
    <w:pPr>
      <w:keepNext/>
      <w:keepLines/>
      <w:spacing w:before="160" w:after="80" w:line="259" w:lineRule="auto"/>
      <w:jc w:val="both"/>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43275"/>
    <w:pPr>
      <w:keepNext/>
      <w:keepLines/>
      <w:spacing w:before="80" w:after="40" w:line="259" w:lineRule="auto"/>
      <w:jc w:val="both"/>
      <w:outlineLvl w:val="3"/>
    </w:pPr>
    <w:rPr>
      <w:rFonts w:eastAsiaTheme="majorEastAsia" w:cstheme="majorBidi"/>
      <w:i/>
      <w:iCs/>
      <w:color w:val="0F4761" w:themeColor="accent1" w:themeShade="BF"/>
      <w:sz w:val="22"/>
      <w:szCs w:val="22"/>
    </w:rPr>
  </w:style>
  <w:style w:type="paragraph" w:styleId="Ttulo5">
    <w:name w:val="heading 5"/>
    <w:basedOn w:val="Normal"/>
    <w:next w:val="Normal"/>
    <w:link w:val="Ttulo5Car"/>
    <w:uiPriority w:val="9"/>
    <w:semiHidden/>
    <w:unhideWhenUsed/>
    <w:qFormat/>
    <w:rsid w:val="00443275"/>
    <w:pPr>
      <w:keepNext/>
      <w:keepLines/>
      <w:spacing w:before="80" w:after="40" w:line="259" w:lineRule="auto"/>
      <w:jc w:val="both"/>
      <w:outlineLvl w:val="4"/>
    </w:pPr>
    <w:rPr>
      <w:rFonts w:eastAsiaTheme="majorEastAsia" w:cstheme="majorBidi"/>
      <w:color w:val="0F4761" w:themeColor="accent1" w:themeShade="BF"/>
      <w:sz w:val="22"/>
      <w:szCs w:val="22"/>
    </w:rPr>
  </w:style>
  <w:style w:type="paragraph" w:styleId="Ttulo6">
    <w:name w:val="heading 6"/>
    <w:basedOn w:val="Normal"/>
    <w:next w:val="Normal"/>
    <w:link w:val="Ttulo6Car"/>
    <w:uiPriority w:val="9"/>
    <w:semiHidden/>
    <w:unhideWhenUsed/>
    <w:qFormat/>
    <w:rsid w:val="00443275"/>
    <w:pPr>
      <w:keepNext/>
      <w:keepLines/>
      <w:spacing w:before="40" w:after="0" w:line="259" w:lineRule="auto"/>
      <w:jc w:val="both"/>
      <w:outlineLvl w:val="5"/>
    </w:pPr>
    <w:rPr>
      <w:rFonts w:eastAsiaTheme="majorEastAsia" w:cstheme="majorBidi"/>
      <w:i/>
      <w:iCs/>
      <w:color w:val="595959" w:themeColor="text1" w:themeTint="A6"/>
      <w:sz w:val="22"/>
      <w:szCs w:val="22"/>
    </w:rPr>
  </w:style>
  <w:style w:type="paragraph" w:styleId="Ttulo7">
    <w:name w:val="heading 7"/>
    <w:basedOn w:val="Normal"/>
    <w:next w:val="Normal"/>
    <w:link w:val="Ttulo7Car"/>
    <w:uiPriority w:val="9"/>
    <w:semiHidden/>
    <w:unhideWhenUsed/>
    <w:qFormat/>
    <w:rsid w:val="00443275"/>
    <w:pPr>
      <w:keepNext/>
      <w:keepLines/>
      <w:spacing w:before="40" w:after="0" w:line="259" w:lineRule="auto"/>
      <w:jc w:val="both"/>
      <w:outlineLvl w:val="6"/>
    </w:pPr>
    <w:rPr>
      <w:rFonts w:eastAsiaTheme="majorEastAsia" w:cstheme="majorBidi"/>
      <w:color w:val="595959" w:themeColor="text1" w:themeTint="A6"/>
      <w:sz w:val="22"/>
      <w:szCs w:val="22"/>
    </w:rPr>
  </w:style>
  <w:style w:type="paragraph" w:styleId="Ttulo8">
    <w:name w:val="heading 8"/>
    <w:basedOn w:val="Normal"/>
    <w:next w:val="Normal"/>
    <w:link w:val="Ttulo8Car"/>
    <w:uiPriority w:val="9"/>
    <w:semiHidden/>
    <w:unhideWhenUsed/>
    <w:qFormat/>
    <w:rsid w:val="00443275"/>
    <w:pPr>
      <w:keepNext/>
      <w:keepLines/>
      <w:spacing w:after="0" w:line="259" w:lineRule="auto"/>
      <w:jc w:val="both"/>
      <w:outlineLvl w:val="7"/>
    </w:pPr>
    <w:rPr>
      <w:rFonts w:eastAsiaTheme="majorEastAsia" w:cstheme="majorBidi"/>
      <w:i/>
      <w:iCs/>
      <w:color w:val="272727" w:themeColor="text1" w:themeTint="D8"/>
      <w:sz w:val="22"/>
      <w:szCs w:val="22"/>
    </w:rPr>
  </w:style>
  <w:style w:type="paragraph" w:styleId="Ttulo9">
    <w:name w:val="heading 9"/>
    <w:basedOn w:val="Normal"/>
    <w:next w:val="Normal"/>
    <w:link w:val="Ttulo9Car"/>
    <w:uiPriority w:val="9"/>
    <w:semiHidden/>
    <w:unhideWhenUsed/>
    <w:qFormat/>
    <w:rsid w:val="00443275"/>
    <w:pPr>
      <w:keepNext/>
      <w:keepLines/>
      <w:spacing w:after="0" w:line="259" w:lineRule="auto"/>
      <w:jc w:val="both"/>
      <w:outlineLvl w:val="8"/>
    </w:pPr>
    <w:rPr>
      <w:rFonts w:eastAsiaTheme="majorEastAsia" w:cstheme="majorBidi"/>
      <w:color w:val="272727" w:themeColor="text1" w:themeTint="D8"/>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Pr>
      <w:rFonts w:asciiTheme="majorHAnsi" w:eastAsiaTheme="majorEastAsia" w:hAnsiTheme="majorHAnsi" w:cstheme="majorBidi"/>
      <w:color w:val="0F4761" w:themeColor="accent1" w:themeShade="BF"/>
      <w:sz w:val="26"/>
      <w:szCs w:val="26"/>
    </w:rPr>
  </w:style>
  <w:style w:type="table" w:styleId="Tablaconcuadrcula">
    <w:name w:val="Table Grid"/>
    <w:basedOn w:val="Tabla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uiPriority w:val="9"/>
    <w:rsid w:val="00443275"/>
    <w:rPr>
      <w:rFonts w:asciiTheme="majorHAnsi" w:eastAsiaTheme="majorEastAsia" w:hAnsiTheme="majorHAnsi" w:cstheme="majorBidi"/>
      <w:color w:val="0F4761" w:themeColor="accent1" w:themeShade="BF"/>
      <w:sz w:val="40"/>
      <w:szCs w:val="40"/>
    </w:rPr>
  </w:style>
  <w:style w:type="character" w:customStyle="1" w:styleId="Ttulo3Car">
    <w:name w:val="Título 3 Car"/>
    <w:basedOn w:val="Fuentedeprrafopredeter"/>
    <w:link w:val="Ttulo3"/>
    <w:uiPriority w:val="9"/>
    <w:rsid w:val="0044327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43275"/>
    <w:rPr>
      <w:rFonts w:eastAsiaTheme="majorEastAsia" w:cstheme="majorBidi"/>
      <w:i/>
      <w:iCs/>
      <w:color w:val="0F4761" w:themeColor="accent1" w:themeShade="BF"/>
      <w:sz w:val="22"/>
      <w:szCs w:val="22"/>
    </w:rPr>
  </w:style>
  <w:style w:type="character" w:customStyle="1" w:styleId="Ttulo5Car">
    <w:name w:val="Título 5 Car"/>
    <w:basedOn w:val="Fuentedeprrafopredeter"/>
    <w:link w:val="Ttulo5"/>
    <w:uiPriority w:val="9"/>
    <w:semiHidden/>
    <w:rsid w:val="00443275"/>
    <w:rPr>
      <w:rFonts w:eastAsiaTheme="majorEastAsia" w:cstheme="majorBidi"/>
      <w:color w:val="0F4761" w:themeColor="accent1" w:themeShade="BF"/>
      <w:sz w:val="22"/>
      <w:szCs w:val="22"/>
    </w:rPr>
  </w:style>
  <w:style w:type="character" w:customStyle="1" w:styleId="Ttulo6Car">
    <w:name w:val="Título 6 Car"/>
    <w:basedOn w:val="Fuentedeprrafopredeter"/>
    <w:link w:val="Ttulo6"/>
    <w:uiPriority w:val="9"/>
    <w:semiHidden/>
    <w:rsid w:val="00443275"/>
    <w:rPr>
      <w:rFonts w:eastAsiaTheme="majorEastAsia" w:cstheme="majorBidi"/>
      <w:i/>
      <w:iCs/>
      <w:color w:val="595959" w:themeColor="text1" w:themeTint="A6"/>
      <w:sz w:val="22"/>
      <w:szCs w:val="22"/>
    </w:rPr>
  </w:style>
  <w:style w:type="character" w:customStyle="1" w:styleId="Ttulo7Car">
    <w:name w:val="Título 7 Car"/>
    <w:basedOn w:val="Fuentedeprrafopredeter"/>
    <w:link w:val="Ttulo7"/>
    <w:uiPriority w:val="9"/>
    <w:semiHidden/>
    <w:rsid w:val="00443275"/>
    <w:rPr>
      <w:rFonts w:eastAsiaTheme="majorEastAsia" w:cstheme="majorBidi"/>
      <w:color w:val="595959" w:themeColor="text1" w:themeTint="A6"/>
      <w:sz w:val="22"/>
      <w:szCs w:val="22"/>
    </w:rPr>
  </w:style>
  <w:style w:type="character" w:customStyle="1" w:styleId="Ttulo8Car">
    <w:name w:val="Título 8 Car"/>
    <w:basedOn w:val="Fuentedeprrafopredeter"/>
    <w:link w:val="Ttulo8"/>
    <w:uiPriority w:val="9"/>
    <w:semiHidden/>
    <w:rsid w:val="00443275"/>
    <w:rPr>
      <w:rFonts w:eastAsiaTheme="majorEastAsia" w:cstheme="majorBidi"/>
      <w:i/>
      <w:iCs/>
      <w:color w:val="272727" w:themeColor="text1" w:themeTint="D8"/>
      <w:sz w:val="22"/>
      <w:szCs w:val="22"/>
    </w:rPr>
  </w:style>
  <w:style w:type="character" w:customStyle="1" w:styleId="Ttulo9Car">
    <w:name w:val="Título 9 Car"/>
    <w:basedOn w:val="Fuentedeprrafopredeter"/>
    <w:link w:val="Ttulo9"/>
    <w:uiPriority w:val="9"/>
    <w:semiHidden/>
    <w:rsid w:val="00443275"/>
    <w:rPr>
      <w:rFonts w:eastAsiaTheme="majorEastAsia" w:cstheme="majorBidi"/>
      <w:color w:val="272727" w:themeColor="text1" w:themeTint="D8"/>
      <w:sz w:val="22"/>
      <w:szCs w:val="22"/>
    </w:rPr>
  </w:style>
  <w:style w:type="paragraph" w:styleId="Ttulo">
    <w:name w:val="Title"/>
    <w:basedOn w:val="Normal"/>
    <w:next w:val="Normal"/>
    <w:link w:val="TtuloCar"/>
    <w:uiPriority w:val="10"/>
    <w:qFormat/>
    <w:rsid w:val="00443275"/>
    <w:pPr>
      <w:spacing w:after="80" w:line="240" w:lineRule="auto"/>
      <w:contextualSpacing/>
      <w:jc w:val="both"/>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4327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43275"/>
    <w:pPr>
      <w:numPr>
        <w:ilvl w:val="1"/>
      </w:numPr>
      <w:spacing w:line="259" w:lineRule="auto"/>
      <w:jc w:val="both"/>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4327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43275"/>
    <w:pPr>
      <w:spacing w:before="160" w:line="259" w:lineRule="auto"/>
      <w:jc w:val="center"/>
    </w:pPr>
    <w:rPr>
      <w:i/>
      <w:iCs/>
      <w:color w:val="404040" w:themeColor="text1" w:themeTint="BF"/>
      <w:sz w:val="22"/>
      <w:szCs w:val="22"/>
    </w:rPr>
  </w:style>
  <w:style w:type="character" w:customStyle="1" w:styleId="CitaCar">
    <w:name w:val="Cita Car"/>
    <w:basedOn w:val="Fuentedeprrafopredeter"/>
    <w:link w:val="Cita"/>
    <w:uiPriority w:val="29"/>
    <w:rsid w:val="00443275"/>
    <w:rPr>
      <w:i/>
      <w:iCs/>
      <w:color w:val="404040" w:themeColor="text1" w:themeTint="BF"/>
      <w:sz w:val="22"/>
      <w:szCs w:val="22"/>
    </w:rPr>
  </w:style>
  <w:style w:type="paragraph" w:styleId="Prrafodelista">
    <w:name w:val="List Paragraph"/>
    <w:basedOn w:val="Normal"/>
    <w:uiPriority w:val="34"/>
    <w:qFormat/>
    <w:rsid w:val="00443275"/>
    <w:pPr>
      <w:spacing w:line="259" w:lineRule="auto"/>
      <w:ind w:left="720"/>
      <w:contextualSpacing/>
      <w:jc w:val="both"/>
    </w:pPr>
    <w:rPr>
      <w:sz w:val="22"/>
      <w:szCs w:val="22"/>
    </w:rPr>
  </w:style>
  <w:style w:type="character" w:styleId="nfasisintenso">
    <w:name w:val="Intense Emphasis"/>
    <w:basedOn w:val="Fuentedeprrafopredeter"/>
    <w:uiPriority w:val="21"/>
    <w:qFormat/>
    <w:rsid w:val="00443275"/>
    <w:rPr>
      <w:i/>
      <w:iCs/>
      <w:color w:val="0F4761" w:themeColor="accent1" w:themeShade="BF"/>
    </w:rPr>
  </w:style>
  <w:style w:type="paragraph" w:styleId="Citadestacada">
    <w:name w:val="Intense Quote"/>
    <w:basedOn w:val="Normal"/>
    <w:next w:val="Normal"/>
    <w:link w:val="CitadestacadaCar"/>
    <w:uiPriority w:val="30"/>
    <w:qFormat/>
    <w:rsid w:val="00443275"/>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CitadestacadaCar">
    <w:name w:val="Cita destacada Car"/>
    <w:basedOn w:val="Fuentedeprrafopredeter"/>
    <w:link w:val="Citadestacada"/>
    <w:uiPriority w:val="30"/>
    <w:rsid w:val="00443275"/>
    <w:rPr>
      <w:i/>
      <w:iCs/>
      <w:color w:val="0F4761" w:themeColor="accent1" w:themeShade="BF"/>
      <w:sz w:val="22"/>
      <w:szCs w:val="22"/>
    </w:rPr>
  </w:style>
  <w:style w:type="character" w:styleId="Referenciaintensa">
    <w:name w:val="Intense Reference"/>
    <w:basedOn w:val="Fuentedeprrafopredeter"/>
    <w:uiPriority w:val="32"/>
    <w:qFormat/>
    <w:rsid w:val="00443275"/>
    <w:rPr>
      <w:b/>
      <w:bCs/>
      <w:smallCaps/>
      <w:color w:val="0F4761" w:themeColor="accent1" w:themeShade="BF"/>
      <w:spacing w:val="5"/>
    </w:rPr>
  </w:style>
  <w:style w:type="paragraph" w:styleId="Textocomentario">
    <w:name w:val="annotation text"/>
    <w:basedOn w:val="Normal"/>
    <w:link w:val="TextocomentarioCar"/>
    <w:uiPriority w:val="99"/>
    <w:unhideWhenUsed/>
    <w:rsid w:val="00443275"/>
    <w:pPr>
      <w:spacing w:line="240" w:lineRule="auto"/>
      <w:jc w:val="both"/>
    </w:pPr>
    <w:rPr>
      <w:sz w:val="20"/>
      <w:szCs w:val="20"/>
    </w:rPr>
  </w:style>
  <w:style w:type="character" w:customStyle="1" w:styleId="TextocomentarioCar">
    <w:name w:val="Texto comentario Car"/>
    <w:basedOn w:val="Fuentedeprrafopredeter"/>
    <w:link w:val="Textocomentario"/>
    <w:uiPriority w:val="99"/>
    <w:rsid w:val="00443275"/>
    <w:rPr>
      <w:sz w:val="20"/>
      <w:szCs w:val="20"/>
    </w:rPr>
  </w:style>
  <w:style w:type="character" w:styleId="Refdecomentario">
    <w:name w:val="annotation reference"/>
    <w:basedOn w:val="Fuentedeprrafopredeter"/>
    <w:uiPriority w:val="99"/>
    <w:semiHidden/>
    <w:unhideWhenUsed/>
    <w:rsid w:val="00443275"/>
    <w:rPr>
      <w:sz w:val="16"/>
      <w:szCs w:val="16"/>
    </w:rPr>
  </w:style>
  <w:style w:type="paragraph" w:styleId="Textodeglobo">
    <w:name w:val="Balloon Text"/>
    <w:basedOn w:val="Normal"/>
    <w:link w:val="TextodegloboCar"/>
    <w:uiPriority w:val="99"/>
    <w:semiHidden/>
    <w:unhideWhenUsed/>
    <w:rsid w:val="00443275"/>
    <w:pPr>
      <w:spacing w:after="0" w:line="240" w:lineRule="auto"/>
      <w:jc w:val="both"/>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43275"/>
    <w:rPr>
      <w:rFonts w:ascii="Segoe UI" w:hAnsi="Segoe UI" w:cs="Segoe UI"/>
      <w:sz w:val="18"/>
      <w:szCs w:val="18"/>
    </w:rPr>
  </w:style>
  <w:style w:type="paragraph" w:styleId="Encabezado">
    <w:name w:val="header"/>
    <w:basedOn w:val="Normal"/>
    <w:link w:val="EncabezadoCar"/>
    <w:uiPriority w:val="99"/>
    <w:unhideWhenUsed/>
    <w:rsid w:val="00443275"/>
    <w:pPr>
      <w:tabs>
        <w:tab w:val="center" w:pos="4252"/>
        <w:tab w:val="right" w:pos="8504"/>
      </w:tabs>
      <w:spacing w:after="0" w:line="240" w:lineRule="auto"/>
      <w:jc w:val="both"/>
    </w:pPr>
    <w:rPr>
      <w:sz w:val="22"/>
      <w:szCs w:val="22"/>
    </w:rPr>
  </w:style>
  <w:style w:type="character" w:customStyle="1" w:styleId="EncabezadoCar">
    <w:name w:val="Encabezado Car"/>
    <w:basedOn w:val="Fuentedeprrafopredeter"/>
    <w:link w:val="Encabezado"/>
    <w:uiPriority w:val="99"/>
    <w:rsid w:val="00443275"/>
    <w:rPr>
      <w:sz w:val="22"/>
      <w:szCs w:val="22"/>
    </w:rPr>
  </w:style>
  <w:style w:type="paragraph" w:styleId="Piedepgina">
    <w:name w:val="footer"/>
    <w:basedOn w:val="Normal"/>
    <w:link w:val="PiedepginaCar"/>
    <w:uiPriority w:val="99"/>
    <w:unhideWhenUsed/>
    <w:rsid w:val="00443275"/>
    <w:pPr>
      <w:tabs>
        <w:tab w:val="center" w:pos="4252"/>
        <w:tab w:val="right" w:pos="8504"/>
      </w:tabs>
      <w:spacing w:after="0" w:line="240" w:lineRule="auto"/>
      <w:jc w:val="both"/>
    </w:pPr>
    <w:rPr>
      <w:sz w:val="22"/>
      <w:szCs w:val="22"/>
    </w:rPr>
  </w:style>
  <w:style w:type="character" w:customStyle="1" w:styleId="PiedepginaCar">
    <w:name w:val="Pie de página Car"/>
    <w:basedOn w:val="Fuentedeprrafopredeter"/>
    <w:link w:val="Piedepgina"/>
    <w:uiPriority w:val="99"/>
    <w:rsid w:val="00443275"/>
    <w:rPr>
      <w:sz w:val="22"/>
      <w:szCs w:val="22"/>
    </w:rPr>
  </w:style>
  <w:style w:type="paragraph" w:styleId="Asuntodelcomentario">
    <w:name w:val="annotation subject"/>
    <w:basedOn w:val="Textocomentario"/>
    <w:next w:val="Textocomentario"/>
    <w:link w:val="AsuntodelcomentarioCar"/>
    <w:uiPriority w:val="99"/>
    <w:semiHidden/>
    <w:unhideWhenUsed/>
    <w:rsid w:val="00443275"/>
    <w:rPr>
      <w:b/>
      <w:bCs/>
    </w:rPr>
  </w:style>
  <w:style w:type="character" w:customStyle="1" w:styleId="AsuntodelcomentarioCar">
    <w:name w:val="Asunto del comentario Car"/>
    <w:basedOn w:val="TextocomentarioCar"/>
    <w:link w:val="Asuntodelcomentario"/>
    <w:uiPriority w:val="99"/>
    <w:semiHidden/>
    <w:rsid w:val="00443275"/>
    <w:rPr>
      <w:b/>
      <w:bCs/>
      <w:sz w:val="20"/>
      <w:szCs w:val="20"/>
    </w:rPr>
  </w:style>
  <w:style w:type="paragraph" w:styleId="Textonotapie">
    <w:name w:val="footnote text"/>
    <w:basedOn w:val="Normal"/>
    <w:link w:val="TextonotapieCar"/>
    <w:uiPriority w:val="99"/>
    <w:unhideWhenUsed/>
    <w:rsid w:val="00443275"/>
    <w:pPr>
      <w:spacing w:after="0" w:line="240" w:lineRule="auto"/>
      <w:jc w:val="both"/>
    </w:pPr>
    <w:rPr>
      <w:sz w:val="18"/>
      <w:szCs w:val="20"/>
    </w:rPr>
  </w:style>
  <w:style w:type="character" w:customStyle="1" w:styleId="TextonotapieCar">
    <w:name w:val="Texto nota pie Car"/>
    <w:basedOn w:val="Fuentedeprrafopredeter"/>
    <w:link w:val="Textonotapie"/>
    <w:uiPriority w:val="99"/>
    <w:rsid w:val="00443275"/>
    <w:rPr>
      <w:sz w:val="18"/>
      <w:szCs w:val="20"/>
    </w:rPr>
  </w:style>
  <w:style w:type="character" w:styleId="Refdenotaalpie">
    <w:name w:val="footnote reference"/>
    <w:basedOn w:val="Fuentedeprrafopredeter"/>
    <w:uiPriority w:val="99"/>
    <w:semiHidden/>
    <w:unhideWhenUsed/>
    <w:rsid w:val="00443275"/>
    <w:rPr>
      <w:vertAlign w:val="superscript"/>
    </w:rPr>
  </w:style>
  <w:style w:type="character" w:styleId="Hipervnculo">
    <w:name w:val="Hyperlink"/>
    <w:basedOn w:val="Fuentedeprrafopredeter"/>
    <w:uiPriority w:val="99"/>
    <w:unhideWhenUsed/>
    <w:rsid w:val="00443275"/>
    <w:rPr>
      <w:color w:val="0000FF"/>
      <w:u w:val="single"/>
    </w:rPr>
  </w:style>
  <w:style w:type="paragraph" w:styleId="Revisin">
    <w:name w:val="Revision"/>
    <w:hidden/>
    <w:uiPriority w:val="99"/>
    <w:semiHidden/>
    <w:rsid w:val="00443275"/>
    <w:pPr>
      <w:spacing w:after="0" w:line="240" w:lineRule="auto"/>
    </w:pPr>
    <w:rPr>
      <w:sz w:val="22"/>
      <w:szCs w:val="22"/>
    </w:rPr>
  </w:style>
  <w:style w:type="paragraph" w:styleId="Bibliografa">
    <w:name w:val="Bibliography"/>
    <w:basedOn w:val="Normal"/>
    <w:next w:val="Normal"/>
    <w:uiPriority w:val="37"/>
    <w:semiHidden/>
    <w:unhideWhenUsed/>
    <w:rsid w:val="00443275"/>
    <w:pPr>
      <w:spacing w:before="240" w:after="0" w:line="360" w:lineRule="auto"/>
      <w:jc w:val="both"/>
    </w:pPr>
    <w:rPr>
      <w:szCs w:val="22"/>
    </w:rPr>
  </w:style>
  <w:style w:type="character" w:styleId="Hipervnculovisitado">
    <w:name w:val="FollowedHyperlink"/>
    <w:basedOn w:val="Fuentedeprrafopredeter"/>
    <w:uiPriority w:val="99"/>
    <w:semiHidden/>
    <w:unhideWhenUsed/>
    <w:rsid w:val="00443275"/>
    <w:rPr>
      <w:color w:val="96607D" w:themeColor="followedHyperlink"/>
      <w:u w:val="single"/>
    </w:rPr>
  </w:style>
  <w:style w:type="paragraph" w:styleId="NormalWeb">
    <w:name w:val="Normal (Web)"/>
    <w:basedOn w:val="Normal"/>
    <w:uiPriority w:val="99"/>
    <w:unhideWhenUsed/>
    <w:rsid w:val="00443275"/>
    <w:pPr>
      <w:spacing w:before="100" w:beforeAutospacing="1" w:after="100" w:afterAutospacing="1" w:line="240" w:lineRule="auto"/>
    </w:pPr>
    <w:rPr>
      <w:rFonts w:ascii="Times New Roman" w:eastAsia="Times New Roman" w:hAnsi="Times New Roman" w:cs="Times New Roman"/>
      <w:lang w:eastAsia="es-ES"/>
    </w:rPr>
  </w:style>
  <w:style w:type="character" w:styleId="Textoennegrita">
    <w:name w:val="Strong"/>
    <w:basedOn w:val="Fuentedeprrafopredeter"/>
    <w:uiPriority w:val="22"/>
    <w:qFormat/>
    <w:rsid w:val="00443275"/>
    <w:rPr>
      <w:b/>
      <w:bCs/>
    </w:rPr>
  </w:style>
  <w:style w:type="paragraph" w:styleId="z-Principiodelformulario">
    <w:name w:val="HTML Top of Form"/>
    <w:basedOn w:val="Normal"/>
    <w:next w:val="Normal"/>
    <w:link w:val="z-PrincipiodelformularioCar"/>
    <w:hidden/>
    <w:uiPriority w:val="99"/>
    <w:semiHidden/>
    <w:unhideWhenUsed/>
    <w:rsid w:val="00443275"/>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443275"/>
    <w:rPr>
      <w:rFonts w:ascii="Arial" w:eastAsia="Times New Roman" w:hAnsi="Arial" w:cs="Arial"/>
      <w:vanish/>
      <w:sz w:val="16"/>
      <w:szCs w:val="16"/>
      <w:lang w:eastAsia="es-ES"/>
    </w:rPr>
  </w:style>
  <w:style w:type="character" w:styleId="Mencinsinresolver">
    <w:name w:val="Unresolved Mention"/>
    <w:basedOn w:val="Fuentedeprrafopredeter"/>
    <w:uiPriority w:val="99"/>
    <w:semiHidden/>
    <w:unhideWhenUsed/>
    <w:rsid w:val="00443275"/>
    <w:rPr>
      <w:color w:val="605E5C"/>
      <w:shd w:val="clear" w:color="auto" w:fill="E1DFDD"/>
    </w:rPr>
  </w:style>
  <w:style w:type="character" w:customStyle="1" w:styleId="identifier">
    <w:name w:val="identifier"/>
    <w:basedOn w:val="Fuentedeprrafopredeter"/>
    <w:rsid w:val="00443275"/>
  </w:style>
  <w:style w:type="paragraph" w:customStyle="1" w:styleId="Cabecera">
    <w:name w:val="Cabecera"/>
    <w:basedOn w:val="Normal"/>
    <w:qFormat/>
    <w:rsid w:val="00443275"/>
    <w:pPr>
      <w:spacing w:after="0" w:line="240" w:lineRule="auto"/>
      <w:jc w:val="center"/>
    </w:pPr>
    <w:rPr>
      <w:rFonts w:ascii="Arial" w:eastAsia="Times New Roman" w:hAnsi="Arial" w:cs="Times New Roman"/>
      <w:b/>
      <w:i/>
      <w:sz w:val="14"/>
      <w:szCs w:val="20"/>
      <w:lang w:eastAsia="es-ES"/>
    </w:rPr>
  </w:style>
  <w:style w:type="paragraph" w:customStyle="1" w:styleId="Celda">
    <w:name w:val="Celda"/>
    <w:basedOn w:val="Normal"/>
    <w:qFormat/>
    <w:rsid w:val="00443275"/>
    <w:pPr>
      <w:keepLines/>
      <w:spacing w:after="0" w:line="240" w:lineRule="auto"/>
      <w:jc w:val="center"/>
    </w:pPr>
    <w:rPr>
      <w:rFonts w:ascii="Arial" w:eastAsia="Times New Roman" w:hAnsi="Arial" w:cs="Times New Roman"/>
      <w:sz w:val="14"/>
      <w:szCs w:val="20"/>
      <w:lang w:eastAsia="es-ES"/>
    </w:rPr>
  </w:style>
  <w:style w:type="paragraph" w:customStyle="1" w:styleId="Fila">
    <w:name w:val="Fila"/>
    <w:basedOn w:val="Normal"/>
    <w:qFormat/>
    <w:rsid w:val="00443275"/>
    <w:pPr>
      <w:keepLines/>
      <w:spacing w:after="0" w:line="240" w:lineRule="auto"/>
    </w:pPr>
    <w:rPr>
      <w:rFonts w:ascii="Arial" w:eastAsia="Times New Roman" w:hAnsi="Arial" w:cs="Times New Roman"/>
      <w:b/>
      <w:sz w:val="16"/>
      <w:szCs w:val="20"/>
      <w:lang w:eastAsia="es-ES"/>
    </w:rPr>
  </w:style>
  <w:style w:type="paragraph" w:customStyle="1" w:styleId="Pregunta">
    <w:name w:val="Pregunta"/>
    <w:basedOn w:val="Normal"/>
    <w:autoRedefine/>
    <w:rsid w:val="00443275"/>
    <w:pPr>
      <w:keepNext/>
      <w:keepLines/>
      <w:tabs>
        <w:tab w:val="num" w:pos="360"/>
      </w:tabs>
      <w:spacing w:after="0" w:line="240" w:lineRule="auto"/>
      <w:ind w:left="357" w:hanging="357"/>
    </w:pPr>
    <w:rPr>
      <w:rFonts w:ascii="Arial" w:eastAsia="Times New Roman" w:hAnsi="Arial" w:cs="Times New Roman"/>
      <w:b/>
      <w:sz w:val="18"/>
      <w:szCs w:val="20"/>
      <w:lang w:eastAsia="es-ES"/>
    </w:rPr>
  </w:style>
  <w:style w:type="paragraph" w:customStyle="1" w:styleId="NombredeCampo">
    <w:name w:val="Nombre de Campo"/>
    <w:basedOn w:val="Normal"/>
    <w:next w:val="Normal"/>
    <w:autoRedefine/>
    <w:rsid w:val="00443275"/>
    <w:pPr>
      <w:keepNext/>
      <w:keepLines/>
      <w:spacing w:after="0" w:line="240" w:lineRule="auto"/>
      <w:jc w:val="both"/>
    </w:pPr>
    <w:rPr>
      <w:rFonts w:ascii="Arial" w:eastAsia="Times New Roman" w:hAnsi="Arial" w:cs="Times New Roman"/>
      <w:i/>
      <w:smallCaps/>
      <w:sz w:val="14"/>
      <w:szCs w:val="20"/>
      <w:lang w:eastAsia="es-ES"/>
    </w:rPr>
  </w:style>
  <w:style w:type="paragraph" w:customStyle="1" w:styleId="msonormal0">
    <w:name w:val="msonormal"/>
    <w:basedOn w:val="Normal"/>
    <w:rsid w:val="00443275"/>
    <w:pPr>
      <w:spacing w:before="100" w:beforeAutospacing="1" w:after="100" w:afterAutospacing="1" w:line="240" w:lineRule="auto"/>
    </w:pPr>
    <w:rPr>
      <w:rFonts w:ascii="Times New Roman" w:eastAsia="Times New Roman" w:hAnsi="Times New Roman" w:cs="Times New Roman"/>
      <w:lang w:eastAsia="es-ES"/>
    </w:rPr>
  </w:style>
  <w:style w:type="paragraph" w:customStyle="1" w:styleId="xl83">
    <w:name w:val="xl83"/>
    <w:basedOn w:val="Normal"/>
    <w:rsid w:val="00443275"/>
    <w:pPr>
      <w:pBdr>
        <w:top w:val="single" w:sz="4" w:space="0" w:color="C0C0C0"/>
        <w:lef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84">
    <w:name w:val="xl84"/>
    <w:basedOn w:val="Normal"/>
    <w:rsid w:val="00443275"/>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textAlignment w:val="top"/>
    </w:pPr>
    <w:rPr>
      <w:rFonts w:ascii="Arial" w:eastAsia="Times New Roman" w:hAnsi="Arial" w:cs="Arial"/>
      <w:color w:val="333399"/>
      <w:sz w:val="16"/>
      <w:szCs w:val="16"/>
      <w:lang w:eastAsia="es-ES"/>
    </w:rPr>
  </w:style>
  <w:style w:type="paragraph" w:customStyle="1" w:styleId="xl85">
    <w:name w:val="xl85"/>
    <w:basedOn w:val="Normal"/>
    <w:rsid w:val="004432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86">
    <w:name w:val="xl86"/>
    <w:basedOn w:val="Normal"/>
    <w:rsid w:val="004432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87">
    <w:name w:val="xl87"/>
    <w:basedOn w:val="Normal"/>
    <w:rsid w:val="004432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88">
    <w:name w:val="xl88"/>
    <w:basedOn w:val="Normal"/>
    <w:rsid w:val="004432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89">
    <w:name w:val="xl89"/>
    <w:basedOn w:val="Normal"/>
    <w:rsid w:val="004432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top"/>
    </w:pPr>
    <w:rPr>
      <w:rFonts w:ascii="Arial" w:eastAsia="Times New Roman" w:hAnsi="Arial" w:cs="Arial"/>
      <w:b/>
      <w:bCs/>
      <w:color w:val="993300"/>
      <w:sz w:val="16"/>
      <w:szCs w:val="16"/>
      <w:lang w:eastAsia="es-ES"/>
    </w:rPr>
  </w:style>
  <w:style w:type="paragraph" w:customStyle="1" w:styleId="xl90">
    <w:name w:val="xl90"/>
    <w:basedOn w:val="Normal"/>
    <w:rsid w:val="0044327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Arial" w:eastAsia="Times New Roman" w:hAnsi="Arial" w:cs="Arial"/>
      <w:b/>
      <w:bCs/>
      <w:color w:val="993300"/>
      <w:sz w:val="16"/>
      <w:szCs w:val="16"/>
      <w:lang w:eastAsia="es-ES"/>
    </w:rPr>
  </w:style>
  <w:style w:type="paragraph" w:customStyle="1" w:styleId="xl91">
    <w:name w:val="xl91"/>
    <w:basedOn w:val="Normal"/>
    <w:rsid w:val="0044327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top"/>
    </w:pPr>
    <w:rPr>
      <w:rFonts w:ascii="Arial" w:eastAsia="Times New Roman" w:hAnsi="Arial" w:cs="Arial"/>
      <w:b/>
      <w:bCs/>
      <w:color w:val="993300"/>
      <w:sz w:val="16"/>
      <w:szCs w:val="16"/>
      <w:lang w:eastAsia="es-ES"/>
    </w:rPr>
  </w:style>
  <w:style w:type="paragraph" w:customStyle="1" w:styleId="xl92">
    <w:name w:val="xl92"/>
    <w:basedOn w:val="Normal"/>
    <w:rsid w:val="00443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Bold" w:eastAsia="Times New Roman" w:hAnsi="Arial Bold" w:cs="Times New Roman"/>
      <w:b/>
      <w:bCs/>
      <w:color w:val="993300"/>
      <w:sz w:val="16"/>
      <w:szCs w:val="16"/>
      <w:lang w:eastAsia="es-ES"/>
    </w:rPr>
  </w:style>
  <w:style w:type="paragraph" w:customStyle="1" w:styleId="xl93">
    <w:name w:val="xl93"/>
    <w:basedOn w:val="Normal"/>
    <w:rsid w:val="00443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es-ES"/>
    </w:rPr>
  </w:style>
  <w:style w:type="paragraph" w:customStyle="1" w:styleId="xl94">
    <w:name w:val="xl94"/>
    <w:basedOn w:val="Normal"/>
    <w:rsid w:val="00443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333399"/>
      <w:sz w:val="16"/>
      <w:szCs w:val="16"/>
      <w:lang w:eastAsia="es-ES"/>
    </w:rPr>
  </w:style>
  <w:style w:type="paragraph" w:customStyle="1" w:styleId="xl95">
    <w:name w:val="xl95"/>
    <w:basedOn w:val="Normal"/>
    <w:rsid w:val="00443275"/>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textAlignment w:val="top"/>
    </w:pPr>
    <w:rPr>
      <w:rFonts w:ascii="Arial" w:eastAsia="Times New Roman" w:hAnsi="Arial" w:cs="Arial"/>
      <w:color w:val="333399"/>
      <w:sz w:val="16"/>
      <w:szCs w:val="16"/>
      <w:lang w:eastAsia="es-ES"/>
    </w:rPr>
  </w:style>
  <w:style w:type="paragraph" w:customStyle="1" w:styleId="xl96">
    <w:name w:val="xl96"/>
    <w:basedOn w:val="Normal"/>
    <w:rsid w:val="004432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97">
    <w:name w:val="xl97"/>
    <w:basedOn w:val="Normal"/>
    <w:rsid w:val="004432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98">
    <w:name w:val="xl98"/>
    <w:basedOn w:val="Normal"/>
    <w:rsid w:val="004432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99">
    <w:name w:val="xl99"/>
    <w:basedOn w:val="Normal"/>
    <w:rsid w:val="004432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100">
    <w:name w:val="xl100"/>
    <w:basedOn w:val="Normal"/>
    <w:rsid w:val="00443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ES"/>
    </w:rPr>
  </w:style>
  <w:style w:type="paragraph" w:customStyle="1" w:styleId="xl101">
    <w:name w:val="xl101"/>
    <w:basedOn w:val="Normal"/>
    <w:rsid w:val="004432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top"/>
    </w:pPr>
    <w:rPr>
      <w:rFonts w:ascii="Arial" w:eastAsia="Times New Roman" w:hAnsi="Arial" w:cs="Arial"/>
      <w:color w:val="FF0000"/>
      <w:sz w:val="16"/>
      <w:szCs w:val="16"/>
      <w:lang w:eastAsia="es-ES"/>
    </w:rPr>
  </w:style>
  <w:style w:type="paragraph" w:customStyle="1" w:styleId="xl102">
    <w:name w:val="xl102"/>
    <w:basedOn w:val="Normal"/>
    <w:rsid w:val="0044327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103">
    <w:name w:val="xl103"/>
    <w:basedOn w:val="Normal"/>
    <w:rsid w:val="00443275"/>
    <w:pPr>
      <w:pBdr>
        <w:top w:val="single" w:sz="4" w:space="0" w:color="C0C0C0"/>
      </w:pBdr>
      <w:shd w:val="clear" w:color="000000" w:fill="FF0000"/>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character" w:styleId="Refdenotaalfinal">
    <w:name w:val="endnote reference"/>
    <w:basedOn w:val="Fuentedeprrafopredeter"/>
    <w:uiPriority w:val="99"/>
    <w:semiHidden/>
    <w:unhideWhenUsed/>
    <w:rsid w:val="00443275"/>
    <w:rPr>
      <w:vertAlign w:val="superscript"/>
    </w:rPr>
  </w:style>
  <w:style w:type="paragraph" w:customStyle="1" w:styleId="pf0">
    <w:name w:val="pf0"/>
    <w:basedOn w:val="Normal"/>
    <w:rsid w:val="00443275"/>
    <w:pPr>
      <w:spacing w:before="100" w:beforeAutospacing="1" w:after="100" w:afterAutospacing="1" w:line="240" w:lineRule="auto"/>
      <w:jc w:val="both"/>
    </w:pPr>
    <w:rPr>
      <w:rFonts w:ascii="Times New Roman" w:eastAsia="Times New Roman" w:hAnsi="Times New Roman" w:cs="Times New Roman"/>
      <w:lang w:eastAsia="es-ES"/>
    </w:rPr>
  </w:style>
  <w:style w:type="character" w:customStyle="1" w:styleId="cf01">
    <w:name w:val="cf01"/>
    <w:basedOn w:val="Fuentedeprrafopredeter"/>
    <w:rsid w:val="00443275"/>
    <w:rPr>
      <w:rFonts w:ascii="Segoe UI" w:hAnsi="Segoe UI" w:cs="Segoe UI" w:hint="default"/>
      <w:sz w:val="18"/>
      <w:szCs w:val="18"/>
    </w:rPr>
  </w:style>
  <w:style w:type="character" w:styleId="nfasis">
    <w:name w:val="Emphasis"/>
    <w:basedOn w:val="Fuentedeprrafopredeter"/>
    <w:uiPriority w:val="20"/>
    <w:qFormat/>
    <w:rsid w:val="003B33C4"/>
    <w:rPr>
      <w:i/>
      <w:iCs/>
    </w:rPr>
  </w:style>
  <w:style w:type="paragraph" w:customStyle="1" w:styleId="c-bibliographic-informationcitation">
    <w:name w:val="c-bibliographic-information__citation"/>
    <w:basedOn w:val="Normal"/>
    <w:rsid w:val="0086068A"/>
    <w:pPr>
      <w:spacing w:before="100" w:beforeAutospacing="1" w:after="100" w:afterAutospacing="1" w:line="240" w:lineRule="auto"/>
    </w:pPr>
    <w:rPr>
      <w:rFonts w:ascii="Times New Roman" w:eastAsia="Times New Roman" w:hAnsi="Times New Roman" w:cs="Times New Roman"/>
      <w:lang w:eastAsia="es-ES"/>
    </w:rPr>
  </w:style>
  <w:style w:type="paragraph" w:customStyle="1" w:styleId="c-bibliographic-informationdownload-citation">
    <w:name w:val="c-bibliographic-information__download-citation"/>
    <w:basedOn w:val="Normal"/>
    <w:rsid w:val="0086068A"/>
    <w:pPr>
      <w:spacing w:before="100" w:beforeAutospacing="1" w:after="100" w:afterAutospacing="1" w:line="240" w:lineRule="auto"/>
    </w:pPr>
    <w:rPr>
      <w:rFonts w:ascii="Times New Roman" w:eastAsia="Times New Roman" w:hAnsi="Times New Roman" w:cs="Times New Roman"/>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792311">
      <w:bodyDiv w:val="1"/>
      <w:marLeft w:val="0"/>
      <w:marRight w:val="0"/>
      <w:marTop w:val="0"/>
      <w:marBottom w:val="0"/>
      <w:divBdr>
        <w:top w:val="none" w:sz="0" w:space="0" w:color="auto"/>
        <w:left w:val="none" w:sz="0" w:space="0" w:color="auto"/>
        <w:bottom w:val="none" w:sz="0" w:space="0" w:color="auto"/>
        <w:right w:val="none" w:sz="0" w:space="0" w:color="auto"/>
      </w:divBdr>
    </w:div>
    <w:div w:id="327439925">
      <w:bodyDiv w:val="1"/>
      <w:marLeft w:val="0"/>
      <w:marRight w:val="0"/>
      <w:marTop w:val="0"/>
      <w:marBottom w:val="0"/>
      <w:divBdr>
        <w:top w:val="none" w:sz="0" w:space="0" w:color="auto"/>
        <w:left w:val="none" w:sz="0" w:space="0" w:color="auto"/>
        <w:bottom w:val="none" w:sz="0" w:space="0" w:color="auto"/>
        <w:right w:val="none" w:sz="0" w:space="0" w:color="auto"/>
      </w:divBdr>
      <w:divsChild>
        <w:div w:id="382606018">
          <w:marLeft w:val="0"/>
          <w:marRight w:val="0"/>
          <w:marTop w:val="0"/>
          <w:marBottom w:val="0"/>
          <w:divBdr>
            <w:top w:val="none" w:sz="0" w:space="0" w:color="auto"/>
            <w:left w:val="none" w:sz="0" w:space="0" w:color="auto"/>
            <w:bottom w:val="none" w:sz="0" w:space="0" w:color="auto"/>
            <w:right w:val="none" w:sz="0" w:space="0" w:color="auto"/>
          </w:divBdr>
        </w:div>
      </w:divsChild>
    </w:div>
    <w:div w:id="580870387">
      <w:bodyDiv w:val="1"/>
      <w:marLeft w:val="0"/>
      <w:marRight w:val="0"/>
      <w:marTop w:val="0"/>
      <w:marBottom w:val="0"/>
      <w:divBdr>
        <w:top w:val="none" w:sz="0" w:space="0" w:color="auto"/>
        <w:left w:val="none" w:sz="0" w:space="0" w:color="auto"/>
        <w:bottom w:val="none" w:sz="0" w:space="0" w:color="auto"/>
        <w:right w:val="none" w:sz="0" w:space="0" w:color="auto"/>
      </w:divBdr>
    </w:div>
    <w:div w:id="774062685">
      <w:bodyDiv w:val="1"/>
      <w:marLeft w:val="0"/>
      <w:marRight w:val="0"/>
      <w:marTop w:val="0"/>
      <w:marBottom w:val="0"/>
      <w:divBdr>
        <w:top w:val="none" w:sz="0" w:space="0" w:color="auto"/>
        <w:left w:val="none" w:sz="0" w:space="0" w:color="auto"/>
        <w:bottom w:val="none" w:sz="0" w:space="0" w:color="auto"/>
        <w:right w:val="none" w:sz="0" w:space="0" w:color="auto"/>
      </w:divBdr>
    </w:div>
    <w:div w:id="894587316">
      <w:bodyDiv w:val="1"/>
      <w:marLeft w:val="0"/>
      <w:marRight w:val="0"/>
      <w:marTop w:val="0"/>
      <w:marBottom w:val="0"/>
      <w:divBdr>
        <w:top w:val="none" w:sz="0" w:space="0" w:color="auto"/>
        <w:left w:val="none" w:sz="0" w:space="0" w:color="auto"/>
        <w:bottom w:val="none" w:sz="0" w:space="0" w:color="auto"/>
        <w:right w:val="none" w:sz="0" w:space="0" w:color="auto"/>
      </w:divBdr>
    </w:div>
    <w:div w:id="1360475881">
      <w:bodyDiv w:val="1"/>
      <w:marLeft w:val="0"/>
      <w:marRight w:val="0"/>
      <w:marTop w:val="0"/>
      <w:marBottom w:val="0"/>
      <w:divBdr>
        <w:top w:val="none" w:sz="0" w:space="0" w:color="auto"/>
        <w:left w:val="none" w:sz="0" w:space="0" w:color="auto"/>
        <w:bottom w:val="none" w:sz="0" w:space="0" w:color="auto"/>
        <w:right w:val="none" w:sz="0" w:space="0" w:color="auto"/>
      </w:divBdr>
      <w:divsChild>
        <w:div w:id="980505582">
          <w:marLeft w:val="0"/>
          <w:marRight w:val="0"/>
          <w:marTop w:val="0"/>
          <w:marBottom w:val="0"/>
          <w:divBdr>
            <w:top w:val="none" w:sz="0" w:space="0" w:color="auto"/>
            <w:left w:val="none" w:sz="0" w:space="0" w:color="auto"/>
            <w:bottom w:val="none" w:sz="0" w:space="0" w:color="auto"/>
            <w:right w:val="none" w:sz="0" w:space="0" w:color="auto"/>
          </w:divBdr>
        </w:div>
        <w:div w:id="2104959775">
          <w:marLeft w:val="0"/>
          <w:marRight w:val="0"/>
          <w:marTop w:val="0"/>
          <w:marBottom w:val="0"/>
          <w:divBdr>
            <w:top w:val="none" w:sz="0" w:space="0" w:color="auto"/>
            <w:left w:val="none" w:sz="0" w:space="0" w:color="auto"/>
            <w:bottom w:val="none" w:sz="0" w:space="0" w:color="auto"/>
            <w:right w:val="none" w:sz="0" w:space="0" w:color="auto"/>
          </w:divBdr>
        </w:div>
        <w:div w:id="2063482584">
          <w:marLeft w:val="0"/>
          <w:marRight w:val="0"/>
          <w:marTop w:val="0"/>
          <w:marBottom w:val="0"/>
          <w:divBdr>
            <w:top w:val="none" w:sz="0" w:space="0" w:color="auto"/>
            <w:left w:val="none" w:sz="0" w:space="0" w:color="auto"/>
            <w:bottom w:val="none" w:sz="0" w:space="0" w:color="auto"/>
            <w:right w:val="none" w:sz="0" w:space="0" w:color="auto"/>
          </w:divBdr>
        </w:div>
        <w:div w:id="9645764">
          <w:marLeft w:val="0"/>
          <w:marRight w:val="0"/>
          <w:marTop w:val="0"/>
          <w:marBottom w:val="0"/>
          <w:divBdr>
            <w:top w:val="none" w:sz="0" w:space="0" w:color="auto"/>
            <w:left w:val="none" w:sz="0" w:space="0" w:color="auto"/>
            <w:bottom w:val="none" w:sz="0" w:space="0" w:color="auto"/>
            <w:right w:val="none" w:sz="0" w:space="0" w:color="auto"/>
          </w:divBdr>
        </w:div>
        <w:div w:id="835417008">
          <w:marLeft w:val="0"/>
          <w:marRight w:val="0"/>
          <w:marTop w:val="0"/>
          <w:marBottom w:val="0"/>
          <w:divBdr>
            <w:top w:val="none" w:sz="0" w:space="0" w:color="auto"/>
            <w:left w:val="none" w:sz="0" w:space="0" w:color="auto"/>
            <w:bottom w:val="none" w:sz="0" w:space="0" w:color="auto"/>
            <w:right w:val="none" w:sz="0" w:space="0" w:color="auto"/>
          </w:divBdr>
        </w:div>
        <w:div w:id="1062563943">
          <w:marLeft w:val="0"/>
          <w:marRight w:val="0"/>
          <w:marTop w:val="0"/>
          <w:marBottom w:val="0"/>
          <w:divBdr>
            <w:top w:val="none" w:sz="0" w:space="0" w:color="auto"/>
            <w:left w:val="none" w:sz="0" w:space="0" w:color="auto"/>
            <w:bottom w:val="none" w:sz="0" w:space="0" w:color="auto"/>
            <w:right w:val="none" w:sz="0" w:space="0" w:color="auto"/>
          </w:divBdr>
        </w:div>
        <w:div w:id="1268463742">
          <w:marLeft w:val="0"/>
          <w:marRight w:val="0"/>
          <w:marTop w:val="0"/>
          <w:marBottom w:val="0"/>
          <w:divBdr>
            <w:top w:val="none" w:sz="0" w:space="0" w:color="auto"/>
            <w:left w:val="none" w:sz="0" w:space="0" w:color="auto"/>
            <w:bottom w:val="none" w:sz="0" w:space="0" w:color="auto"/>
            <w:right w:val="none" w:sz="0" w:space="0" w:color="auto"/>
          </w:divBdr>
        </w:div>
        <w:div w:id="1372074575">
          <w:marLeft w:val="0"/>
          <w:marRight w:val="0"/>
          <w:marTop w:val="0"/>
          <w:marBottom w:val="0"/>
          <w:divBdr>
            <w:top w:val="none" w:sz="0" w:space="0" w:color="auto"/>
            <w:left w:val="none" w:sz="0" w:space="0" w:color="auto"/>
            <w:bottom w:val="none" w:sz="0" w:space="0" w:color="auto"/>
            <w:right w:val="none" w:sz="0" w:space="0" w:color="auto"/>
          </w:divBdr>
        </w:div>
        <w:div w:id="180242159">
          <w:marLeft w:val="0"/>
          <w:marRight w:val="0"/>
          <w:marTop w:val="0"/>
          <w:marBottom w:val="0"/>
          <w:divBdr>
            <w:top w:val="none" w:sz="0" w:space="0" w:color="auto"/>
            <w:left w:val="none" w:sz="0" w:space="0" w:color="auto"/>
            <w:bottom w:val="none" w:sz="0" w:space="0" w:color="auto"/>
            <w:right w:val="none" w:sz="0" w:space="0" w:color="auto"/>
          </w:divBdr>
        </w:div>
        <w:div w:id="1644849269">
          <w:marLeft w:val="0"/>
          <w:marRight w:val="0"/>
          <w:marTop w:val="0"/>
          <w:marBottom w:val="0"/>
          <w:divBdr>
            <w:top w:val="none" w:sz="0" w:space="0" w:color="auto"/>
            <w:left w:val="none" w:sz="0" w:space="0" w:color="auto"/>
            <w:bottom w:val="none" w:sz="0" w:space="0" w:color="auto"/>
            <w:right w:val="none" w:sz="0" w:space="0" w:color="auto"/>
          </w:divBdr>
        </w:div>
        <w:div w:id="1854803405">
          <w:marLeft w:val="0"/>
          <w:marRight w:val="0"/>
          <w:marTop w:val="0"/>
          <w:marBottom w:val="0"/>
          <w:divBdr>
            <w:top w:val="none" w:sz="0" w:space="0" w:color="auto"/>
            <w:left w:val="none" w:sz="0" w:space="0" w:color="auto"/>
            <w:bottom w:val="none" w:sz="0" w:space="0" w:color="auto"/>
            <w:right w:val="none" w:sz="0" w:space="0" w:color="auto"/>
          </w:divBdr>
        </w:div>
        <w:div w:id="2056080544">
          <w:marLeft w:val="0"/>
          <w:marRight w:val="0"/>
          <w:marTop w:val="0"/>
          <w:marBottom w:val="0"/>
          <w:divBdr>
            <w:top w:val="none" w:sz="0" w:space="0" w:color="auto"/>
            <w:left w:val="none" w:sz="0" w:space="0" w:color="auto"/>
            <w:bottom w:val="none" w:sz="0" w:space="0" w:color="auto"/>
            <w:right w:val="none" w:sz="0" w:space="0" w:color="auto"/>
          </w:divBdr>
        </w:div>
        <w:div w:id="575363935">
          <w:marLeft w:val="0"/>
          <w:marRight w:val="0"/>
          <w:marTop w:val="0"/>
          <w:marBottom w:val="0"/>
          <w:divBdr>
            <w:top w:val="none" w:sz="0" w:space="0" w:color="auto"/>
            <w:left w:val="none" w:sz="0" w:space="0" w:color="auto"/>
            <w:bottom w:val="none" w:sz="0" w:space="0" w:color="auto"/>
            <w:right w:val="none" w:sz="0" w:space="0" w:color="auto"/>
          </w:divBdr>
        </w:div>
        <w:div w:id="1596481268">
          <w:marLeft w:val="0"/>
          <w:marRight w:val="0"/>
          <w:marTop w:val="0"/>
          <w:marBottom w:val="0"/>
          <w:divBdr>
            <w:top w:val="none" w:sz="0" w:space="0" w:color="auto"/>
            <w:left w:val="none" w:sz="0" w:space="0" w:color="auto"/>
            <w:bottom w:val="none" w:sz="0" w:space="0" w:color="auto"/>
            <w:right w:val="none" w:sz="0" w:space="0" w:color="auto"/>
          </w:divBdr>
        </w:div>
        <w:div w:id="1282953914">
          <w:marLeft w:val="0"/>
          <w:marRight w:val="0"/>
          <w:marTop w:val="0"/>
          <w:marBottom w:val="0"/>
          <w:divBdr>
            <w:top w:val="none" w:sz="0" w:space="0" w:color="auto"/>
            <w:left w:val="none" w:sz="0" w:space="0" w:color="auto"/>
            <w:bottom w:val="none" w:sz="0" w:space="0" w:color="auto"/>
            <w:right w:val="none" w:sz="0" w:space="0" w:color="auto"/>
          </w:divBdr>
        </w:div>
      </w:divsChild>
    </w:div>
    <w:div w:id="1417744605">
      <w:bodyDiv w:val="1"/>
      <w:marLeft w:val="0"/>
      <w:marRight w:val="0"/>
      <w:marTop w:val="0"/>
      <w:marBottom w:val="0"/>
      <w:divBdr>
        <w:top w:val="none" w:sz="0" w:space="0" w:color="auto"/>
        <w:left w:val="none" w:sz="0" w:space="0" w:color="auto"/>
        <w:bottom w:val="none" w:sz="0" w:space="0" w:color="auto"/>
        <w:right w:val="none" w:sz="0" w:space="0" w:color="auto"/>
      </w:divBdr>
    </w:div>
    <w:div w:id="1515807898">
      <w:bodyDiv w:val="1"/>
      <w:marLeft w:val="0"/>
      <w:marRight w:val="0"/>
      <w:marTop w:val="0"/>
      <w:marBottom w:val="0"/>
      <w:divBdr>
        <w:top w:val="none" w:sz="0" w:space="0" w:color="auto"/>
        <w:left w:val="none" w:sz="0" w:space="0" w:color="auto"/>
        <w:bottom w:val="none" w:sz="0" w:space="0" w:color="auto"/>
        <w:right w:val="none" w:sz="0" w:space="0" w:color="auto"/>
      </w:divBdr>
    </w:div>
    <w:div w:id="1614820974">
      <w:bodyDiv w:val="1"/>
      <w:marLeft w:val="0"/>
      <w:marRight w:val="0"/>
      <w:marTop w:val="0"/>
      <w:marBottom w:val="0"/>
      <w:divBdr>
        <w:top w:val="none" w:sz="0" w:space="0" w:color="auto"/>
        <w:left w:val="none" w:sz="0" w:space="0" w:color="auto"/>
        <w:bottom w:val="none" w:sz="0" w:space="0" w:color="auto"/>
        <w:right w:val="none" w:sz="0" w:space="0" w:color="auto"/>
      </w:divBdr>
      <w:divsChild>
        <w:div w:id="515965725">
          <w:marLeft w:val="0"/>
          <w:marRight w:val="0"/>
          <w:marTop w:val="0"/>
          <w:marBottom w:val="0"/>
          <w:divBdr>
            <w:top w:val="none" w:sz="0" w:space="0" w:color="auto"/>
            <w:left w:val="none" w:sz="0" w:space="0" w:color="auto"/>
            <w:bottom w:val="none" w:sz="0" w:space="0" w:color="auto"/>
            <w:right w:val="none" w:sz="0" w:space="0" w:color="auto"/>
          </w:divBdr>
        </w:div>
        <w:div w:id="1945267818">
          <w:marLeft w:val="0"/>
          <w:marRight w:val="0"/>
          <w:marTop w:val="0"/>
          <w:marBottom w:val="0"/>
          <w:divBdr>
            <w:top w:val="none" w:sz="0" w:space="0" w:color="auto"/>
            <w:left w:val="none" w:sz="0" w:space="0" w:color="auto"/>
            <w:bottom w:val="none" w:sz="0" w:space="0" w:color="auto"/>
            <w:right w:val="none" w:sz="0" w:space="0" w:color="auto"/>
          </w:divBdr>
        </w:div>
        <w:div w:id="1920821839">
          <w:marLeft w:val="0"/>
          <w:marRight w:val="0"/>
          <w:marTop w:val="0"/>
          <w:marBottom w:val="0"/>
          <w:divBdr>
            <w:top w:val="none" w:sz="0" w:space="0" w:color="auto"/>
            <w:left w:val="none" w:sz="0" w:space="0" w:color="auto"/>
            <w:bottom w:val="none" w:sz="0" w:space="0" w:color="auto"/>
            <w:right w:val="none" w:sz="0" w:space="0" w:color="auto"/>
          </w:divBdr>
        </w:div>
        <w:div w:id="214777549">
          <w:marLeft w:val="0"/>
          <w:marRight w:val="0"/>
          <w:marTop w:val="0"/>
          <w:marBottom w:val="0"/>
          <w:divBdr>
            <w:top w:val="none" w:sz="0" w:space="0" w:color="auto"/>
            <w:left w:val="none" w:sz="0" w:space="0" w:color="auto"/>
            <w:bottom w:val="none" w:sz="0" w:space="0" w:color="auto"/>
            <w:right w:val="none" w:sz="0" w:space="0" w:color="auto"/>
          </w:divBdr>
        </w:div>
        <w:div w:id="1577520527">
          <w:marLeft w:val="0"/>
          <w:marRight w:val="0"/>
          <w:marTop w:val="0"/>
          <w:marBottom w:val="0"/>
          <w:divBdr>
            <w:top w:val="none" w:sz="0" w:space="0" w:color="auto"/>
            <w:left w:val="none" w:sz="0" w:space="0" w:color="auto"/>
            <w:bottom w:val="none" w:sz="0" w:space="0" w:color="auto"/>
            <w:right w:val="none" w:sz="0" w:space="0" w:color="auto"/>
          </w:divBdr>
        </w:div>
        <w:div w:id="729155764">
          <w:marLeft w:val="0"/>
          <w:marRight w:val="0"/>
          <w:marTop w:val="0"/>
          <w:marBottom w:val="0"/>
          <w:divBdr>
            <w:top w:val="none" w:sz="0" w:space="0" w:color="auto"/>
            <w:left w:val="none" w:sz="0" w:space="0" w:color="auto"/>
            <w:bottom w:val="none" w:sz="0" w:space="0" w:color="auto"/>
            <w:right w:val="none" w:sz="0" w:space="0" w:color="auto"/>
          </w:divBdr>
        </w:div>
        <w:div w:id="1879053036">
          <w:marLeft w:val="0"/>
          <w:marRight w:val="0"/>
          <w:marTop w:val="0"/>
          <w:marBottom w:val="0"/>
          <w:divBdr>
            <w:top w:val="none" w:sz="0" w:space="0" w:color="auto"/>
            <w:left w:val="none" w:sz="0" w:space="0" w:color="auto"/>
            <w:bottom w:val="none" w:sz="0" w:space="0" w:color="auto"/>
            <w:right w:val="none" w:sz="0" w:space="0" w:color="auto"/>
          </w:divBdr>
        </w:div>
        <w:div w:id="2145534895">
          <w:marLeft w:val="0"/>
          <w:marRight w:val="0"/>
          <w:marTop w:val="0"/>
          <w:marBottom w:val="0"/>
          <w:divBdr>
            <w:top w:val="none" w:sz="0" w:space="0" w:color="auto"/>
            <w:left w:val="none" w:sz="0" w:space="0" w:color="auto"/>
            <w:bottom w:val="none" w:sz="0" w:space="0" w:color="auto"/>
            <w:right w:val="none" w:sz="0" w:space="0" w:color="auto"/>
          </w:divBdr>
        </w:div>
        <w:div w:id="892037612">
          <w:marLeft w:val="0"/>
          <w:marRight w:val="0"/>
          <w:marTop w:val="0"/>
          <w:marBottom w:val="0"/>
          <w:divBdr>
            <w:top w:val="none" w:sz="0" w:space="0" w:color="auto"/>
            <w:left w:val="none" w:sz="0" w:space="0" w:color="auto"/>
            <w:bottom w:val="none" w:sz="0" w:space="0" w:color="auto"/>
            <w:right w:val="none" w:sz="0" w:space="0" w:color="auto"/>
          </w:divBdr>
        </w:div>
        <w:div w:id="651104786">
          <w:marLeft w:val="0"/>
          <w:marRight w:val="0"/>
          <w:marTop w:val="0"/>
          <w:marBottom w:val="0"/>
          <w:divBdr>
            <w:top w:val="none" w:sz="0" w:space="0" w:color="auto"/>
            <w:left w:val="none" w:sz="0" w:space="0" w:color="auto"/>
            <w:bottom w:val="none" w:sz="0" w:space="0" w:color="auto"/>
            <w:right w:val="none" w:sz="0" w:space="0" w:color="auto"/>
          </w:divBdr>
        </w:div>
        <w:div w:id="956057935">
          <w:marLeft w:val="0"/>
          <w:marRight w:val="0"/>
          <w:marTop w:val="0"/>
          <w:marBottom w:val="0"/>
          <w:divBdr>
            <w:top w:val="none" w:sz="0" w:space="0" w:color="auto"/>
            <w:left w:val="none" w:sz="0" w:space="0" w:color="auto"/>
            <w:bottom w:val="none" w:sz="0" w:space="0" w:color="auto"/>
            <w:right w:val="none" w:sz="0" w:space="0" w:color="auto"/>
          </w:divBdr>
        </w:div>
        <w:div w:id="1956406631">
          <w:marLeft w:val="0"/>
          <w:marRight w:val="0"/>
          <w:marTop w:val="0"/>
          <w:marBottom w:val="0"/>
          <w:divBdr>
            <w:top w:val="none" w:sz="0" w:space="0" w:color="auto"/>
            <w:left w:val="none" w:sz="0" w:space="0" w:color="auto"/>
            <w:bottom w:val="none" w:sz="0" w:space="0" w:color="auto"/>
            <w:right w:val="none" w:sz="0" w:space="0" w:color="auto"/>
          </w:divBdr>
        </w:div>
        <w:div w:id="1044906130">
          <w:marLeft w:val="0"/>
          <w:marRight w:val="0"/>
          <w:marTop w:val="0"/>
          <w:marBottom w:val="0"/>
          <w:divBdr>
            <w:top w:val="none" w:sz="0" w:space="0" w:color="auto"/>
            <w:left w:val="none" w:sz="0" w:space="0" w:color="auto"/>
            <w:bottom w:val="none" w:sz="0" w:space="0" w:color="auto"/>
            <w:right w:val="none" w:sz="0" w:space="0" w:color="auto"/>
          </w:divBdr>
        </w:div>
        <w:div w:id="1718313384">
          <w:marLeft w:val="0"/>
          <w:marRight w:val="0"/>
          <w:marTop w:val="0"/>
          <w:marBottom w:val="0"/>
          <w:divBdr>
            <w:top w:val="none" w:sz="0" w:space="0" w:color="auto"/>
            <w:left w:val="none" w:sz="0" w:space="0" w:color="auto"/>
            <w:bottom w:val="none" w:sz="0" w:space="0" w:color="auto"/>
            <w:right w:val="none" w:sz="0" w:space="0" w:color="auto"/>
          </w:divBdr>
        </w:div>
        <w:div w:id="430978087">
          <w:marLeft w:val="0"/>
          <w:marRight w:val="0"/>
          <w:marTop w:val="0"/>
          <w:marBottom w:val="0"/>
          <w:divBdr>
            <w:top w:val="none" w:sz="0" w:space="0" w:color="auto"/>
            <w:left w:val="none" w:sz="0" w:space="0" w:color="auto"/>
            <w:bottom w:val="none" w:sz="0" w:space="0" w:color="auto"/>
            <w:right w:val="none" w:sz="0" w:space="0" w:color="auto"/>
          </w:divBdr>
        </w:div>
      </w:divsChild>
    </w:div>
    <w:div w:id="1630013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issoc.org/missoc-database/comparative-tabl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29AFA59AEC84C34D988701D678FF6150" ma:contentTypeVersion="18" ma:contentTypeDescription="Crear nuevo documento." ma:contentTypeScope="" ma:versionID="fb73dec186553eb7b932e1f8420cf767">
  <xsd:schema xmlns:xsd="http://www.w3.org/2001/XMLSchema" xmlns:xs="http://www.w3.org/2001/XMLSchema" xmlns:p="http://schemas.microsoft.com/office/2006/metadata/properties" xmlns:ns3="004e55c8-33d8-4fde-b696-b8665743430d" xmlns:ns4="f6d74e1b-96db-48f0-94db-bd1b079a4329" targetNamespace="http://schemas.microsoft.com/office/2006/metadata/properties" ma:root="true" ma:fieldsID="b53c13333f3a335c9a5ce85b3a6ee059" ns3:_="" ns4:_="">
    <xsd:import namespace="004e55c8-33d8-4fde-b696-b8665743430d"/>
    <xsd:import namespace="f6d74e1b-96db-48f0-94db-bd1b079a432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e55c8-33d8-4fde-b696-b8665743430d"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SharingHintHash" ma:index="10" nillable="true" ma:displayName="Hash de la sugerencia para comparti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d74e1b-96db-48f0-94db-bd1b079a432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dexed="true"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6d74e1b-96db-48f0-94db-bd1b079a4329" xsi:nil="true"/>
  </documentManagement>
</p:properties>
</file>

<file path=customXml/itemProps1.xml><?xml version="1.0" encoding="utf-8"?>
<ds:datastoreItem xmlns:ds="http://schemas.openxmlformats.org/officeDocument/2006/customXml" ds:itemID="{4862BFC7-4F95-4834-AEA8-2CAAA0F15A35}">
  <ds:schemaRefs>
    <ds:schemaRef ds:uri="http://schemas.openxmlformats.org/officeDocument/2006/bibliography"/>
  </ds:schemaRefs>
</ds:datastoreItem>
</file>

<file path=customXml/itemProps2.xml><?xml version="1.0" encoding="utf-8"?>
<ds:datastoreItem xmlns:ds="http://schemas.openxmlformats.org/officeDocument/2006/customXml" ds:itemID="{17DF77F3-2818-4F83-98E1-76EBCD001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4e55c8-33d8-4fde-b696-b8665743430d"/>
    <ds:schemaRef ds:uri="f6d74e1b-96db-48f0-94db-bd1b079a43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0F0B39-7C57-4821-9EAC-FD202F420D55}">
  <ds:schemaRefs>
    <ds:schemaRef ds:uri="http://schemas.microsoft.com/sharepoint/v3/contenttype/forms"/>
  </ds:schemaRefs>
</ds:datastoreItem>
</file>

<file path=customXml/itemProps4.xml><?xml version="1.0" encoding="utf-8"?>
<ds:datastoreItem xmlns:ds="http://schemas.openxmlformats.org/officeDocument/2006/customXml" ds:itemID="{749A008E-72B2-4D8E-A48B-89E1DDD1099E}">
  <ds:schemaRefs>
    <ds:schemaRef ds:uri="http://schemas.microsoft.com/office/2006/metadata/properties"/>
    <ds:schemaRef ds:uri="http://schemas.microsoft.com/office/infopath/2007/PartnerControls"/>
    <ds:schemaRef ds:uri="f6d74e1b-96db-48f0-94db-bd1b079a4329"/>
  </ds:schemaRefs>
</ds:datastoreItem>
</file>

<file path=docMetadata/LabelInfo.xml><?xml version="1.0" encoding="utf-8"?>
<clbl:labelList xmlns:clbl="http://schemas.microsoft.com/office/2020/mipLabelMetadata">
  <clbl:label id="{bcd2701c-aa9b-4d12-ba20-f3e3b83070c1}" enabled="0" method="" siteId="{bcd2701c-aa9b-4d12-ba20-f3e3b83070c1}" removed="1"/>
</clbl:labelList>
</file>

<file path=docProps/app.xml><?xml version="1.0" encoding="utf-8"?>
<Properties xmlns="http://schemas.openxmlformats.org/officeDocument/2006/extended-properties" xmlns:vt="http://schemas.openxmlformats.org/officeDocument/2006/docPropsVTypes">
  <Template>Normal.dotm</Template>
  <TotalTime>1257</TotalTime>
  <Pages>7</Pages>
  <Words>11099</Words>
  <Characters>68376</Characters>
  <Application>Microsoft Office Word</Application>
  <DocSecurity>0</DocSecurity>
  <Lines>1554</Lines>
  <Paragraphs>827</Paragraphs>
  <ScaleCrop>false</ScaleCrop>
  <Company/>
  <LinksUpToDate>false</LinksUpToDate>
  <CharactersWithSpaces>78648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Mercedes Fernández</cp:lastModifiedBy>
  <cp:revision>160</cp:revision>
  <dcterms:created xsi:type="dcterms:W3CDTF">2025-01-03T14:57:00Z</dcterms:created>
  <dcterms:modified xsi:type="dcterms:W3CDTF">2025-01-09T10:26:00Z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253c20c0aecb324b65179196d0c91d579bba904170359ff30a726988b876549c</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11th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9th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7b9b5a10-31f3-3b31-b1ee-92234aad0876</vt:lpwstr>
  </property>
  <property fmtid="{D5CDD505-2E9C-101B-9397-08002B2CF9AE}" pid="25" name="Mendeley Citation Style_1">
    <vt:lpwstr>http://www.zotero.org/styles/apa</vt:lpwstr>
  </property>
  <property fmtid="{D5CDD505-2E9C-101B-9397-08002B2CF9AE}" pid="26" name="ContentTypeId">
    <vt:lpwstr>0x01010029AFA59AEC84C34D988701D678FF6150</vt:lpwstr>
  </property>
</Properties>
</file>