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B4ECCE" w14:textId="77777777" w:rsidR="00EF615E" w:rsidRDefault="00445C28">
      <w:pPr>
        <w:pStyle w:val="LO-Normal"/>
        <w:rPr>
          <w:b/>
          <w:bCs/>
        </w:rPr>
      </w:pPr>
      <w:r>
        <w:rPr>
          <w:b/>
          <w:bCs/>
        </w:rPr>
        <w:t>Supplementary material 1: robustness tests on the effect of population density on subjective wellbeing.</w:t>
      </w:r>
    </w:p>
    <w:p w14:paraId="21ED90B3" w14:textId="77F14CF3" w:rsidR="00EF615E" w:rsidRDefault="00445C28">
      <w:pPr>
        <w:pStyle w:val="LO-Normal"/>
      </w:pPr>
      <w:r>
        <w:t>The following represent robustness checks that are deviations on the ‘final model’ established in the paper. This is a linear mixed effects model with participant region of residence</w:t>
      </w:r>
      <w:r w:rsidR="00FC7147">
        <w:t xml:space="preserve"> and </w:t>
      </w:r>
      <w:r>
        <w:t xml:space="preserve">country of residence </w:t>
      </w:r>
      <w:r>
        <w:t>as random intercepts, n</w:t>
      </w:r>
      <w:r>
        <w:t>atural log transformed region population density (henceforth ‘ln(density)’ ),</w:t>
      </w:r>
      <w:r>
        <w:t xml:space="preserve"> </w:t>
      </w:r>
      <w:r w:rsidR="00FC7147">
        <w:t xml:space="preserve">region level </w:t>
      </w:r>
      <w:r>
        <w:t>unemployment rate</w:t>
      </w:r>
      <w:r w:rsidR="00FC7147">
        <w:t>, and survey wave</w:t>
      </w:r>
      <w:r>
        <w:t xml:space="preserve"> as fixed effects</w:t>
      </w:r>
      <w:r w:rsidR="00FC7147">
        <w:t>.</w:t>
      </w:r>
      <w:r>
        <w:t xml:space="preserve"> </w:t>
      </w:r>
      <w:r w:rsidR="00FC7147">
        <w:t>I</w:t>
      </w:r>
      <w:r>
        <w:t>ndividual</w:t>
      </w:r>
      <w:r w:rsidR="00FC7147">
        <w:t xml:space="preserve">-level </w:t>
      </w:r>
      <w:r>
        <w:t xml:space="preserve">subjective wellbeing </w:t>
      </w:r>
      <w:r w:rsidR="00FC7147">
        <w:t xml:space="preserve">is </w:t>
      </w:r>
      <w:r>
        <w:t>the outcome variable. I also fitted a random slope of ln(density) on co</w:t>
      </w:r>
      <w:r>
        <w:t xml:space="preserve">untry of residence. The original model showed </w:t>
      </w:r>
      <w:r w:rsidRPr="005A1F76">
        <w:t>a significant negative effect of population density on SWB (</w:t>
      </w:r>
      <w:r w:rsidRPr="005A1F76">
        <w:rPr>
          <w:i/>
          <w:iCs/>
        </w:rPr>
        <w:t>b</w:t>
      </w:r>
      <w:r w:rsidRPr="005A1F76">
        <w:rPr>
          <w:i/>
        </w:rPr>
        <w:t xml:space="preserve"> </w:t>
      </w:r>
      <w:r w:rsidRPr="005A1F76">
        <w:rPr>
          <w:iCs/>
        </w:rPr>
        <w:t>= -0.02</w:t>
      </w:r>
      <w:r w:rsidRPr="005A1F76">
        <w:rPr>
          <w:i/>
        </w:rPr>
        <w:t xml:space="preserve">, CI </w:t>
      </w:r>
      <w:r w:rsidRPr="005A1F76">
        <w:rPr>
          <w:iCs/>
        </w:rPr>
        <w:t>=</w:t>
      </w:r>
      <w:r w:rsidRPr="005A1F76">
        <w:rPr>
          <w:i/>
        </w:rPr>
        <w:t xml:space="preserve"> </w:t>
      </w:r>
      <w:r w:rsidRPr="005A1F76">
        <w:rPr>
          <w:iCs/>
        </w:rPr>
        <w:t>-0.03 - -0.00</w:t>
      </w:r>
      <w:r>
        <w:rPr>
          <w:iCs/>
        </w:rPr>
        <w:t>3</w:t>
      </w:r>
      <w:r w:rsidRPr="005A1F76">
        <w:rPr>
          <w:i/>
        </w:rPr>
        <w:t>, p</w:t>
      </w:r>
      <w:r w:rsidRPr="005A1F76">
        <w:t xml:space="preserve"> = 0.0</w:t>
      </w:r>
      <w:r>
        <w:t>2</w:t>
      </w:r>
      <w:r w:rsidRPr="005A1F76">
        <w:t>).</w:t>
      </w:r>
      <w:r>
        <w:t xml:space="preserve"> </w:t>
      </w:r>
      <w:r>
        <w:t>A robustness check is classed as ‘failed’ if the p value for this effect is no longer significant at the 0.05 level.</w:t>
      </w:r>
    </w:p>
    <w:p w14:paraId="31D4F23A" w14:textId="6DE70232" w:rsidR="00EF615E" w:rsidRDefault="00445C28">
      <w:pPr>
        <w:pStyle w:val="LO-Normal"/>
      </w:pPr>
      <w:r>
        <w:t>The robustness checks were the same as those that I subjected the ef</w:t>
      </w:r>
      <w:r>
        <w:t xml:space="preserve">fect of ASR on wellbeing to, with a few exceptions. Firstly, I did not test whether the effect remains when controlling for country average age, as this is only a </w:t>
      </w:r>
      <w:r w:rsidR="00FC7147">
        <w:t xml:space="preserve">potential confound </w:t>
      </w:r>
      <w:r>
        <w:t xml:space="preserve">of ASR, not population density. Second, I added </w:t>
      </w:r>
      <w:r w:rsidR="00C24AFE">
        <w:t>a</w:t>
      </w:r>
      <w:r>
        <w:t xml:space="preserve"> new check</w:t>
      </w:r>
      <w:r>
        <w:t xml:space="preserve">, removing </w:t>
      </w:r>
      <w:r w:rsidR="00C24AFE">
        <w:t>the</w:t>
      </w:r>
      <w:r>
        <w:t xml:space="preserve"> unemployment rate. This was to test for ‘collider bias’, where conditioning on a variable can induce the appearance of an effect that</w:t>
      </w:r>
      <w:r w:rsidR="00C24AFE">
        <w:t xml:space="preserve"> in fact</w:t>
      </w:r>
      <w:r>
        <w:t xml:space="preserve"> does not exist. This would be possible for this data if population density </w:t>
      </w:r>
      <w:r w:rsidR="00C24AFE">
        <w:t xml:space="preserve">and wellbeing both </w:t>
      </w:r>
      <w:r>
        <w:t xml:space="preserve">caused changes in </w:t>
      </w:r>
      <w:r>
        <w:t>the unemployment ra</w:t>
      </w:r>
      <w:r>
        <w:t>te</w:t>
      </w:r>
      <w:r>
        <w:t xml:space="preserve"> (see Rohrer 2018 for a discussion of collider variables).</w:t>
      </w:r>
    </w:p>
    <w:tbl>
      <w:tblPr>
        <w:tblW w:w="9252" w:type="dxa"/>
        <w:tblBorders>
          <w:top w:val="single" w:sz="4" w:space="0" w:color="7F7F7F"/>
          <w:bottom w:val="single" w:sz="4" w:space="0" w:color="7F7F7F"/>
          <w:insideH w:val="single" w:sz="4" w:space="0" w:color="7F7F7F"/>
        </w:tblBorders>
        <w:tblLook w:val="0000" w:firstRow="0" w:lastRow="0" w:firstColumn="0" w:lastColumn="0" w:noHBand="0" w:noVBand="0"/>
      </w:tblPr>
      <w:tblGrid>
        <w:gridCol w:w="7891"/>
        <w:gridCol w:w="1361"/>
      </w:tblGrid>
      <w:tr w:rsidR="00EF615E" w14:paraId="33891F25" w14:textId="77777777" w:rsidTr="00FC7147">
        <w:tc>
          <w:tcPr>
            <w:tcW w:w="7891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515D74AF" w14:textId="77777777" w:rsidR="00EF615E" w:rsidRDefault="00445C28">
            <w:pPr>
              <w:pStyle w:val="LO-Normal"/>
              <w:rPr>
                <w:b/>
                <w:bCs/>
              </w:rPr>
            </w:pPr>
            <w:r>
              <w:rPr>
                <w:b/>
                <w:bCs/>
              </w:rPr>
              <w:t xml:space="preserve">Robustness check </w:t>
            </w:r>
          </w:p>
        </w:tc>
        <w:tc>
          <w:tcPr>
            <w:tcW w:w="1361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095240B5" w14:textId="77777777" w:rsidR="00EF615E" w:rsidRDefault="00445C28">
            <w:pPr>
              <w:pStyle w:val="LO-Normal"/>
              <w:rPr>
                <w:b/>
                <w:bCs/>
              </w:rPr>
            </w:pPr>
            <w:r>
              <w:rPr>
                <w:b/>
                <w:bCs/>
              </w:rPr>
              <w:t>Pass/fail</w:t>
            </w:r>
          </w:p>
        </w:tc>
      </w:tr>
      <w:tr w:rsidR="00EF615E" w14:paraId="18E783FF" w14:textId="77777777" w:rsidTr="00FC7147">
        <w:tc>
          <w:tcPr>
            <w:tcW w:w="7891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2E7C9B8B" w14:textId="77777777" w:rsidR="00EF615E" w:rsidRDefault="00445C28">
            <w:pPr>
              <w:pStyle w:val="LO-Normal"/>
              <w:rPr>
                <w:b/>
                <w:bCs/>
              </w:rPr>
            </w:pPr>
            <w:r>
              <w:rPr>
                <w:b/>
                <w:bCs/>
              </w:rPr>
              <w:t>Use of wellbeing measure derived from PCA (see manuscript robustness check section)</w:t>
            </w:r>
          </w:p>
        </w:tc>
        <w:tc>
          <w:tcPr>
            <w:tcW w:w="1361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7D67F9CF" w14:textId="77777777" w:rsidR="00EF615E" w:rsidRDefault="00445C28">
            <w:pPr>
              <w:pStyle w:val="LO-Normal"/>
            </w:pPr>
            <w:r>
              <w:t>Pass</w:t>
            </w:r>
          </w:p>
        </w:tc>
      </w:tr>
      <w:tr w:rsidR="00EF615E" w14:paraId="2C2B02FC" w14:textId="77777777" w:rsidTr="00FC7147">
        <w:tc>
          <w:tcPr>
            <w:tcW w:w="7891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13A6AD3A" w14:textId="5004CB75" w:rsidR="00EF615E" w:rsidRDefault="00445C28">
            <w:pPr>
              <w:pStyle w:val="LO-Normal"/>
              <w:rPr>
                <w:b/>
                <w:bCs/>
              </w:rPr>
            </w:pPr>
            <w:r>
              <w:rPr>
                <w:b/>
                <w:bCs/>
              </w:rPr>
              <w:t xml:space="preserve">Inclusion of number of datapoints available from a region as a </w:t>
            </w:r>
            <w:r w:rsidR="00FC7147">
              <w:rPr>
                <w:b/>
                <w:bCs/>
              </w:rPr>
              <w:t>control variable</w:t>
            </w:r>
          </w:p>
        </w:tc>
        <w:tc>
          <w:tcPr>
            <w:tcW w:w="1361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7C5035C0" w14:textId="77777777" w:rsidR="00EF615E" w:rsidRDefault="00445C28">
            <w:pPr>
              <w:pStyle w:val="LO-Normal"/>
            </w:pPr>
            <w:r>
              <w:t>Pass</w:t>
            </w:r>
          </w:p>
        </w:tc>
      </w:tr>
      <w:tr w:rsidR="00EF615E" w14:paraId="294F3767" w14:textId="77777777" w:rsidTr="00FC7147">
        <w:tc>
          <w:tcPr>
            <w:tcW w:w="7891" w:type="dxa"/>
            <w:shd w:val="clear" w:color="auto" w:fill="auto"/>
          </w:tcPr>
          <w:p w14:paraId="091E3752" w14:textId="77777777" w:rsidR="00EF615E" w:rsidRDefault="00445C28">
            <w:pPr>
              <w:pStyle w:val="LO-Normal"/>
              <w:rPr>
                <w:b/>
                <w:bCs/>
              </w:rPr>
            </w:pPr>
            <w:r>
              <w:rPr>
                <w:b/>
                <w:bCs/>
              </w:rPr>
              <w:t>Exclusion of 10 regions with smallest number of respondents</w:t>
            </w:r>
          </w:p>
        </w:tc>
        <w:tc>
          <w:tcPr>
            <w:tcW w:w="1361" w:type="dxa"/>
            <w:shd w:val="clear" w:color="auto" w:fill="auto"/>
          </w:tcPr>
          <w:p w14:paraId="673CF9FC" w14:textId="77777777" w:rsidR="00EF615E" w:rsidRDefault="00445C28">
            <w:pPr>
              <w:pStyle w:val="LO-Normal"/>
            </w:pPr>
            <w:r>
              <w:t>Pass</w:t>
            </w:r>
          </w:p>
        </w:tc>
      </w:tr>
      <w:tr w:rsidR="00EF615E" w14:paraId="13F1B3B4" w14:textId="77777777" w:rsidTr="00FC7147">
        <w:tc>
          <w:tcPr>
            <w:tcW w:w="7891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5F0D31C0" w14:textId="77777777" w:rsidR="00EF615E" w:rsidRDefault="00445C28">
            <w:pPr>
              <w:pStyle w:val="LO-Normal"/>
              <w:rPr>
                <w:b/>
                <w:bCs/>
              </w:rPr>
            </w:pPr>
            <w:r>
              <w:rPr>
                <w:b/>
                <w:bCs/>
              </w:rPr>
              <w:t xml:space="preserve">Exclusion of 10 regions with largest number of </w:t>
            </w:r>
            <w:r>
              <w:rPr>
                <w:b/>
                <w:bCs/>
              </w:rPr>
              <w:t>respondents</w:t>
            </w:r>
          </w:p>
        </w:tc>
        <w:tc>
          <w:tcPr>
            <w:tcW w:w="1361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14:paraId="183A6998" w14:textId="77777777" w:rsidR="00EF615E" w:rsidRDefault="00445C28">
            <w:pPr>
              <w:pStyle w:val="LO-Normal"/>
            </w:pPr>
            <w:r>
              <w:t>Pass</w:t>
            </w:r>
          </w:p>
        </w:tc>
      </w:tr>
      <w:tr w:rsidR="00EF615E" w14:paraId="66F61037" w14:textId="77777777" w:rsidTr="00FC7147">
        <w:tc>
          <w:tcPr>
            <w:tcW w:w="7891" w:type="dxa"/>
            <w:shd w:val="clear" w:color="auto" w:fill="auto"/>
          </w:tcPr>
          <w:p w14:paraId="3A87BECE" w14:textId="77777777" w:rsidR="00EF615E" w:rsidRDefault="00445C28">
            <w:pPr>
              <w:pStyle w:val="LO-Normal"/>
              <w:rPr>
                <w:b/>
                <w:bCs/>
              </w:rPr>
            </w:pPr>
            <w:r>
              <w:rPr>
                <w:b/>
                <w:bCs/>
              </w:rPr>
              <w:t>Exclusion of unemployment rate</w:t>
            </w:r>
          </w:p>
        </w:tc>
        <w:tc>
          <w:tcPr>
            <w:tcW w:w="1361" w:type="dxa"/>
            <w:shd w:val="clear" w:color="auto" w:fill="auto"/>
          </w:tcPr>
          <w:p w14:paraId="04AFCA71" w14:textId="77777777" w:rsidR="00EF615E" w:rsidRDefault="00445C28">
            <w:pPr>
              <w:pStyle w:val="LO-Normal"/>
            </w:pPr>
            <w:r>
              <w:t>Pass</w:t>
            </w:r>
          </w:p>
        </w:tc>
      </w:tr>
    </w:tbl>
    <w:p w14:paraId="31638F7A" w14:textId="77777777" w:rsidR="00EF615E" w:rsidRDefault="00EF615E">
      <w:pPr>
        <w:pStyle w:val="LO-Normal"/>
      </w:pPr>
    </w:p>
    <w:p w14:paraId="53840F64" w14:textId="77777777" w:rsidR="00EF615E" w:rsidRDefault="00EF615E">
      <w:pPr>
        <w:pStyle w:val="LO-Normal"/>
      </w:pPr>
    </w:p>
    <w:sectPr w:rsidR="00EF615E">
      <w:pgSz w:w="11906" w:h="16838"/>
      <w:pgMar w:top="1440" w:right="1440" w:bottom="1440" w:left="1440" w:header="0" w:footer="0" w:gutter="0"/>
      <w:cols w:space="720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615E"/>
    <w:rsid w:val="00445C28"/>
    <w:rsid w:val="00C24AFE"/>
    <w:rsid w:val="00EF615E"/>
    <w:rsid w:val="00FC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1957C"/>
  <w15:docId w15:val="{AB4F2DBF-8AA4-4A3E-B4A6-8E0049AAF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spacing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-Normal">
    <w:name w:val="LO-Normal"/>
    <w:qFormat/>
    <w:pPr>
      <w:suppressAutoHyphens/>
      <w:spacing w:after="200" w:line="276" w:lineRule="auto"/>
    </w:pPr>
    <w:rPr>
      <w:rFonts w:ascii="Lato" w:eastAsia="Times New Roman" w:hAnsi="Lato"/>
    </w:rPr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282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Richardson</dc:creator>
  <dc:description/>
  <cp:lastModifiedBy>Thomas Richardson</cp:lastModifiedBy>
  <cp:revision>4</cp:revision>
  <dcterms:created xsi:type="dcterms:W3CDTF">2020-07-27T11:49:00Z</dcterms:created>
  <dcterms:modified xsi:type="dcterms:W3CDTF">2020-12-08T14:58:00Z</dcterms:modified>
  <dc:language>en-GB</dc:language>
</cp:coreProperties>
</file>