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C6623" w14:textId="77777777" w:rsidR="001655D1" w:rsidRPr="001655D1" w:rsidRDefault="001655D1" w:rsidP="001655D1">
      <w:pPr>
        <w:rPr>
          <w:rFonts w:ascii="Times New Roman" w:hAnsi="Times New Roman" w:cs="Times New Roman"/>
          <w:strike/>
          <w:color w:val="000000" w:themeColor="text1"/>
          <w:sz w:val="24"/>
          <w:szCs w:val="24"/>
          <w:lang w:val="en-US"/>
        </w:rPr>
      </w:pPr>
      <w:r w:rsidRPr="001655D1">
        <w:rPr>
          <w:rFonts w:ascii="Times New Roman" w:hAnsi="Times New Roman" w:cs="Times New Roman"/>
          <w:color w:val="000000" w:themeColor="text1"/>
          <w:sz w:val="24"/>
          <w:szCs w:val="24"/>
          <w:lang w:val="en-US"/>
        </w:rPr>
        <w:t>Figure 1 (Appendix)</w:t>
      </w:r>
    </w:p>
    <w:p w14:paraId="18D72CDA" w14:textId="77777777" w:rsidR="001655D1" w:rsidRPr="001C36C8" w:rsidRDefault="001655D1" w:rsidP="001655D1">
      <w:pPr>
        <w:rPr>
          <w:rFonts w:ascii="Times New Roman" w:hAnsi="Times New Roman" w:cs="Times New Roman"/>
          <w:i/>
          <w:iCs/>
          <w:strike/>
          <w:sz w:val="24"/>
          <w:szCs w:val="24"/>
          <w:lang w:val="en-US"/>
        </w:rPr>
      </w:pPr>
      <w:r w:rsidRPr="001C36C8">
        <w:rPr>
          <w:strike/>
          <w:noProof/>
        </w:rPr>
        <w:drawing>
          <wp:inline distT="0" distB="0" distL="0" distR="0" wp14:anchorId="6745672E" wp14:editId="6C943D67">
            <wp:extent cx="5760720" cy="3460115"/>
            <wp:effectExtent l="0" t="0" r="5080" b="0"/>
            <wp:docPr id="1398268101" name="Diagramm 1">
              <a:extLst xmlns:a="http://schemas.openxmlformats.org/drawingml/2006/main">
                <a:ext uri="{FF2B5EF4-FFF2-40B4-BE49-F238E27FC236}">
                  <a16:creationId xmlns:a16="http://schemas.microsoft.com/office/drawing/2014/main" id="{3669769F-5D63-444D-8759-A4C00454C0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E05C66" w14:textId="77777777" w:rsidR="001655D1" w:rsidRPr="00131BC1" w:rsidRDefault="001655D1" w:rsidP="001655D1">
      <w:pPr>
        <w:rPr>
          <w:rFonts w:ascii="Times New Roman" w:hAnsi="Times New Roman" w:cs="Times New Roman"/>
          <w:sz w:val="24"/>
          <w:szCs w:val="24"/>
          <w:lang w:val="en-US"/>
        </w:rPr>
      </w:pPr>
      <w:r w:rsidRPr="001655D1">
        <w:rPr>
          <w:rFonts w:ascii="Times New Roman" w:hAnsi="Times New Roman" w:cs="Times New Roman"/>
          <w:i/>
          <w:iCs/>
          <w:color w:val="000000" w:themeColor="text1"/>
          <w:sz w:val="24"/>
          <w:szCs w:val="24"/>
          <w:lang w:val="en-US"/>
        </w:rPr>
        <w:t xml:space="preserve">Figure 1. </w:t>
      </w:r>
      <w:r w:rsidRPr="001655D1">
        <w:rPr>
          <w:rFonts w:ascii="Times New Roman" w:hAnsi="Times New Roman" w:cs="Times New Roman"/>
          <w:color w:val="000000" w:themeColor="text1"/>
          <w:sz w:val="24"/>
          <w:szCs w:val="24"/>
          <w:lang w:val="en-US"/>
        </w:rPr>
        <w:t xml:space="preserve">Mean </w:t>
      </w:r>
      <w:r>
        <w:rPr>
          <w:rFonts w:ascii="Times New Roman" w:hAnsi="Times New Roman" w:cs="Times New Roman"/>
          <w:sz w:val="24"/>
          <w:szCs w:val="24"/>
          <w:lang w:val="en-US"/>
        </w:rPr>
        <w:t xml:space="preserve">age of study participants per year of publication. </w:t>
      </w:r>
      <w:r w:rsidRPr="003F133A">
        <w:rPr>
          <w:rFonts w:ascii="Times New Roman" w:hAnsi="Times New Roman" w:cs="Times New Roman"/>
          <w:sz w:val="24"/>
          <w:szCs w:val="24"/>
          <w:lang w:val="en-US"/>
        </w:rPr>
        <w:t xml:space="preserve">Each dot represents the mean age of the study population of </w:t>
      </w:r>
      <w:r>
        <w:rPr>
          <w:rFonts w:ascii="Times New Roman" w:hAnsi="Times New Roman" w:cs="Times New Roman"/>
          <w:sz w:val="24"/>
          <w:szCs w:val="24"/>
          <w:lang w:val="en-US"/>
        </w:rPr>
        <w:t>a single</w:t>
      </w:r>
      <w:r w:rsidRPr="003F133A">
        <w:rPr>
          <w:rFonts w:ascii="Times New Roman" w:hAnsi="Times New Roman" w:cs="Times New Roman"/>
          <w:sz w:val="24"/>
          <w:szCs w:val="24"/>
          <w:lang w:val="en-US"/>
        </w:rPr>
        <w:t xml:space="preserve"> study </w:t>
      </w:r>
      <w:r>
        <w:rPr>
          <w:rFonts w:ascii="Times New Roman" w:hAnsi="Times New Roman" w:cs="Times New Roman"/>
          <w:sz w:val="24"/>
          <w:szCs w:val="24"/>
          <w:lang w:val="en-US"/>
        </w:rPr>
        <w:t xml:space="preserve">included in our </w:t>
      </w:r>
      <w:r w:rsidRPr="003F133A">
        <w:rPr>
          <w:rFonts w:ascii="Times New Roman" w:hAnsi="Times New Roman" w:cs="Times New Roman"/>
          <w:sz w:val="24"/>
          <w:szCs w:val="24"/>
          <w:lang w:val="en-US"/>
        </w:rPr>
        <w:t xml:space="preserve">review. </w:t>
      </w:r>
      <w:r>
        <w:rPr>
          <w:rFonts w:ascii="Times New Roman" w:hAnsi="Times New Roman" w:cs="Times New Roman"/>
          <w:sz w:val="24"/>
          <w:szCs w:val="24"/>
          <w:lang w:val="en-US"/>
        </w:rPr>
        <w:t>T</w:t>
      </w:r>
      <w:r w:rsidRPr="003F133A">
        <w:rPr>
          <w:rFonts w:ascii="Times New Roman" w:hAnsi="Times New Roman" w:cs="Times New Roman"/>
          <w:sz w:val="24"/>
          <w:szCs w:val="24"/>
          <w:lang w:val="en-US"/>
        </w:rPr>
        <w:t xml:space="preserve">here is a trend across time that in more recent </w:t>
      </w:r>
      <w:proofErr w:type="gramStart"/>
      <w:r w:rsidRPr="003F133A">
        <w:rPr>
          <w:rFonts w:ascii="Times New Roman" w:hAnsi="Times New Roman" w:cs="Times New Roman"/>
          <w:sz w:val="24"/>
          <w:szCs w:val="24"/>
          <w:lang w:val="en-US"/>
        </w:rPr>
        <w:t>years</w:t>
      </w:r>
      <w:proofErr w:type="gramEnd"/>
      <w:r w:rsidRPr="003F133A">
        <w:rPr>
          <w:rFonts w:ascii="Times New Roman" w:hAnsi="Times New Roman" w:cs="Times New Roman"/>
          <w:sz w:val="24"/>
          <w:szCs w:val="24"/>
          <w:lang w:val="en-US"/>
        </w:rPr>
        <w:t xml:space="preserve"> younger </w:t>
      </w:r>
      <w:r w:rsidRPr="001655D1">
        <w:rPr>
          <w:rFonts w:ascii="Times New Roman" w:hAnsi="Times New Roman" w:cs="Times New Roman"/>
          <w:color w:val="000000" w:themeColor="text1"/>
          <w:sz w:val="24"/>
          <w:szCs w:val="24"/>
          <w:lang w:val="en-US"/>
        </w:rPr>
        <w:t>populations have been studied. However, as we restricted the range of ages to be 19 years old or younger, we cannot claim that this trend would still hold if research in self-compassion across all ages would be considered.</w:t>
      </w:r>
    </w:p>
    <w:p w14:paraId="2F0E860E" w14:textId="77777777" w:rsidR="001655D1" w:rsidRPr="002826C9" w:rsidRDefault="001655D1">
      <w:pPr>
        <w:rPr>
          <w:rFonts w:ascii="Times New Roman" w:hAnsi="Times New Roman" w:cs="Times New Roman"/>
          <w:color w:val="000000" w:themeColor="text1"/>
          <w:sz w:val="24"/>
          <w:szCs w:val="24"/>
          <w:lang w:val="en-US"/>
        </w:rPr>
      </w:pPr>
    </w:p>
    <w:p w14:paraId="2289A655" w14:textId="2CA58472" w:rsidR="001D0178" w:rsidRPr="00853276" w:rsidRDefault="001D0178">
      <w:pPr>
        <w:rPr>
          <w:rFonts w:ascii="Times New Roman" w:hAnsi="Times New Roman" w:cs="Times New Roman"/>
          <w:sz w:val="24"/>
          <w:szCs w:val="24"/>
          <w:lang w:val="en-US"/>
        </w:rPr>
      </w:pPr>
    </w:p>
    <w:sectPr w:rsidR="001D0178" w:rsidRPr="00853276">
      <w:footerReference w:type="even"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39992" w14:textId="77777777" w:rsidR="00B016BC" w:rsidRDefault="00B016BC" w:rsidP="0072313D">
      <w:pPr>
        <w:spacing w:after="0" w:line="240" w:lineRule="auto"/>
      </w:pPr>
      <w:r>
        <w:separator/>
      </w:r>
    </w:p>
  </w:endnote>
  <w:endnote w:type="continuationSeparator" w:id="0">
    <w:p w14:paraId="5D9CB066" w14:textId="77777777" w:rsidR="00B016BC" w:rsidRDefault="00B016BC" w:rsidP="00723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933787750"/>
      <w:docPartObj>
        <w:docPartGallery w:val="Page Numbers (Bottom of Page)"/>
        <w:docPartUnique/>
      </w:docPartObj>
    </w:sdtPr>
    <w:sdtContent>
      <w:p w14:paraId="4C09EB75" w14:textId="51AAADA4" w:rsidR="001C36C8" w:rsidRDefault="001C36C8" w:rsidP="0054092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A1FABAE" w14:textId="77777777" w:rsidR="001C36C8" w:rsidRDefault="001C36C8" w:rsidP="001C36C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648824004"/>
      <w:docPartObj>
        <w:docPartGallery w:val="Page Numbers (Bottom of Page)"/>
        <w:docPartUnique/>
      </w:docPartObj>
    </w:sdtPr>
    <w:sdtContent>
      <w:p w14:paraId="405857EC" w14:textId="4A389502" w:rsidR="001C36C8" w:rsidRDefault="001C36C8" w:rsidP="0054092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174254" w14:textId="77777777" w:rsidR="001C36C8" w:rsidRDefault="001C36C8" w:rsidP="001C36C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5E0D9" w14:textId="77777777" w:rsidR="00B016BC" w:rsidRDefault="00B016BC" w:rsidP="0072313D">
      <w:pPr>
        <w:spacing w:after="0" w:line="240" w:lineRule="auto"/>
      </w:pPr>
      <w:r>
        <w:separator/>
      </w:r>
    </w:p>
  </w:footnote>
  <w:footnote w:type="continuationSeparator" w:id="0">
    <w:p w14:paraId="2EE79B0E" w14:textId="77777777" w:rsidR="00B016BC" w:rsidRDefault="00B016BC" w:rsidP="00723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851F1E"/>
    <w:multiLevelType w:val="hybridMultilevel"/>
    <w:tmpl w:val="DF8A56D0"/>
    <w:lvl w:ilvl="0" w:tplc="72082C96">
      <w:start w:val="20"/>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50E65C65"/>
    <w:multiLevelType w:val="hybridMultilevel"/>
    <w:tmpl w:val="67F22894"/>
    <w:lvl w:ilvl="0" w:tplc="9CB69CA8">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172B29"/>
    <w:multiLevelType w:val="hybridMultilevel"/>
    <w:tmpl w:val="CB5C127E"/>
    <w:lvl w:ilvl="0" w:tplc="7E10D06E">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98320803">
    <w:abstractNumId w:val="2"/>
  </w:num>
  <w:num w:numId="2" w16cid:durableId="1536653561">
    <w:abstractNumId w:val="0"/>
  </w:num>
  <w:num w:numId="3" w16cid:durableId="2008972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0B"/>
    <w:rsid w:val="00034FE3"/>
    <w:rsid w:val="00082EB2"/>
    <w:rsid w:val="000C5EBB"/>
    <w:rsid w:val="000E19A6"/>
    <w:rsid w:val="000F7B62"/>
    <w:rsid w:val="00116A22"/>
    <w:rsid w:val="00131BC1"/>
    <w:rsid w:val="001501FE"/>
    <w:rsid w:val="00152F95"/>
    <w:rsid w:val="00160E1F"/>
    <w:rsid w:val="001655D1"/>
    <w:rsid w:val="00182C3F"/>
    <w:rsid w:val="001B117F"/>
    <w:rsid w:val="001B3EEF"/>
    <w:rsid w:val="001C36C8"/>
    <w:rsid w:val="001D0178"/>
    <w:rsid w:val="001F7F30"/>
    <w:rsid w:val="00214B4D"/>
    <w:rsid w:val="002826C9"/>
    <w:rsid w:val="002A1CA3"/>
    <w:rsid w:val="002B0D05"/>
    <w:rsid w:val="002B3855"/>
    <w:rsid w:val="00311FF6"/>
    <w:rsid w:val="00312552"/>
    <w:rsid w:val="00323C18"/>
    <w:rsid w:val="00337851"/>
    <w:rsid w:val="00343796"/>
    <w:rsid w:val="00377388"/>
    <w:rsid w:val="003B688E"/>
    <w:rsid w:val="003C5290"/>
    <w:rsid w:val="003D4301"/>
    <w:rsid w:val="003D6580"/>
    <w:rsid w:val="003E2C48"/>
    <w:rsid w:val="003F0D90"/>
    <w:rsid w:val="003F133A"/>
    <w:rsid w:val="003F493E"/>
    <w:rsid w:val="003F5E55"/>
    <w:rsid w:val="0041514C"/>
    <w:rsid w:val="00431A82"/>
    <w:rsid w:val="004771B8"/>
    <w:rsid w:val="004A6251"/>
    <w:rsid w:val="004A651B"/>
    <w:rsid w:val="004A710E"/>
    <w:rsid w:val="004C4645"/>
    <w:rsid w:val="004C5656"/>
    <w:rsid w:val="0053053B"/>
    <w:rsid w:val="005365E2"/>
    <w:rsid w:val="005641F2"/>
    <w:rsid w:val="005C1E95"/>
    <w:rsid w:val="00606A6C"/>
    <w:rsid w:val="006233A2"/>
    <w:rsid w:val="006556E2"/>
    <w:rsid w:val="0067219F"/>
    <w:rsid w:val="00682A4B"/>
    <w:rsid w:val="00685804"/>
    <w:rsid w:val="00697511"/>
    <w:rsid w:val="006C1966"/>
    <w:rsid w:val="006E4B0B"/>
    <w:rsid w:val="0072313D"/>
    <w:rsid w:val="00737F83"/>
    <w:rsid w:val="007925CE"/>
    <w:rsid w:val="00797ECF"/>
    <w:rsid w:val="007C3FED"/>
    <w:rsid w:val="008054A3"/>
    <w:rsid w:val="0081460D"/>
    <w:rsid w:val="00853276"/>
    <w:rsid w:val="008545A8"/>
    <w:rsid w:val="00857038"/>
    <w:rsid w:val="00880273"/>
    <w:rsid w:val="008D77DD"/>
    <w:rsid w:val="00913044"/>
    <w:rsid w:val="009313AC"/>
    <w:rsid w:val="00956475"/>
    <w:rsid w:val="00976C07"/>
    <w:rsid w:val="00981CF7"/>
    <w:rsid w:val="00991062"/>
    <w:rsid w:val="009C2601"/>
    <w:rsid w:val="009F3914"/>
    <w:rsid w:val="00A1793D"/>
    <w:rsid w:val="00A33B37"/>
    <w:rsid w:val="00A47C88"/>
    <w:rsid w:val="00A5662E"/>
    <w:rsid w:val="00A7745B"/>
    <w:rsid w:val="00AB0899"/>
    <w:rsid w:val="00AC480D"/>
    <w:rsid w:val="00AE5B14"/>
    <w:rsid w:val="00B016BC"/>
    <w:rsid w:val="00B07FEC"/>
    <w:rsid w:val="00B44B11"/>
    <w:rsid w:val="00B67E74"/>
    <w:rsid w:val="00B83582"/>
    <w:rsid w:val="00BB713A"/>
    <w:rsid w:val="00C046A0"/>
    <w:rsid w:val="00C51CBC"/>
    <w:rsid w:val="00C70E87"/>
    <w:rsid w:val="00CB544C"/>
    <w:rsid w:val="00CC0ACB"/>
    <w:rsid w:val="00CD7D0C"/>
    <w:rsid w:val="00CF5A73"/>
    <w:rsid w:val="00CF6EBE"/>
    <w:rsid w:val="00D118A3"/>
    <w:rsid w:val="00D34667"/>
    <w:rsid w:val="00D835F9"/>
    <w:rsid w:val="00E24CA2"/>
    <w:rsid w:val="00E47EC9"/>
    <w:rsid w:val="00E633D7"/>
    <w:rsid w:val="00E74E6F"/>
    <w:rsid w:val="00E81CFC"/>
    <w:rsid w:val="00E87093"/>
    <w:rsid w:val="00E9208A"/>
    <w:rsid w:val="00EB12E7"/>
    <w:rsid w:val="00EF4A57"/>
    <w:rsid w:val="00F0498D"/>
    <w:rsid w:val="00F467E6"/>
    <w:rsid w:val="00F472A1"/>
    <w:rsid w:val="00F63017"/>
    <w:rsid w:val="00F912A5"/>
    <w:rsid w:val="00FB7A84"/>
    <w:rsid w:val="00FD5DCA"/>
    <w:rsid w:val="00FD7B05"/>
    <w:rsid w:val="00FF5CAB"/>
    <w:rsid w:val="00FF70FD"/>
  </w:rsids>
  <m:mathPr>
    <m:mathFont m:val="Cambria Math"/>
    <m:brkBin m:val="before"/>
    <m:brkBinSub m:val="--"/>
    <m:smallFrac m:val="0"/>
    <m:dispDef/>
    <m:lMargin m:val="0"/>
    <m:rMargin m:val="0"/>
    <m:defJc m:val="centerGroup"/>
    <m:wrapIndent m:val="1440"/>
    <m:intLim m:val="subSup"/>
    <m:naryLim m:val="undOvr"/>
  </m:mathPr>
  <w:themeFontLang w:val="de-CH"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7355"/>
  <w15:docId w15:val="{C9C0C7B5-38A7-3E4C-B225-BB1E2B51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9208A"/>
    <w:rPr>
      <w:sz w:val="16"/>
      <w:szCs w:val="16"/>
    </w:rPr>
  </w:style>
  <w:style w:type="paragraph" w:styleId="Kommentartext">
    <w:name w:val="annotation text"/>
    <w:basedOn w:val="Standard"/>
    <w:link w:val="KommentartextZchn"/>
    <w:uiPriority w:val="99"/>
    <w:semiHidden/>
    <w:unhideWhenUsed/>
    <w:rsid w:val="00E9208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9208A"/>
    <w:rPr>
      <w:sz w:val="20"/>
      <w:szCs w:val="20"/>
    </w:rPr>
  </w:style>
  <w:style w:type="paragraph" w:styleId="Kommentarthema">
    <w:name w:val="annotation subject"/>
    <w:basedOn w:val="Kommentartext"/>
    <w:next w:val="Kommentartext"/>
    <w:link w:val="KommentarthemaZchn"/>
    <w:uiPriority w:val="99"/>
    <w:semiHidden/>
    <w:unhideWhenUsed/>
    <w:rsid w:val="00E9208A"/>
    <w:rPr>
      <w:b/>
      <w:bCs/>
    </w:rPr>
  </w:style>
  <w:style w:type="character" w:customStyle="1" w:styleId="KommentarthemaZchn">
    <w:name w:val="Kommentarthema Zchn"/>
    <w:basedOn w:val="KommentartextZchn"/>
    <w:link w:val="Kommentarthema"/>
    <w:uiPriority w:val="99"/>
    <w:semiHidden/>
    <w:rsid w:val="00E9208A"/>
    <w:rPr>
      <w:b/>
      <w:bCs/>
      <w:sz w:val="20"/>
      <w:szCs w:val="20"/>
    </w:rPr>
  </w:style>
  <w:style w:type="paragraph" w:styleId="berarbeitung">
    <w:name w:val="Revision"/>
    <w:hidden/>
    <w:uiPriority w:val="99"/>
    <w:semiHidden/>
    <w:rsid w:val="007C3FED"/>
    <w:pPr>
      <w:spacing w:after="0" w:line="240" w:lineRule="auto"/>
    </w:pPr>
  </w:style>
  <w:style w:type="paragraph" w:styleId="StandardWeb">
    <w:name w:val="Normal (Web)"/>
    <w:basedOn w:val="Standard"/>
    <w:uiPriority w:val="99"/>
    <w:semiHidden/>
    <w:unhideWhenUsed/>
    <w:rsid w:val="005641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enabsatz">
    <w:name w:val="List Paragraph"/>
    <w:basedOn w:val="Standard"/>
    <w:uiPriority w:val="34"/>
    <w:qFormat/>
    <w:rsid w:val="00956475"/>
    <w:pPr>
      <w:ind w:left="720"/>
      <w:contextualSpacing/>
    </w:pPr>
  </w:style>
  <w:style w:type="paragraph" w:styleId="Kopfzeile">
    <w:name w:val="header"/>
    <w:basedOn w:val="Standard"/>
    <w:link w:val="KopfzeileZchn"/>
    <w:uiPriority w:val="99"/>
    <w:unhideWhenUsed/>
    <w:rsid w:val="007231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313D"/>
  </w:style>
  <w:style w:type="paragraph" w:styleId="Fuzeile">
    <w:name w:val="footer"/>
    <w:basedOn w:val="Standard"/>
    <w:link w:val="FuzeileZchn"/>
    <w:uiPriority w:val="99"/>
    <w:unhideWhenUsed/>
    <w:rsid w:val="007231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313D"/>
  </w:style>
  <w:style w:type="character" w:styleId="Seitenzahl">
    <w:name w:val="page number"/>
    <w:basedOn w:val="Absatz-Standardschriftart"/>
    <w:uiPriority w:val="99"/>
    <w:semiHidden/>
    <w:unhideWhenUsed/>
    <w:rsid w:val="001C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2675823">
      <w:bodyDiv w:val="1"/>
      <w:marLeft w:val="0"/>
      <w:marRight w:val="0"/>
      <w:marTop w:val="0"/>
      <w:marBottom w:val="0"/>
      <w:divBdr>
        <w:top w:val="none" w:sz="0" w:space="0" w:color="auto"/>
        <w:left w:val="none" w:sz="0" w:space="0" w:color="auto"/>
        <w:bottom w:val="none" w:sz="0" w:space="0" w:color="auto"/>
        <w:right w:val="none" w:sz="0" w:space="0" w:color="auto"/>
      </w:divBdr>
      <w:divsChild>
        <w:div w:id="2054503204">
          <w:marLeft w:val="0"/>
          <w:marRight w:val="0"/>
          <w:marTop w:val="0"/>
          <w:marBottom w:val="0"/>
          <w:divBdr>
            <w:top w:val="none" w:sz="0" w:space="0" w:color="auto"/>
            <w:left w:val="none" w:sz="0" w:space="0" w:color="auto"/>
            <w:bottom w:val="none" w:sz="0" w:space="0" w:color="auto"/>
            <w:right w:val="none" w:sz="0" w:space="0" w:color="auto"/>
          </w:divBdr>
          <w:divsChild>
            <w:div w:id="578710642">
              <w:marLeft w:val="0"/>
              <w:marRight w:val="0"/>
              <w:marTop w:val="0"/>
              <w:marBottom w:val="0"/>
              <w:divBdr>
                <w:top w:val="none" w:sz="0" w:space="0" w:color="auto"/>
                <w:left w:val="none" w:sz="0" w:space="0" w:color="auto"/>
                <w:bottom w:val="none" w:sz="0" w:space="0" w:color="auto"/>
                <w:right w:val="none" w:sz="0" w:space="0" w:color="auto"/>
              </w:divBdr>
              <w:divsChild>
                <w:div w:id="200455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regulaneuenschwander/Downloads/20230720_Diagramme_30.06.22%20(Studie%202021%20als%20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t>Mean age of studies per publication year</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de-DE"/>
        </a:p>
      </c:txPr>
    </c:title>
    <c:autoTitleDeleted val="0"/>
    <c:plotArea>
      <c:layout/>
      <c:scatterChart>
        <c:scatterStyle val="lineMarker"/>
        <c:varyColors val="0"/>
        <c:ser>
          <c:idx val="0"/>
          <c:order val="0"/>
          <c:tx>
            <c:strRef>
              <c:f>'Punktdiagramm '!$B$1</c:f>
              <c:strCache>
                <c:ptCount val="1"/>
                <c:pt idx="0">
                  <c:v>Mean age</c:v>
                </c:pt>
              </c:strCache>
            </c:strRef>
          </c:tx>
          <c:spPr>
            <a:ln w="25400" cap="flat" cmpd="sng" algn="ctr">
              <a:noFill/>
              <a:prstDash val="sysDot"/>
              <a:round/>
            </a:ln>
            <a:effectLst/>
          </c:spPr>
          <c:marker>
            <c:symbol val="circle"/>
            <c:size val="5"/>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trendline>
            <c:spPr>
              <a:ln w="9525" cap="rnd">
                <a:solidFill>
                  <a:schemeClr val="accent1"/>
                </a:solidFill>
              </a:ln>
              <a:effectLst/>
            </c:spPr>
            <c:trendlineType val="linear"/>
            <c:dispRSqr val="0"/>
            <c:dispEq val="0"/>
          </c:trendline>
          <c:xVal>
            <c:numRef>
              <c:f>'Punktdiagramm '!$A$2:$A$142</c:f>
              <c:numCache>
                <c:formatCode>General</c:formatCode>
                <c:ptCount val="141"/>
                <c:pt idx="0">
                  <c:v>10</c:v>
                </c:pt>
                <c:pt idx="1">
                  <c:v>11</c:v>
                </c:pt>
                <c:pt idx="2">
                  <c:v>11</c:v>
                </c:pt>
                <c:pt idx="3">
                  <c:v>11</c:v>
                </c:pt>
                <c:pt idx="4">
                  <c:v>14</c:v>
                </c:pt>
                <c:pt idx="5">
                  <c:v>14</c:v>
                </c:pt>
                <c:pt idx="6">
                  <c:v>14</c:v>
                </c:pt>
                <c:pt idx="7">
                  <c:v>14</c:v>
                </c:pt>
                <c:pt idx="8">
                  <c:v>14</c:v>
                </c:pt>
                <c:pt idx="9">
                  <c:v>14</c:v>
                </c:pt>
                <c:pt idx="10">
                  <c:v>15</c:v>
                </c:pt>
                <c:pt idx="11">
                  <c:v>15</c:v>
                </c:pt>
                <c:pt idx="12">
                  <c:v>15</c:v>
                </c:pt>
                <c:pt idx="13">
                  <c:v>15</c:v>
                </c:pt>
                <c:pt idx="14">
                  <c:v>15</c:v>
                </c:pt>
                <c:pt idx="15">
                  <c:v>15</c:v>
                </c:pt>
                <c:pt idx="16">
                  <c:v>15</c:v>
                </c:pt>
                <c:pt idx="17">
                  <c:v>16</c:v>
                </c:pt>
                <c:pt idx="18">
                  <c:v>16</c:v>
                </c:pt>
                <c:pt idx="19">
                  <c:v>16</c:v>
                </c:pt>
                <c:pt idx="20">
                  <c:v>16</c:v>
                </c:pt>
                <c:pt idx="21">
                  <c:v>16</c:v>
                </c:pt>
                <c:pt idx="22">
                  <c:v>16</c:v>
                </c:pt>
                <c:pt idx="23">
                  <c:v>16</c:v>
                </c:pt>
                <c:pt idx="24">
                  <c:v>16</c:v>
                </c:pt>
                <c:pt idx="25">
                  <c:v>16</c:v>
                </c:pt>
                <c:pt idx="26">
                  <c:v>16</c:v>
                </c:pt>
                <c:pt idx="27">
                  <c:v>16</c:v>
                </c:pt>
                <c:pt idx="28">
                  <c:v>16</c:v>
                </c:pt>
                <c:pt idx="29">
                  <c:v>16</c:v>
                </c:pt>
                <c:pt idx="30">
                  <c:v>16</c:v>
                </c:pt>
                <c:pt idx="31">
                  <c:v>16</c:v>
                </c:pt>
                <c:pt idx="32">
                  <c:v>17</c:v>
                </c:pt>
                <c:pt idx="33">
                  <c:v>17</c:v>
                </c:pt>
                <c:pt idx="34">
                  <c:v>17</c:v>
                </c:pt>
                <c:pt idx="35">
                  <c:v>17</c:v>
                </c:pt>
                <c:pt idx="36">
                  <c:v>17</c:v>
                </c:pt>
                <c:pt idx="37">
                  <c:v>17</c:v>
                </c:pt>
                <c:pt idx="38">
                  <c:v>17</c:v>
                </c:pt>
                <c:pt idx="39">
                  <c:v>17</c:v>
                </c:pt>
                <c:pt idx="40">
                  <c:v>18</c:v>
                </c:pt>
                <c:pt idx="41">
                  <c:v>18</c:v>
                </c:pt>
                <c:pt idx="42">
                  <c:v>18</c:v>
                </c:pt>
                <c:pt idx="43">
                  <c:v>18</c:v>
                </c:pt>
                <c:pt idx="44">
                  <c:v>18</c:v>
                </c:pt>
                <c:pt idx="45">
                  <c:v>18</c:v>
                </c:pt>
                <c:pt idx="46">
                  <c:v>18</c:v>
                </c:pt>
                <c:pt idx="47">
                  <c:v>18</c:v>
                </c:pt>
                <c:pt idx="48">
                  <c:v>18</c:v>
                </c:pt>
                <c:pt idx="49">
                  <c:v>18</c:v>
                </c:pt>
                <c:pt idx="50">
                  <c:v>18</c:v>
                </c:pt>
                <c:pt idx="51">
                  <c:v>18</c:v>
                </c:pt>
                <c:pt idx="52">
                  <c:v>18</c:v>
                </c:pt>
                <c:pt idx="53">
                  <c:v>18</c:v>
                </c:pt>
                <c:pt idx="54">
                  <c:v>18</c:v>
                </c:pt>
                <c:pt idx="55">
                  <c:v>18</c:v>
                </c:pt>
                <c:pt idx="56">
                  <c:v>19</c:v>
                </c:pt>
                <c:pt idx="57">
                  <c:v>19</c:v>
                </c:pt>
                <c:pt idx="58">
                  <c:v>19</c:v>
                </c:pt>
                <c:pt idx="59">
                  <c:v>19</c:v>
                </c:pt>
                <c:pt idx="60">
                  <c:v>19</c:v>
                </c:pt>
                <c:pt idx="61">
                  <c:v>19</c:v>
                </c:pt>
                <c:pt idx="62">
                  <c:v>19</c:v>
                </c:pt>
                <c:pt idx="63">
                  <c:v>19</c:v>
                </c:pt>
                <c:pt idx="64">
                  <c:v>19</c:v>
                </c:pt>
                <c:pt idx="65">
                  <c:v>19</c:v>
                </c:pt>
                <c:pt idx="66">
                  <c:v>19</c:v>
                </c:pt>
                <c:pt idx="67">
                  <c:v>19</c:v>
                </c:pt>
                <c:pt idx="68">
                  <c:v>19</c:v>
                </c:pt>
                <c:pt idx="69">
                  <c:v>19</c:v>
                </c:pt>
                <c:pt idx="70">
                  <c:v>19</c:v>
                </c:pt>
                <c:pt idx="71">
                  <c:v>19</c:v>
                </c:pt>
                <c:pt idx="72">
                  <c:v>20</c:v>
                </c:pt>
                <c:pt idx="73">
                  <c:v>20</c:v>
                </c:pt>
                <c:pt idx="74">
                  <c:v>20</c:v>
                </c:pt>
                <c:pt idx="75">
                  <c:v>20</c:v>
                </c:pt>
                <c:pt idx="76">
                  <c:v>20</c:v>
                </c:pt>
                <c:pt idx="77">
                  <c:v>20</c:v>
                </c:pt>
                <c:pt idx="78">
                  <c:v>20</c:v>
                </c:pt>
                <c:pt idx="79">
                  <c:v>20</c:v>
                </c:pt>
                <c:pt idx="80">
                  <c:v>20</c:v>
                </c:pt>
                <c:pt idx="81">
                  <c:v>20</c:v>
                </c:pt>
                <c:pt idx="82">
                  <c:v>20</c:v>
                </c:pt>
                <c:pt idx="83">
                  <c:v>20</c:v>
                </c:pt>
                <c:pt idx="84">
                  <c:v>20</c:v>
                </c:pt>
                <c:pt idx="85">
                  <c:v>20</c:v>
                </c:pt>
                <c:pt idx="86">
                  <c:v>20</c:v>
                </c:pt>
                <c:pt idx="87">
                  <c:v>20</c:v>
                </c:pt>
                <c:pt idx="88">
                  <c:v>20</c:v>
                </c:pt>
                <c:pt idx="89">
                  <c:v>20</c:v>
                </c:pt>
                <c:pt idx="90">
                  <c:v>20</c:v>
                </c:pt>
                <c:pt idx="91">
                  <c:v>20</c:v>
                </c:pt>
                <c:pt idx="92">
                  <c:v>20</c:v>
                </c:pt>
                <c:pt idx="93">
                  <c:v>20</c:v>
                </c:pt>
                <c:pt idx="94">
                  <c:v>20</c:v>
                </c:pt>
                <c:pt idx="95">
                  <c:v>20</c:v>
                </c:pt>
                <c:pt idx="96">
                  <c:v>21</c:v>
                </c:pt>
                <c:pt idx="97">
                  <c:v>21</c:v>
                </c:pt>
                <c:pt idx="98">
                  <c:v>21</c:v>
                </c:pt>
                <c:pt idx="99">
                  <c:v>21</c:v>
                </c:pt>
                <c:pt idx="100">
                  <c:v>21</c:v>
                </c:pt>
                <c:pt idx="101">
                  <c:v>21</c:v>
                </c:pt>
                <c:pt idx="102">
                  <c:v>22</c:v>
                </c:pt>
                <c:pt idx="103">
                  <c:v>22</c:v>
                </c:pt>
                <c:pt idx="104">
                  <c:v>22</c:v>
                </c:pt>
                <c:pt idx="105">
                  <c:v>22</c:v>
                </c:pt>
                <c:pt idx="106">
                  <c:v>22</c:v>
                </c:pt>
                <c:pt idx="107">
                  <c:v>22</c:v>
                </c:pt>
                <c:pt idx="108">
                  <c:v>22</c:v>
                </c:pt>
                <c:pt idx="109">
                  <c:v>22</c:v>
                </c:pt>
                <c:pt idx="110">
                  <c:v>22</c:v>
                </c:pt>
                <c:pt idx="111">
                  <c:v>22</c:v>
                </c:pt>
                <c:pt idx="112">
                  <c:v>22</c:v>
                </c:pt>
                <c:pt idx="113">
                  <c:v>22</c:v>
                </c:pt>
                <c:pt idx="114">
                  <c:v>22</c:v>
                </c:pt>
                <c:pt idx="115">
                  <c:v>22</c:v>
                </c:pt>
                <c:pt idx="116">
                  <c:v>22</c:v>
                </c:pt>
                <c:pt idx="117">
                  <c:v>22</c:v>
                </c:pt>
                <c:pt idx="118">
                  <c:v>22</c:v>
                </c:pt>
                <c:pt idx="119">
                  <c:v>22</c:v>
                </c:pt>
                <c:pt idx="120">
                  <c:v>22</c:v>
                </c:pt>
                <c:pt idx="121">
                  <c:v>22</c:v>
                </c:pt>
                <c:pt idx="122">
                  <c:v>22</c:v>
                </c:pt>
                <c:pt idx="123">
                  <c:v>22</c:v>
                </c:pt>
                <c:pt idx="124">
                  <c:v>22</c:v>
                </c:pt>
                <c:pt idx="125">
                  <c:v>22</c:v>
                </c:pt>
                <c:pt idx="126">
                  <c:v>22</c:v>
                </c:pt>
                <c:pt idx="127">
                  <c:v>22</c:v>
                </c:pt>
                <c:pt idx="128">
                  <c:v>22</c:v>
                </c:pt>
                <c:pt idx="129">
                  <c:v>22</c:v>
                </c:pt>
                <c:pt idx="130">
                  <c:v>22</c:v>
                </c:pt>
                <c:pt idx="131">
                  <c:v>22</c:v>
                </c:pt>
                <c:pt idx="132">
                  <c:v>22</c:v>
                </c:pt>
                <c:pt idx="133">
                  <c:v>22</c:v>
                </c:pt>
                <c:pt idx="134">
                  <c:v>23</c:v>
                </c:pt>
                <c:pt idx="135">
                  <c:v>23</c:v>
                </c:pt>
                <c:pt idx="136">
                  <c:v>23</c:v>
                </c:pt>
                <c:pt idx="137">
                  <c:v>23</c:v>
                </c:pt>
                <c:pt idx="138">
                  <c:v>23</c:v>
                </c:pt>
                <c:pt idx="139">
                  <c:v>23</c:v>
                </c:pt>
                <c:pt idx="140">
                  <c:v>23</c:v>
                </c:pt>
              </c:numCache>
            </c:numRef>
          </c:xVal>
          <c:yVal>
            <c:numRef>
              <c:f>'Punktdiagramm '!$B$2:$B$142</c:f>
              <c:numCache>
                <c:formatCode>General</c:formatCode>
                <c:ptCount val="141"/>
                <c:pt idx="0">
                  <c:v>15.2</c:v>
                </c:pt>
                <c:pt idx="1">
                  <c:v>18.100000000000001</c:v>
                </c:pt>
                <c:pt idx="2">
                  <c:v>15.1</c:v>
                </c:pt>
                <c:pt idx="3">
                  <c:v>18.14</c:v>
                </c:pt>
                <c:pt idx="4">
                  <c:v>16.739999999999998</c:v>
                </c:pt>
                <c:pt idx="5">
                  <c:v>18.71</c:v>
                </c:pt>
                <c:pt idx="6">
                  <c:v>18.100000000000001</c:v>
                </c:pt>
                <c:pt idx="7">
                  <c:v>18</c:v>
                </c:pt>
                <c:pt idx="8">
                  <c:v>15.99</c:v>
                </c:pt>
                <c:pt idx="9">
                  <c:v>18.7</c:v>
                </c:pt>
                <c:pt idx="10">
                  <c:v>18.170000000000002</c:v>
                </c:pt>
                <c:pt idx="11">
                  <c:v>16.3</c:v>
                </c:pt>
                <c:pt idx="12">
                  <c:v>16.78</c:v>
                </c:pt>
                <c:pt idx="13">
                  <c:v>14.65</c:v>
                </c:pt>
                <c:pt idx="14">
                  <c:v>16.3</c:v>
                </c:pt>
                <c:pt idx="15">
                  <c:v>12.37</c:v>
                </c:pt>
                <c:pt idx="16">
                  <c:v>17.5</c:v>
                </c:pt>
                <c:pt idx="17">
                  <c:v>17.899999999999999</c:v>
                </c:pt>
                <c:pt idx="18">
                  <c:v>12.97</c:v>
                </c:pt>
                <c:pt idx="19">
                  <c:v>18.37</c:v>
                </c:pt>
                <c:pt idx="20">
                  <c:v>14.8</c:v>
                </c:pt>
                <c:pt idx="21">
                  <c:v>14.89</c:v>
                </c:pt>
                <c:pt idx="22">
                  <c:v>14.8</c:v>
                </c:pt>
                <c:pt idx="23">
                  <c:v>15.09</c:v>
                </c:pt>
                <c:pt idx="24">
                  <c:v>18.8</c:v>
                </c:pt>
                <c:pt idx="25">
                  <c:v>13</c:v>
                </c:pt>
                <c:pt idx="26">
                  <c:v>16.5</c:v>
                </c:pt>
                <c:pt idx="27">
                  <c:v>15.24</c:v>
                </c:pt>
                <c:pt idx="28">
                  <c:v>12.4</c:v>
                </c:pt>
                <c:pt idx="29" formatCode="0.00">
                  <c:v>12.96</c:v>
                </c:pt>
                <c:pt idx="30">
                  <c:v>18.190000000000001</c:v>
                </c:pt>
                <c:pt idx="31">
                  <c:v>15.49</c:v>
                </c:pt>
                <c:pt idx="32">
                  <c:v>8.65</c:v>
                </c:pt>
                <c:pt idx="33">
                  <c:v>13.58</c:v>
                </c:pt>
                <c:pt idx="34">
                  <c:v>15.75</c:v>
                </c:pt>
                <c:pt idx="35">
                  <c:v>13.64</c:v>
                </c:pt>
                <c:pt idx="36">
                  <c:v>14.6</c:v>
                </c:pt>
                <c:pt idx="37">
                  <c:v>15.94</c:v>
                </c:pt>
                <c:pt idx="38">
                  <c:v>13.58</c:v>
                </c:pt>
                <c:pt idx="39">
                  <c:v>18.36</c:v>
                </c:pt>
                <c:pt idx="40">
                  <c:v>16.260000000000002</c:v>
                </c:pt>
                <c:pt idx="41">
                  <c:v>12.67</c:v>
                </c:pt>
                <c:pt idx="42">
                  <c:v>14.96</c:v>
                </c:pt>
                <c:pt idx="43">
                  <c:v>15.76</c:v>
                </c:pt>
                <c:pt idx="44">
                  <c:v>15.69</c:v>
                </c:pt>
                <c:pt idx="45">
                  <c:v>14.62</c:v>
                </c:pt>
                <c:pt idx="46">
                  <c:v>18.57</c:v>
                </c:pt>
                <c:pt idx="47">
                  <c:v>18.95</c:v>
                </c:pt>
                <c:pt idx="48">
                  <c:v>14.1</c:v>
                </c:pt>
                <c:pt idx="49">
                  <c:v>14.77</c:v>
                </c:pt>
                <c:pt idx="50">
                  <c:v>14.23</c:v>
                </c:pt>
                <c:pt idx="51">
                  <c:v>14.23</c:v>
                </c:pt>
                <c:pt idx="52">
                  <c:v>14.7</c:v>
                </c:pt>
                <c:pt idx="53">
                  <c:v>16</c:v>
                </c:pt>
                <c:pt idx="54">
                  <c:v>16.68</c:v>
                </c:pt>
                <c:pt idx="55">
                  <c:v>11.3</c:v>
                </c:pt>
                <c:pt idx="56">
                  <c:v>15.87</c:v>
                </c:pt>
                <c:pt idx="57">
                  <c:v>13.15</c:v>
                </c:pt>
                <c:pt idx="58">
                  <c:v>15.66</c:v>
                </c:pt>
                <c:pt idx="59">
                  <c:v>13.07</c:v>
                </c:pt>
                <c:pt idx="60">
                  <c:v>14.49</c:v>
                </c:pt>
                <c:pt idx="61">
                  <c:v>15.82</c:v>
                </c:pt>
                <c:pt idx="62">
                  <c:v>18.71</c:v>
                </c:pt>
                <c:pt idx="63">
                  <c:v>15.68</c:v>
                </c:pt>
                <c:pt idx="64">
                  <c:v>14.7</c:v>
                </c:pt>
                <c:pt idx="65">
                  <c:v>16.489999999999998</c:v>
                </c:pt>
                <c:pt idx="66">
                  <c:v>15.45</c:v>
                </c:pt>
                <c:pt idx="67">
                  <c:v>18.43</c:v>
                </c:pt>
                <c:pt idx="68">
                  <c:v>18.760000000000002</c:v>
                </c:pt>
                <c:pt idx="69">
                  <c:v>15.82</c:v>
                </c:pt>
                <c:pt idx="70">
                  <c:v>17.41</c:v>
                </c:pt>
                <c:pt idx="71">
                  <c:v>11.49</c:v>
                </c:pt>
                <c:pt idx="72">
                  <c:v>18.82</c:v>
                </c:pt>
                <c:pt idx="73">
                  <c:v>17</c:v>
                </c:pt>
                <c:pt idx="74">
                  <c:v>14.65</c:v>
                </c:pt>
                <c:pt idx="75">
                  <c:v>18.71</c:v>
                </c:pt>
                <c:pt idx="76">
                  <c:v>12.96</c:v>
                </c:pt>
                <c:pt idx="77">
                  <c:v>15.72</c:v>
                </c:pt>
                <c:pt idx="78">
                  <c:v>13.34</c:v>
                </c:pt>
                <c:pt idx="79">
                  <c:v>16.68</c:v>
                </c:pt>
                <c:pt idx="80">
                  <c:v>14.07</c:v>
                </c:pt>
                <c:pt idx="81">
                  <c:v>15.99</c:v>
                </c:pt>
                <c:pt idx="82">
                  <c:v>14.94</c:v>
                </c:pt>
                <c:pt idx="83">
                  <c:v>18.89</c:v>
                </c:pt>
                <c:pt idx="84">
                  <c:v>13.62</c:v>
                </c:pt>
                <c:pt idx="85">
                  <c:v>14.19</c:v>
                </c:pt>
                <c:pt idx="86">
                  <c:v>13.36</c:v>
                </c:pt>
                <c:pt idx="87">
                  <c:v>16</c:v>
                </c:pt>
                <c:pt idx="88">
                  <c:v>16.27</c:v>
                </c:pt>
                <c:pt idx="89">
                  <c:v>12.17</c:v>
                </c:pt>
                <c:pt idx="90" formatCode="0.00">
                  <c:v>13.17</c:v>
                </c:pt>
                <c:pt idx="91" formatCode="0.00">
                  <c:v>14.44</c:v>
                </c:pt>
                <c:pt idx="92" formatCode="0.00">
                  <c:v>14.8</c:v>
                </c:pt>
                <c:pt idx="93" formatCode="0.00">
                  <c:v>16.010000000000002</c:v>
                </c:pt>
                <c:pt idx="94" formatCode="0.00">
                  <c:v>16.82</c:v>
                </c:pt>
                <c:pt idx="95" formatCode="0.00">
                  <c:v>14.16</c:v>
                </c:pt>
                <c:pt idx="96" formatCode="0.00">
                  <c:v>14.16</c:v>
                </c:pt>
                <c:pt idx="97" formatCode="0.00">
                  <c:v>13.93</c:v>
                </c:pt>
                <c:pt idx="98" formatCode="0.00">
                  <c:v>13.77</c:v>
                </c:pt>
                <c:pt idx="99" formatCode="0.00">
                  <c:v>13.11</c:v>
                </c:pt>
                <c:pt idx="100" formatCode="0.00">
                  <c:v>13.77</c:v>
                </c:pt>
                <c:pt idx="101" formatCode="0.00">
                  <c:v>14.6</c:v>
                </c:pt>
                <c:pt idx="102" formatCode="0.00">
                  <c:v>16.059999999999999</c:v>
                </c:pt>
                <c:pt idx="103" formatCode="0.00">
                  <c:v>14.02</c:v>
                </c:pt>
                <c:pt idx="104" formatCode="0.00">
                  <c:v>13.15</c:v>
                </c:pt>
                <c:pt idx="105" formatCode="0.00">
                  <c:v>13.57</c:v>
                </c:pt>
                <c:pt idx="106" formatCode="0.00">
                  <c:v>15.21</c:v>
                </c:pt>
                <c:pt idx="107">
                  <c:v>13.7</c:v>
                </c:pt>
                <c:pt idx="108" formatCode="0.00">
                  <c:v>9.77</c:v>
                </c:pt>
                <c:pt idx="109" formatCode="0.00">
                  <c:v>12.81</c:v>
                </c:pt>
                <c:pt idx="110" formatCode="0.00">
                  <c:v>17.170000000000002</c:v>
                </c:pt>
                <c:pt idx="111" formatCode="0.00">
                  <c:v>16.5</c:v>
                </c:pt>
                <c:pt idx="112" formatCode="0.00">
                  <c:v>13.28</c:v>
                </c:pt>
                <c:pt idx="113" formatCode="0.00">
                  <c:v>11.82</c:v>
                </c:pt>
                <c:pt idx="114" formatCode="0.00">
                  <c:v>16.309999999999999</c:v>
                </c:pt>
                <c:pt idx="115" formatCode="0.00">
                  <c:v>14.42</c:v>
                </c:pt>
                <c:pt idx="116" formatCode="0.00">
                  <c:v>14.1</c:v>
                </c:pt>
                <c:pt idx="117" formatCode="0.00">
                  <c:v>13.59</c:v>
                </c:pt>
                <c:pt idx="118" formatCode="0.00">
                  <c:v>15.4</c:v>
                </c:pt>
                <c:pt idx="119" formatCode="0.00">
                  <c:v>15.18</c:v>
                </c:pt>
                <c:pt idx="120" formatCode="0.00">
                  <c:v>15.38</c:v>
                </c:pt>
                <c:pt idx="121" formatCode="0.00">
                  <c:v>15.28</c:v>
                </c:pt>
                <c:pt idx="122" formatCode="0.00">
                  <c:v>15.5</c:v>
                </c:pt>
                <c:pt idx="123" formatCode="0.00">
                  <c:v>17.96</c:v>
                </c:pt>
                <c:pt idx="124" formatCode="0.00">
                  <c:v>16.5</c:v>
                </c:pt>
                <c:pt idx="125" formatCode="0.00">
                  <c:v>15.5</c:v>
                </c:pt>
                <c:pt idx="126" formatCode="0.00">
                  <c:v>13</c:v>
                </c:pt>
                <c:pt idx="127" formatCode="0.00">
                  <c:v>13.27</c:v>
                </c:pt>
                <c:pt idx="128" formatCode="0.00">
                  <c:v>9.56</c:v>
                </c:pt>
                <c:pt idx="129" formatCode="0.00">
                  <c:v>12.9</c:v>
                </c:pt>
                <c:pt idx="130" formatCode="0.00">
                  <c:v>9.58</c:v>
                </c:pt>
                <c:pt idx="131" formatCode="0.00">
                  <c:v>18.7</c:v>
                </c:pt>
                <c:pt idx="132" formatCode="0.00">
                  <c:v>18.399999999999999</c:v>
                </c:pt>
                <c:pt idx="133">
                  <c:v>18</c:v>
                </c:pt>
                <c:pt idx="134" formatCode="0.00">
                  <c:v>18.46</c:v>
                </c:pt>
                <c:pt idx="135" formatCode="0.00">
                  <c:v>16.5</c:v>
                </c:pt>
                <c:pt idx="136">
                  <c:v>17.18</c:v>
                </c:pt>
                <c:pt idx="137" formatCode="0.00">
                  <c:v>14.9</c:v>
                </c:pt>
                <c:pt idx="138" formatCode="0.00">
                  <c:v>13.72</c:v>
                </c:pt>
                <c:pt idx="139" formatCode="0.00">
                  <c:v>14.16</c:v>
                </c:pt>
                <c:pt idx="140" formatCode="0.00">
                  <c:v>13.23</c:v>
                </c:pt>
              </c:numCache>
            </c:numRef>
          </c:yVal>
          <c:smooth val="0"/>
          <c:extLst>
            <c:ext xmlns:c16="http://schemas.microsoft.com/office/drawing/2014/chart" uri="{C3380CC4-5D6E-409C-BE32-E72D297353CC}">
              <c16:uniqueId val="{00000001-A7C5-FB46-B8CF-66543BE7ABC9}"/>
            </c:ext>
          </c:extLst>
        </c:ser>
        <c:dLbls>
          <c:showLegendKey val="0"/>
          <c:showVal val="0"/>
          <c:showCatName val="0"/>
          <c:showSerName val="0"/>
          <c:showPercent val="0"/>
          <c:showBubbleSize val="0"/>
        </c:dLbls>
        <c:axId val="541485112"/>
        <c:axId val="541486752"/>
      </c:scatterChart>
      <c:valAx>
        <c:axId val="541485112"/>
        <c:scaling>
          <c:orientation val="minMax"/>
          <c:max val="23"/>
          <c:min val="10"/>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de-CH"/>
                  <a:t>Publication year</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e-DE"/>
            </a:p>
          </c:txPr>
        </c:title>
        <c:numFmt formatCode="\2000" sourceLinked="0"/>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de-DE"/>
          </a:p>
        </c:txPr>
        <c:crossAx val="541486752"/>
        <c:crosses val="autoZero"/>
        <c:crossBetween val="midCat"/>
        <c:majorUnit val="1"/>
      </c:valAx>
      <c:valAx>
        <c:axId val="541486752"/>
        <c:scaling>
          <c:orientation val="minMax"/>
          <c:max val="19.5"/>
          <c:min val="8"/>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r>
                  <a:rPr lang="de-CH"/>
                  <a:t>Mean age</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w="9525" cap="rnd">
            <a:solidFill>
              <a:schemeClr val="dk1">
                <a:lumMod val="25000"/>
                <a:lumOff val="75000"/>
              </a:schemeClr>
            </a:solidFill>
            <a:round/>
          </a:ln>
          <a:effectLst/>
        </c:spPr>
        <c:txPr>
          <a:bodyPr rot="-60000000" spcFirstLastPara="1" vertOverflow="ellipsis" vert="horz" wrap="square" anchor="ctr" anchorCtr="1"/>
          <a:lstStyle/>
          <a:p>
            <a:pPr>
              <a:defRPr sz="900" b="0" i="0" u="none" strike="noStrike" kern="1200" spc="0" baseline="0">
                <a:solidFill>
                  <a:schemeClr val="dk1">
                    <a:lumMod val="65000"/>
                    <a:lumOff val="35000"/>
                  </a:schemeClr>
                </a:solidFill>
                <a:latin typeface="+mn-lt"/>
                <a:ea typeface="+mn-ea"/>
                <a:cs typeface="+mn-cs"/>
              </a:defRPr>
            </a:pPr>
            <a:endParaRPr lang="de-DE"/>
          </a:p>
        </c:txPr>
        <c:crossAx val="541485112"/>
        <c:crosses val="autoZero"/>
        <c:crossBetween val="midCat"/>
        <c:majorUnit val="1"/>
      </c:valAx>
      <c:spPr>
        <a:gradFill>
          <a:gsLst>
            <a:gs pos="100000">
              <a:schemeClr val="lt1">
                <a:lumMod val="95000"/>
              </a:schemeClr>
            </a:gs>
            <a:gs pos="0">
              <a:schemeClr val="lt1">
                <a:alpha val="0"/>
              </a:schemeClr>
            </a:gs>
          </a:gsLst>
          <a:lin ang="5400000" scaled="0"/>
        </a:grad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6">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effectRef idx="1"/>
    <cs:fontRef idx="minor">
      <a:schemeClr val="dk1"/>
    </cs:fontRef>
    <cs:spPr>
      <a:ln w="9525" cap="flat" cmpd="sng" algn="ctr">
        <a:solidFill>
          <a:schemeClr val="phClr">
            <a:alpha val="70000"/>
          </a:schemeClr>
        </a:solidFill>
        <a:prstDash val="sysDot"/>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rnd">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rnd">
        <a:solidFill>
          <a:schemeClr val="dk1">
            <a:lumMod val="65000"/>
            <a:lumOff val="35000"/>
          </a:schemeClr>
        </a:solidFill>
        <a:round/>
      </a:ln>
    </cs:spPr>
  </cs:downBar>
  <cs:dropLine>
    <cs:lnRef idx="0"/>
    <cs:fillRef idx="0"/>
    <cs:effectRef idx="0"/>
    <cs:fontRef idx="minor">
      <a:schemeClr val="dk1"/>
    </cs:fontRef>
    <cs:spPr>
      <a:ln w="9525" cap="rnd">
        <a:solidFill>
          <a:schemeClr val="dk1">
            <a:lumMod val="35000"/>
            <a:lumOff val="65000"/>
          </a:schemeClr>
        </a:solidFill>
        <a:round/>
      </a:ln>
    </cs:spPr>
  </cs:dropLine>
  <cs:errorBar>
    <cs:lnRef idx="0"/>
    <cs:fillRef idx="0"/>
    <cs:effectRef idx="0"/>
    <cs:fontRef idx="minor">
      <a:schemeClr val="dk1"/>
    </cs:fontRef>
    <cs:spPr>
      <a:ln w="9525" cap="rnd">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rnd">
        <a:solidFill>
          <a:schemeClr val="dk1">
            <a:lumMod val="35000"/>
            <a:lumOff val="65000"/>
          </a:schemeClr>
        </a:solidFill>
        <a:round/>
      </a:ln>
    </cs:spPr>
  </cs:hiLoLine>
  <cs:leaderLine>
    <cs:lnRef idx="0"/>
    <cs:fillRef idx="0"/>
    <cs:effectRef idx="0"/>
    <cs:fontRef idx="minor">
      <a:schemeClr val="dk1"/>
    </cs:fontRef>
    <cs:spPr>
      <a:ln w="9525" cap="rnd">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spc="0" baseline="0"/>
  </cs:legend>
  <cs:plotArea>
    <cs:lnRef idx="0"/>
    <cs:fillRef idx="0"/>
    <cs:effectRef idx="0"/>
    <cs:fontRef idx="minor">
      <a:schemeClr val="dk1"/>
    </cs:fontRef>
    <cs:spPr>
      <a:gradFill>
        <a:gsLst>
          <a:gs pos="100000">
            <a:schemeClr val="lt1">
              <a:lumMod val="95000"/>
            </a:schemeClr>
          </a:gs>
          <a:gs pos="0">
            <a:schemeClr val="lt1">
              <a:alpha val="0"/>
            </a:schemeClr>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rnd">
        <a:solidFill>
          <a:schemeClr val="dk1">
            <a:lumMod val="20000"/>
            <a:lumOff val="80000"/>
          </a:schemeClr>
        </a:solidFill>
        <a:round/>
      </a:ln>
    </cs:spPr>
    <cs:defRPr sz="900" kern="1200"/>
  </cs:seriesAxis>
  <cs:seriesLine>
    <cs:lnRef idx="0"/>
    <cs:fillRef idx="0"/>
    <cs:effectRef idx="0"/>
    <cs:fontRef idx="minor">
      <a:schemeClr val="dk1"/>
    </cs:fontRef>
    <cs:spPr>
      <a:ln w="9525" cap="rnd">
        <a:solidFill>
          <a:schemeClr val="dk1">
            <a:lumMod val="35000"/>
            <a:lumOff val="65000"/>
          </a:schemeClr>
        </a:solidFill>
        <a:round/>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cs:spPr>
  </cs:upBar>
  <cs:valueAxis>
    <cs:lnRef idx="0"/>
    <cs:fillRef idx="0"/>
    <cs:effectRef idx="0"/>
    <cs:fontRef idx="minor">
      <a:schemeClr val="dk1">
        <a:lumMod val="65000"/>
        <a:lumOff val="35000"/>
      </a:schemeClr>
    </cs:fontRef>
    <cs:spPr>
      <a:ln w="9525" cap="rnd">
        <a:solidFill>
          <a:schemeClr val="dk1">
            <a:lumMod val="25000"/>
            <a:lumOff val="75000"/>
          </a:schemeClr>
        </a:solidFill>
        <a:round/>
      </a:ln>
    </cs:spPr>
    <cs:defRPr sz="900" kern="1200" spc="0" baseline="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C42AB-5D31-A64A-91D9-831242B8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410</Characters>
  <Application>Microsoft Office Word</Application>
  <DocSecurity>0</DocSecurity>
  <Lines>3</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Aebersold</dc:creator>
  <cp:keywords/>
  <dc:description/>
  <cp:lastModifiedBy>Neuenschwander, Regula (PSY)</cp:lastModifiedBy>
  <cp:revision>3</cp:revision>
  <dcterms:created xsi:type="dcterms:W3CDTF">2024-12-02T18:24:00Z</dcterms:created>
  <dcterms:modified xsi:type="dcterms:W3CDTF">2024-12-02T18:24:00Z</dcterms:modified>
</cp:coreProperties>
</file>