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5804" w14:textId="77777777" w:rsidR="00FF0640" w:rsidRPr="003E7BC2" w:rsidRDefault="00FF0640" w:rsidP="00FF0640">
      <w:pPr>
        <w:pStyle w:val="Articletitle"/>
        <w:spacing w:after="0" w:line="480" w:lineRule="auto"/>
        <w:rPr>
          <w:lang w:val="en-US"/>
        </w:rPr>
      </w:pPr>
      <w:r w:rsidRPr="003E7BC2">
        <w:rPr>
          <w:lang w:val="en-US"/>
        </w:rPr>
        <w:t>Supplementary Information</w:t>
      </w:r>
    </w:p>
    <w:p w14:paraId="554F91AB" w14:textId="77777777" w:rsidR="00FF0640" w:rsidRPr="003E7BC2" w:rsidRDefault="00FF0640" w:rsidP="00FF0640">
      <w:pPr>
        <w:pStyle w:val="Articletitle"/>
        <w:spacing w:after="0" w:line="480" w:lineRule="auto"/>
        <w:rPr>
          <w:sz w:val="24"/>
          <w:lang w:val="en-US"/>
        </w:rPr>
      </w:pPr>
    </w:p>
    <w:p w14:paraId="32DBFBC3" w14:textId="7106188C" w:rsidR="000C12F1" w:rsidRPr="003E7BC2" w:rsidRDefault="00FF0640" w:rsidP="00FF0640">
      <w:pPr>
        <w:rPr>
          <w:lang w:val="en-US"/>
        </w:rPr>
      </w:pPr>
      <w:r w:rsidRPr="003E7BC2">
        <w:rPr>
          <w:lang w:val="en-US"/>
        </w:rPr>
        <w:t xml:space="preserve">Title of the Article: </w:t>
      </w:r>
      <w:r w:rsidR="000C12F1" w:rsidRPr="003E7BC2">
        <w:rPr>
          <w:lang w:val="en-US"/>
        </w:rPr>
        <w:t xml:space="preserve">Success </w:t>
      </w:r>
      <w:proofErr w:type="gramStart"/>
      <w:r w:rsidR="000C12F1" w:rsidRPr="003E7BC2">
        <w:rPr>
          <w:lang w:val="en-US"/>
        </w:rPr>
        <w:t>on</w:t>
      </w:r>
      <w:proofErr w:type="gramEnd"/>
      <w:r w:rsidR="000C12F1" w:rsidRPr="003E7BC2">
        <w:rPr>
          <w:lang w:val="en-US"/>
        </w:rPr>
        <w:t xml:space="preserve"> Deaf Adults: A 30-year scoping review</w:t>
      </w:r>
    </w:p>
    <w:p w14:paraId="3C5641AE" w14:textId="2D772958" w:rsidR="000C12F1" w:rsidRPr="003E7BC2" w:rsidRDefault="00FF0640" w:rsidP="00FF0640">
      <w:pPr>
        <w:rPr>
          <w:lang w:val="en-US"/>
        </w:rPr>
      </w:pPr>
      <w:r w:rsidRPr="003E7BC2">
        <w:rPr>
          <w:lang w:val="en-US"/>
        </w:rPr>
        <w:t xml:space="preserve">Journal Name: </w:t>
      </w:r>
      <w:r w:rsidR="000C12F1" w:rsidRPr="003E7BC2">
        <w:rPr>
          <w:lang w:val="en-US"/>
        </w:rPr>
        <w:t>Current Psychology</w:t>
      </w:r>
    </w:p>
    <w:p w14:paraId="4B810486" w14:textId="6B3D589B" w:rsidR="000C12F1" w:rsidRPr="003E7BC2" w:rsidRDefault="00FF0640" w:rsidP="00FF0640">
      <w:pPr>
        <w:rPr>
          <w:lang w:val="en-US"/>
        </w:rPr>
      </w:pPr>
      <w:proofErr w:type="spellStart"/>
      <w:r w:rsidRPr="003E7BC2">
        <w:rPr>
          <w:lang w:val="en-US"/>
        </w:rPr>
        <w:t>Auhors</w:t>
      </w:r>
      <w:proofErr w:type="spellEnd"/>
      <w:r w:rsidRPr="003E7BC2">
        <w:rPr>
          <w:lang w:val="en-US"/>
        </w:rPr>
        <w:t>:</w:t>
      </w:r>
    </w:p>
    <w:p w14:paraId="372BF0F4" w14:textId="0729A36B" w:rsidR="00B41108" w:rsidRPr="003E7BC2" w:rsidRDefault="00091C47" w:rsidP="00FF0640">
      <w:pPr>
        <w:ind w:left="709"/>
        <w:rPr>
          <w:lang w:val="en-US"/>
        </w:rPr>
      </w:pPr>
      <w:r>
        <w:rPr>
          <w:lang w:val="en-US"/>
        </w:rPr>
        <w:t>Anonymized</w:t>
      </w:r>
    </w:p>
    <w:p w14:paraId="2369B486" w14:textId="77777777" w:rsidR="00FF0640" w:rsidRPr="003E7BC2" w:rsidRDefault="00FF0640" w:rsidP="00FF0640">
      <w:pPr>
        <w:rPr>
          <w:lang w:val="en-US"/>
        </w:rPr>
      </w:pPr>
    </w:p>
    <w:p w14:paraId="780686C5" w14:textId="6CB268AC" w:rsidR="00FF0640" w:rsidRPr="003E7BC2" w:rsidRDefault="00FF0640" w:rsidP="00FF0640">
      <w:pPr>
        <w:rPr>
          <w:lang w:val="en-US"/>
        </w:rPr>
      </w:pPr>
      <w:r w:rsidRPr="003E7BC2">
        <w:rPr>
          <w:lang w:val="en-US"/>
        </w:rPr>
        <w:t>Description:</w:t>
      </w:r>
    </w:p>
    <w:p w14:paraId="5B8920CA" w14:textId="587C6861" w:rsidR="00FF0640" w:rsidRPr="003E7BC2" w:rsidRDefault="00FF0640" w:rsidP="00FF0640">
      <w:pPr>
        <w:rPr>
          <w:lang w:val="en-US"/>
        </w:rPr>
      </w:pPr>
      <w:r w:rsidRPr="003E7BC2">
        <w:rPr>
          <w:lang w:val="en-US"/>
        </w:rPr>
        <w:t xml:space="preserve">This document contains supplementary information for the manuscript titled </w:t>
      </w:r>
      <w:r w:rsidRPr="003E7BC2">
        <w:rPr>
          <w:i/>
          <w:iCs/>
          <w:lang w:val="en-US"/>
        </w:rPr>
        <w:t>“</w:t>
      </w:r>
      <w:r w:rsidRPr="003E7BC2">
        <w:rPr>
          <w:i/>
          <w:iCs/>
          <w:lang w:val="en-US"/>
        </w:rPr>
        <w:t>Success on Deaf Adults: A 30-year scoping review</w:t>
      </w:r>
      <w:r w:rsidRPr="003E7BC2">
        <w:rPr>
          <w:i/>
          <w:iCs/>
          <w:lang w:val="en-US"/>
        </w:rPr>
        <w:t>”</w:t>
      </w:r>
      <w:r w:rsidRPr="003E7BC2">
        <w:rPr>
          <w:lang w:val="en-US"/>
        </w:rPr>
        <w:t xml:space="preserve">, submitted to </w:t>
      </w:r>
      <w:r w:rsidRPr="003E7BC2">
        <w:rPr>
          <w:i/>
          <w:iCs/>
          <w:lang w:val="en-US"/>
        </w:rPr>
        <w:t>Current Psychology</w:t>
      </w:r>
      <w:r w:rsidRPr="003E7BC2">
        <w:rPr>
          <w:lang w:val="en-US"/>
        </w:rPr>
        <w:t xml:space="preserve">. </w:t>
      </w:r>
      <w:r w:rsidR="00462BB7" w:rsidRPr="00462BB7">
        <w:rPr>
          <w:lang w:val="en-US"/>
        </w:rPr>
        <w:t>The material includes a summary of the 67 studies included in the review and the dependent variables reported in quantitative studies, as well as the full list of references for the studies included in the scoping review</w:t>
      </w:r>
      <w:r w:rsidR="00462BB7">
        <w:rPr>
          <w:lang w:val="en-US"/>
        </w:rPr>
        <w:t>.</w:t>
      </w:r>
    </w:p>
    <w:p w14:paraId="14F60CBC" w14:textId="77777777" w:rsidR="003E7BC2" w:rsidRPr="003E7BC2" w:rsidRDefault="003E7BC2">
      <w:pPr>
        <w:spacing w:after="160" w:line="259" w:lineRule="auto"/>
        <w:rPr>
          <w:lang w:val="en-US"/>
        </w:rPr>
        <w:sectPr w:rsidR="003E7BC2" w:rsidRPr="003E7BC2" w:rsidSect="003E7BC2">
          <w:pgSz w:w="11901" w:h="16840" w:code="9"/>
          <w:pgMar w:top="1418" w:right="1701" w:bottom="1418" w:left="1701" w:header="709" w:footer="709" w:gutter="0"/>
          <w:cols w:space="708"/>
          <w:docGrid w:linePitch="360"/>
        </w:sectPr>
      </w:pPr>
    </w:p>
    <w:p w14:paraId="5B7A3177" w14:textId="7317F320" w:rsidR="00A96EEA" w:rsidRPr="00A96EEA" w:rsidRDefault="007D4842" w:rsidP="00A96EEA">
      <w:pPr>
        <w:pStyle w:val="Tabletitle"/>
        <w:spacing w:before="0" w:line="480" w:lineRule="auto"/>
        <w:rPr>
          <w:b/>
          <w:bCs/>
          <w:lang w:val="en-US"/>
        </w:rPr>
      </w:pPr>
      <w:r w:rsidRPr="00A96EEA">
        <w:rPr>
          <w:b/>
          <w:bCs/>
          <w:lang w:val="en-US"/>
        </w:rPr>
        <w:lastRenderedPageBreak/>
        <w:t>Summary of the 67 Studies Included in the Review and Dependent Variables reported in Quantitative Studies.</w:t>
      </w:r>
    </w:p>
    <w:tbl>
      <w:tblPr>
        <w:tblStyle w:val="Tablanormal2"/>
        <w:tblW w:w="15764" w:type="dxa"/>
        <w:tblInd w:w="-709" w:type="dxa"/>
        <w:tblLook w:val="04A0" w:firstRow="1" w:lastRow="0" w:firstColumn="1" w:lastColumn="0" w:noHBand="0" w:noVBand="1"/>
      </w:tblPr>
      <w:tblGrid>
        <w:gridCol w:w="1843"/>
        <w:gridCol w:w="1172"/>
        <w:gridCol w:w="3685"/>
        <w:gridCol w:w="1027"/>
        <w:gridCol w:w="1205"/>
        <w:gridCol w:w="1725"/>
        <w:gridCol w:w="1764"/>
        <w:gridCol w:w="2212"/>
        <w:gridCol w:w="1131"/>
      </w:tblGrid>
      <w:tr w:rsidR="003E7BC2" w:rsidRPr="003E7BC2" w14:paraId="25AED15E" w14:textId="77777777" w:rsidTr="00093F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1BF883E1"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Author(s)</w:t>
            </w:r>
          </w:p>
        </w:tc>
        <w:tc>
          <w:tcPr>
            <w:tcW w:w="1172" w:type="dxa"/>
            <w:shd w:val="clear" w:color="auto" w:fill="auto"/>
            <w:vAlign w:val="center"/>
            <w:hideMark/>
          </w:tcPr>
          <w:p w14:paraId="27E80D3B"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Country</w:t>
            </w:r>
          </w:p>
        </w:tc>
        <w:tc>
          <w:tcPr>
            <w:tcW w:w="3685" w:type="dxa"/>
            <w:shd w:val="clear" w:color="auto" w:fill="auto"/>
            <w:vAlign w:val="center"/>
          </w:tcPr>
          <w:p w14:paraId="0C5056A5"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Main aim(s)</w:t>
            </w:r>
          </w:p>
        </w:tc>
        <w:tc>
          <w:tcPr>
            <w:tcW w:w="1027" w:type="dxa"/>
            <w:shd w:val="clear" w:color="auto" w:fill="auto"/>
            <w:vAlign w:val="center"/>
            <w:hideMark/>
          </w:tcPr>
          <w:p w14:paraId="0118B2FD"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Area of success</w:t>
            </w:r>
          </w:p>
        </w:tc>
        <w:tc>
          <w:tcPr>
            <w:tcW w:w="1205" w:type="dxa"/>
            <w:shd w:val="clear" w:color="auto" w:fill="auto"/>
            <w:vAlign w:val="center"/>
            <w:hideMark/>
          </w:tcPr>
          <w:p w14:paraId="2B974C7C"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Methods</w:t>
            </w:r>
          </w:p>
        </w:tc>
        <w:tc>
          <w:tcPr>
            <w:tcW w:w="1725" w:type="dxa"/>
            <w:shd w:val="clear" w:color="auto" w:fill="auto"/>
            <w:vAlign w:val="center"/>
            <w:hideMark/>
          </w:tcPr>
          <w:p w14:paraId="665DE9D7"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Sample size</w:t>
            </w:r>
          </w:p>
        </w:tc>
        <w:tc>
          <w:tcPr>
            <w:tcW w:w="1764" w:type="dxa"/>
            <w:shd w:val="clear" w:color="auto" w:fill="auto"/>
            <w:vAlign w:val="center"/>
          </w:tcPr>
          <w:p w14:paraId="3BE0DCAC"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Dependent variable(s)</w:t>
            </w:r>
          </w:p>
        </w:tc>
        <w:tc>
          <w:tcPr>
            <w:tcW w:w="2212" w:type="dxa"/>
            <w:shd w:val="clear" w:color="auto" w:fill="auto"/>
            <w:vAlign w:val="center"/>
          </w:tcPr>
          <w:p w14:paraId="3C7E8282"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Measuring tool(s) *</w:t>
            </w:r>
          </w:p>
        </w:tc>
        <w:tc>
          <w:tcPr>
            <w:tcW w:w="1131" w:type="dxa"/>
            <w:shd w:val="clear" w:color="auto" w:fill="auto"/>
            <w:vAlign w:val="center"/>
          </w:tcPr>
          <w:p w14:paraId="5C618EC4" w14:textId="77777777" w:rsidR="007D4842" w:rsidRPr="003E7BC2" w:rsidRDefault="007D4842" w:rsidP="00093FF3">
            <w:pPr>
              <w:spacing w:line="240" w:lineRule="auto"/>
              <w:cnfStyle w:val="100000000000" w:firstRow="1" w:lastRow="0" w:firstColumn="0" w:lastColumn="0" w:oddVBand="0" w:evenVBand="0" w:oddHBand="0" w:evenHBand="0" w:firstRowFirstColumn="0" w:firstRowLastColumn="0" w:lastRowFirstColumn="0" w:lastRowLastColumn="0"/>
              <w:rPr>
                <w:b w:val="0"/>
                <w:bCs w:val="0"/>
                <w:i/>
                <w:iCs/>
                <w:sz w:val="20"/>
                <w:szCs w:val="20"/>
                <w:lang w:val="en-US"/>
              </w:rPr>
            </w:pPr>
            <w:r w:rsidRPr="003E7BC2">
              <w:rPr>
                <w:b w:val="0"/>
                <w:bCs w:val="0"/>
                <w:i/>
                <w:iCs/>
                <w:sz w:val="20"/>
                <w:szCs w:val="20"/>
                <w:lang w:val="en-US"/>
              </w:rPr>
              <w:t>Type of measure *</w:t>
            </w:r>
          </w:p>
        </w:tc>
      </w:tr>
      <w:tr w:rsidR="003E7BC2" w:rsidRPr="003E7BC2" w14:paraId="513E45E8"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EA2C6A9"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Albertini, Kelly, &amp; Matchett (2012)</w:t>
            </w:r>
          </w:p>
        </w:tc>
        <w:tc>
          <w:tcPr>
            <w:tcW w:w="1172" w:type="dxa"/>
            <w:vAlign w:val="center"/>
            <w:hideMark/>
          </w:tcPr>
          <w:p w14:paraId="05AC0E2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4A6951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understand the needs and expectations of university students and to identify personal factors that predict academic performance.</w:t>
            </w:r>
          </w:p>
        </w:tc>
        <w:tc>
          <w:tcPr>
            <w:tcW w:w="1027" w:type="dxa"/>
            <w:vAlign w:val="center"/>
            <w:hideMark/>
          </w:tcPr>
          <w:p w14:paraId="75B2D81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6919D04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E58752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437 subjects.</w:t>
            </w:r>
          </w:p>
        </w:tc>
        <w:tc>
          <w:tcPr>
            <w:tcW w:w="1764" w:type="dxa"/>
            <w:vAlign w:val="center"/>
          </w:tcPr>
          <w:p w14:paraId="42945EC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GPA scores.</w:t>
            </w:r>
          </w:p>
        </w:tc>
        <w:tc>
          <w:tcPr>
            <w:tcW w:w="2212" w:type="dxa"/>
            <w:vAlign w:val="center"/>
          </w:tcPr>
          <w:p w14:paraId="51057FF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GPA.</w:t>
            </w:r>
            <w:r w:rsidRPr="003E7BC2">
              <w:rPr>
                <w:sz w:val="20"/>
                <w:szCs w:val="20"/>
                <w:lang w:val="en-US"/>
              </w:rPr>
              <w:br/>
              <w:t>Self-assessment of academic success.</w:t>
            </w:r>
          </w:p>
        </w:tc>
        <w:tc>
          <w:tcPr>
            <w:tcW w:w="1131" w:type="dxa"/>
            <w:vAlign w:val="center"/>
          </w:tcPr>
          <w:p w14:paraId="5B0B07F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0CAD13C6"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5D0CBCAE"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Alkharji</w:t>
            </w:r>
            <w:proofErr w:type="spellEnd"/>
            <w:r w:rsidRPr="003E7BC2">
              <w:rPr>
                <w:b w:val="0"/>
                <w:bCs w:val="0"/>
                <w:i/>
                <w:iCs/>
                <w:sz w:val="20"/>
                <w:szCs w:val="20"/>
                <w:lang w:val="en-US"/>
              </w:rPr>
              <w:t xml:space="preserve"> &amp; Cheong (2022)</w:t>
            </w:r>
          </w:p>
        </w:tc>
        <w:tc>
          <w:tcPr>
            <w:tcW w:w="1172" w:type="dxa"/>
            <w:vAlign w:val="center"/>
            <w:hideMark/>
          </w:tcPr>
          <w:p w14:paraId="4CAF528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Saudi Arabia</w:t>
            </w:r>
          </w:p>
        </w:tc>
        <w:tc>
          <w:tcPr>
            <w:tcW w:w="3685" w:type="dxa"/>
            <w:vAlign w:val="center"/>
          </w:tcPr>
          <w:p w14:paraId="7CFDCD6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relationship between educational factors and the academic achievement of DHH students along with the mediating effect of teaching expertise.</w:t>
            </w:r>
          </w:p>
        </w:tc>
        <w:tc>
          <w:tcPr>
            <w:tcW w:w="1027" w:type="dxa"/>
            <w:vAlign w:val="center"/>
            <w:hideMark/>
          </w:tcPr>
          <w:p w14:paraId="2FBE93E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3D3D05D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91706A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298 DHH students.</w:t>
            </w:r>
          </w:p>
        </w:tc>
        <w:tc>
          <w:tcPr>
            <w:tcW w:w="1764" w:type="dxa"/>
            <w:vAlign w:val="center"/>
          </w:tcPr>
          <w:p w14:paraId="3366981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CGPA scores.</w:t>
            </w:r>
          </w:p>
        </w:tc>
        <w:tc>
          <w:tcPr>
            <w:tcW w:w="2212" w:type="dxa"/>
            <w:vAlign w:val="center"/>
          </w:tcPr>
          <w:p w14:paraId="01E6AF3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CGPA.</w:t>
            </w:r>
          </w:p>
        </w:tc>
        <w:tc>
          <w:tcPr>
            <w:tcW w:w="1131" w:type="dxa"/>
            <w:vAlign w:val="center"/>
          </w:tcPr>
          <w:p w14:paraId="09DD5FB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2B30F799"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6DC50CF"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Backenroth-Ohsako</w:t>
            </w:r>
            <w:proofErr w:type="spellEnd"/>
            <w:r w:rsidRPr="003E7BC2">
              <w:rPr>
                <w:b w:val="0"/>
                <w:bCs w:val="0"/>
                <w:i/>
                <w:iCs/>
                <w:sz w:val="20"/>
                <w:szCs w:val="20"/>
                <w:lang w:val="en-US"/>
              </w:rPr>
              <w:t xml:space="preserve"> &amp; Wennberg (2003)</w:t>
            </w:r>
          </w:p>
        </w:tc>
        <w:tc>
          <w:tcPr>
            <w:tcW w:w="1172" w:type="dxa"/>
            <w:vAlign w:val="center"/>
            <w:hideMark/>
          </w:tcPr>
          <w:p w14:paraId="2D15077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Sweden</w:t>
            </w:r>
          </w:p>
        </w:tc>
        <w:tc>
          <w:tcPr>
            <w:tcW w:w="3685" w:type="dxa"/>
            <w:vAlign w:val="center"/>
          </w:tcPr>
          <w:p w14:paraId="1ACD4E1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compare differences between hard-of-hearing (</w:t>
            </w:r>
            <w:proofErr w:type="spellStart"/>
            <w:r w:rsidRPr="003E7BC2">
              <w:rPr>
                <w:sz w:val="20"/>
                <w:szCs w:val="20"/>
                <w:lang w:val="en-US"/>
              </w:rPr>
              <w:t>HoH</w:t>
            </w:r>
            <w:proofErr w:type="spellEnd"/>
            <w:r w:rsidRPr="003E7BC2">
              <w:rPr>
                <w:sz w:val="20"/>
                <w:szCs w:val="20"/>
                <w:lang w:val="en-US"/>
              </w:rPr>
              <w:t>) people and a control sample of hearing subjects about their work-life conditions and personality traits.</w:t>
            </w:r>
          </w:p>
        </w:tc>
        <w:tc>
          <w:tcPr>
            <w:tcW w:w="1027" w:type="dxa"/>
            <w:vAlign w:val="center"/>
            <w:hideMark/>
          </w:tcPr>
          <w:p w14:paraId="513A39C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41C7443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49098F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41 </w:t>
            </w:r>
            <w:proofErr w:type="spellStart"/>
            <w:r w:rsidRPr="003E7BC2">
              <w:rPr>
                <w:sz w:val="20"/>
                <w:szCs w:val="20"/>
                <w:lang w:val="en-US"/>
              </w:rPr>
              <w:t>HoH</w:t>
            </w:r>
            <w:proofErr w:type="spellEnd"/>
            <w:r w:rsidRPr="003E7BC2">
              <w:rPr>
                <w:sz w:val="20"/>
                <w:szCs w:val="20"/>
                <w:lang w:val="en-US"/>
              </w:rPr>
              <w:t xml:space="preserve"> subjects.</w:t>
            </w:r>
            <w:r w:rsidRPr="003E7BC2">
              <w:rPr>
                <w:sz w:val="20"/>
                <w:szCs w:val="20"/>
                <w:lang w:val="en-US"/>
              </w:rPr>
              <w:br/>
              <w:t>182 hearing subjects.</w:t>
            </w:r>
          </w:p>
        </w:tc>
        <w:tc>
          <w:tcPr>
            <w:tcW w:w="1764" w:type="dxa"/>
            <w:vAlign w:val="center"/>
          </w:tcPr>
          <w:p w14:paraId="0A4840C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10E9C30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72EA8D0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CC3C5C9"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09768F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Basha, </w:t>
            </w:r>
            <w:proofErr w:type="spellStart"/>
            <w:r w:rsidRPr="003E7BC2">
              <w:rPr>
                <w:b w:val="0"/>
                <w:bCs w:val="0"/>
                <w:i/>
                <w:iCs/>
                <w:sz w:val="20"/>
                <w:szCs w:val="20"/>
                <w:lang w:val="en-US"/>
              </w:rPr>
              <w:t>Engida</w:t>
            </w:r>
            <w:proofErr w:type="spellEnd"/>
            <w:r w:rsidRPr="003E7BC2">
              <w:rPr>
                <w:b w:val="0"/>
                <w:bCs w:val="0"/>
                <w:i/>
                <w:iCs/>
                <w:sz w:val="20"/>
                <w:szCs w:val="20"/>
                <w:lang w:val="en-US"/>
              </w:rPr>
              <w:t>, &amp; Tesfaye (2020)</w:t>
            </w:r>
          </w:p>
        </w:tc>
        <w:tc>
          <w:tcPr>
            <w:tcW w:w="1172" w:type="dxa"/>
            <w:vAlign w:val="center"/>
            <w:hideMark/>
          </w:tcPr>
          <w:p w14:paraId="1BA1E6E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Ethiopia</w:t>
            </w:r>
          </w:p>
        </w:tc>
        <w:tc>
          <w:tcPr>
            <w:tcW w:w="3685" w:type="dxa"/>
            <w:vAlign w:val="center"/>
          </w:tcPr>
          <w:p w14:paraId="2D230CD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To explore the educational practices and challenges faced by </w:t>
            </w:r>
            <w:proofErr w:type="spellStart"/>
            <w:r w:rsidRPr="003E7BC2">
              <w:rPr>
                <w:sz w:val="20"/>
                <w:szCs w:val="20"/>
                <w:lang w:val="en-US"/>
              </w:rPr>
              <w:t>HoH</w:t>
            </w:r>
            <w:proofErr w:type="spellEnd"/>
            <w:r w:rsidRPr="003E7BC2">
              <w:rPr>
                <w:sz w:val="20"/>
                <w:szCs w:val="20"/>
                <w:lang w:val="en-US"/>
              </w:rPr>
              <w:t xml:space="preserve"> students.</w:t>
            </w:r>
          </w:p>
        </w:tc>
        <w:tc>
          <w:tcPr>
            <w:tcW w:w="1027" w:type="dxa"/>
            <w:vAlign w:val="center"/>
            <w:hideMark/>
          </w:tcPr>
          <w:p w14:paraId="34B0A2C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7761336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66FE26C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6 </w:t>
            </w:r>
            <w:proofErr w:type="spellStart"/>
            <w:r w:rsidRPr="003E7BC2">
              <w:rPr>
                <w:sz w:val="20"/>
                <w:szCs w:val="20"/>
                <w:lang w:val="en-US"/>
              </w:rPr>
              <w:t>HoH</w:t>
            </w:r>
            <w:proofErr w:type="spellEnd"/>
            <w:r w:rsidRPr="003E7BC2">
              <w:rPr>
                <w:sz w:val="20"/>
                <w:szCs w:val="20"/>
                <w:lang w:val="en-US"/>
              </w:rPr>
              <w:t xml:space="preserve"> students.</w:t>
            </w:r>
          </w:p>
          <w:p w14:paraId="3F23506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22 other participants.</w:t>
            </w:r>
          </w:p>
        </w:tc>
        <w:tc>
          <w:tcPr>
            <w:tcW w:w="1764" w:type="dxa"/>
            <w:vAlign w:val="center"/>
          </w:tcPr>
          <w:p w14:paraId="48D14A2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CGPA scores.</w:t>
            </w:r>
          </w:p>
        </w:tc>
        <w:tc>
          <w:tcPr>
            <w:tcW w:w="2212" w:type="dxa"/>
            <w:vAlign w:val="center"/>
          </w:tcPr>
          <w:p w14:paraId="20168AD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CGPA.</w:t>
            </w:r>
          </w:p>
        </w:tc>
        <w:tc>
          <w:tcPr>
            <w:tcW w:w="1131" w:type="dxa"/>
            <w:vAlign w:val="center"/>
          </w:tcPr>
          <w:p w14:paraId="1BDA322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65BEE8A5"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D8776E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Bell &amp; </w:t>
            </w:r>
            <w:proofErr w:type="spellStart"/>
            <w:r w:rsidRPr="003E7BC2">
              <w:rPr>
                <w:b w:val="0"/>
                <w:bCs w:val="0"/>
                <w:i/>
                <w:iCs/>
                <w:sz w:val="20"/>
                <w:szCs w:val="20"/>
                <w:lang w:val="en-US"/>
              </w:rPr>
              <w:t>Foiret</w:t>
            </w:r>
            <w:proofErr w:type="spellEnd"/>
            <w:r w:rsidRPr="003E7BC2">
              <w:rPr>
                <w:b w:val="0"/>
                <w:bCs w:val="0"/>
                <w:i/>
                <w:iCs/>
                <w:sz w:val="20"/>
                <w:szCs w:val="20"/>
                <w:lang w:val="en-US"/>
              </w:rPr>
              <w:t xml:space="preserve"> (2020)</w:t>
            </w:r>
          </w:p>
        </w:tc>
        <w:tc>
          <w:tcPr>
            <w:tcW w:w="1172" w:type="dxa"/>
            <w:vAlign w:val="center"/>
            <w:hideMark/>
          </w:tcPr>
          <w:p w14:paraId="70E94F4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3685" w:type="dxa"/>
            <w:vAlign w:val="center"/>
          </w:tcPr>
          <w:p w14:paraId="4194904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To review the knowledge base on assistive technology in the education of </w:t>
            </w:r>
            <w:proofErr w:type="spellStart"/>
            <w:r w:rsidRPr="003E7BC2">
              <w:rPr>
                <w:sz w:val="20"/>
                <w:szCs w:val="20"/>
                <w:lang w:val="en-US"/>
              </w:rPr>
              <w:t>HoH</w:t>
            </w:r>
            <w:proofErr w:type="spellEnd"/>
            <w:r w:rsidRPr="003E7BC2">
              <w:rPr>
                <w:sz w:val="20"/>
                <w:szCs w:val="20"/>
                <w:lang w:val="en-US"/>
              </w:rPr>
              <w:t xml:space="preserve"> individuals and to evaluate its use and impact.</w:t>
            </w:r>
          </w:p>
        </w:tc>
        <w:tc>
          <w:tcPr>
            <w:tcW w:w="1027" w:type="dxa"/>
            <w:vAlign w:val="center"/>
            <w:hideMark/>
          </w:tcPr>
          <w:p w14:paraId="7B6F899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00FE86F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 (rapid review)</w:t>
            </w:r>
          </w:p>
        </w:tc>
        <w:tc>
          <w:tcPr>
            <w:tcW w:w="1725" w:type="dxa"/>
            <w:vAlign w:val="center"/>
            <w:hideMark/>
          </w:tcPr>
          <w:p w14:paraId="3F8C067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1764" w:type="dxa"/>
            <w:vAlign w:val="center"/>
          </w:tcPr>
          <w:p w14:paraId="79E2176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71A85A2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629769B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3E6CAC3"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7EFDC01"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Braswell-Burris (2010)</w:t>
            </w:r>
          </w:p>
        </w:tc>
        <w:tc>
          <w:tcPr>
            <w:tcW w:w="1172" w:type="dxa"/>
            <w:vAlign w:val="center"/>
            <w:hideMark/>
          </w:tcPr>
          <w:p w14:paraId="77D7F8F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376029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evaluate the factors and/or mechanisms that led to the personal or academic success of DHH individuals in postsecondary educational settings.</w:t>
            </w:r>
          </w:p>
        </w:tc>
        <w:tc>
          <w:tcPr>
            <w:tcW w:w="1027" w:type="dxa"/>
            <w:vAlign w:val="center"/>
            <w:hideMark/>
          </w:tcPr>
          <w:p w14:paraId="514DB71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r w:rsidRPr="003E7BC2">
              <w:rPr>
                <w:sz w:val="20"/>
                <w:szCs w:val="20"/>
                <w:lang w:val="en-US"/>
              </w:rPr>
              <w:br/>
              <w:t>Life</w:t>
            </w:r>
          </w:p>
        </w:tc>
        <w:tc>
          <w:tcPr>
            <w:tcW w:w="1205" w:type="dxa"/>
            <w:vAlign w:val="center"/>
            <w:hideMark/>
          </w:tcPr>
          <w:p w14:paraId="2D76BB1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3EF415E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7 DHH individuals.</w:t>
            </w:r>
          </w:p>
        </w:tc>
        <w:tc>
          <w:tcPr>
            <w:tcW w:w="1764" w:type="dxa"/>
            <w:vAlign w:val="center"/>
          </w:tcPr>
          <w:p w14:paraId="34F83F3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329EF39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6F36E9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A2FF2A8"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7FD52E4"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Brooks (2011)</w:t>
            </w:r>
          </w:p>
        </w:tc>
        <w:tc>
          <w:tcPr>
            <w:tcW w:w="1172" w:type="dxa"/>
            <w:vAlign w:val="center"/>
            <w:hideMark/>
          </w:tcPr>
          <w:p w14:paraId="6C61A33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78BF12C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understand the experiences of deaf college students in hearing institutions of higher education and to identify modifications, adjustments, and/or implementations that aid in their success.</w:t>
            </w:r>
          </w:p>
        </w:tc>
        <w:tc>
          <w:tcPr>
            <w:tcW w:w="1027" w:type="dxa"/>
            <w:vAlign w:val="center"/>
            <w:hideMark/>
          </w:tcPr>
          <w:p w14:paraId="554127B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3F9CE72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015C96F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4 deaf students.</w:t>
            </w:r>
          </w:p>
        </w:tc>
        <w:tc>
          <w:tcPr>
            <w:tcW w:w="1764" w:type="dxa"/>
            <w:vAlign w:val="center"/>
          </w:tcPr>
          <w:p w14:paraId="581751D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11ACCC4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D2687A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0A0F0C4"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5C7CE5B4"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Bryan (2018)</w:t>
            </w:r>
          </w:p>
        </w:tc>
        <w:tc>
          <w:tcPr>
            <w:tcW w:w="1172" w:type="dxa"/>
            <w:vAlign w:val="center"/>
            <w:hideMark/>
          </w:tcPr>
          <w:p w14:paraId="3E851FF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427AD4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explore the experiences of community college students who are DHH.</w:t>
            </w:r>
          </w:p>
        </w:tc>
        <w:tc>
          <w:tcPr>
            <w:tcW w:w="1027" w:type="dxa"/>
            <w:vAlign w:val="center"/>
            <w:hideMark/>
          </w:tcPr>
          <w:p w14:paraId="512E79B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7F0153C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70F7C66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7 DHH students.</w:t>
            </w:r>
          </w:p>
        </w:tc>
        <w:tc>
          <w:tcPr>
            <w:tcW w:w="1764" w:type="dxa"/>
            <w:vAlign w:val="center"/>
          </w:tcPr>
          <w:p w14:paraId="6C82E71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74E7FB1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0298F2A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959DF7D"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94166B8"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Buckley (2019)</w:t>
            </w:r>
          </w:p>
        </w:tc>
        <w:tc>
          <w:tcPr>
            <w:tcW w:w="1172" w:type="dxa"/>
            <w:vAlign w:val="center"/>
            <w:hideMark/>
          </w:tcPr>
          <w:p w14:paraId="5D0E97A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3DDCB5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To examine the experiences of community college students who moved to NTID and conduct </w:t>
            </w:r>
            <w:proofErr w:type="gramStart"/>
            <w:r w:rsidRPr="003E7BC2">
              <w:rPr>
                <w:sz w:val="20"/>
                <w:szCs w:val="20"/>
                <w:lang w:val="en-US"/>
              </w:rPr>
              <w:t>a comparative</w:t>
            </w:r>
            <w:proofErr w:type="gramEnd"/>
            <w:r w:rsidRPr="003E7BC2">
              <w:rPr>
                <w:sz w:val="20"/>
                <w:szCs w:val="20"/>
                <w:lang w:val="en-US"/>
              </w:rPr>
              <w:t xml:space="preserve"> analysis with native students.</w:t>
            </w:r>
          </w:p>
        </w:tc>
        <w:tc>
          <w:tcPr>
            <w:tcW w:w="1027" w:type="dxa"/>
            <w:vAlign w:val="center"/>
            <w:hideMark/>
          </w:tcPr>
          <w:p w14:paraId="3ECEE6B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22756B4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DA114C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176 transferred students.</w:t>
            </w:r>
          </w:p>
          <w:p w14:paraId="77A6E08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191 native students.</w:t>
            </w:r>
          </w:p>
        </w:tc>
        <w:tc>
          <w:tcPr>
            <w:tcW w:w="1764" w:type="dxa"/>
            <w:vAlign w:val="center"/>
          </w:tcPr>
          <w:p w14:paraId="580134E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4158287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6E1511D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7869ACBE"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7DF806C"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Butler (2012)</w:t>
            </w:r>
          </w:p>
        </w:tc>
        <w:tc>
          <w:tcPr>
            <w:tcW w:w="1172" w:type="dxa"/>
            <w:vAlign w:val="center"/>
            <w:hideMark/>
          </w:tcPr>
          <w:p w14:paraId="644E8A0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412CDE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better understand how grassroots deaf workers successfully navigate the world of work and how the collective aspect of deaf culture influences this process.</w:t>
            </w:r>
          </w:p>
        </w:tc>
        <w:tc>
          <w:tcPr>
            <w:tcW w:w="1027" w:type="dxa"/>
            <w:vAlign w:val="center"/>
            <w:hideMark/>
          </w:tcPr>
          <w:p w14:paraId="5071945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3055D39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67A3CC0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4 deaf subjects.</w:t>
            </w:r>
          </w:p>
        </w:tc>
        <w:tc>
          <w:tcPr>
            <w:tcW w:w="1764" w:type="dxa"/>
            <w:vAlign w:val="center"/>
          </w:tcPr>
          <w:p w14:paraId="11D6356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61CA9D1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34FA10F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A42244E"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914ED2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Cawthon et al. (2015)</w:t>
            </w:r>
          </w:p>
        </w:tc>
        <w:tc>
          <w:tcPr>
            <w:tcW w:w="1172" w:type="dxa"/>
            <w:vAlign w:val="center"/>
            <w:hideMark/>
          </w:tcPr>
          <w:p w14:paraId="02DA11C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2E91D1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investigate the relationship between social skills while in high school and later postsecondary outcomes.</w:t>
            </w:r>
          </w:p>
        </w:tc>
        <w:tc>
          <w:tcPr>
            <w:tcW w:w="1027" w:type="dxa"/>
            <w:vAlign w:val="center"/>
            <w:hideMark/>
          </w:tcPr>
          <w:p w14:paraId="440DE9B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Academic</w:t>
            </w:r>
          </w:p>
        </w:tc>
        <w:tc>
          <w:tcPr>
            <w:tcW w:w="1205" w:type="dxa"/>
            <w:vAlign w:val="center"/>
            <w:hideMark/>
          </w:tcPr>
          <w:p w14:paraId="64CC646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0347B7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610 deaf students.</w:t>
            </w:r>
          </w:p>
        </w:tc>
        <w:tc>
          <w:tcPr>
            <w:tcW w:w="1764" w:type="dxa"/>
            <w:vAlign w:val="center"/>
          </w:tcPr>
          <w:p w14:paraId="487158F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Education, independent living, self-</w:t>
            </w:r>
            <w:proofErr w:type="gramStart"/>
            <w:r w:rsidRPr="003E7BC2">
              <w:rPr>
                <w:sz w:val="20"/>
                <w:szCs w:val="20"/>
                <w:lang w:val="en-US"/>
              </w:rPr>
              <w:t>beliefs</w:t>
            </w:r>
            <w:proofErr w:type="gramEnd"/>
            <w:r w:rsidRPr="003E7BC2">
              <w:rPr>
                <w:sz w:val="20"/>
                <w:szCs w:val="20"/>
                <w:lang w:val="en-US"/>
              </w:rPr>
              <w:t>, and employment outcomes.</w:t>
            </w:r>
          </w:p>
        </w:tc>
        <w:tc>
          <w:tcPr>
            <w:tcW w:w="2212" w:type="dxa"/>
            <w:vAlign w:val="center"/>
          </w:tcPr>
          <w:p w14:paraId="3F6F330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National Longitudinal Transition Survey 2.</w:t>
            </w:r>
          </w:p>
          <w:p w14:paraId="2804927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Questionnaire.</w:t>
            </w:r>
          </w:p>
        </w:tc>
        <w:tc>
          <w:tcPr>
            <w:tcW w:w="1131" w:type="dxa"/>
            <w:vAlign w:val="center"/>
          </w:tcPr>
          <w:p w14:paraId="5272D42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w:t>
            </w:r>
          </w:p>
        </w:tc>
      </w:tr>
      <w:tr w:rsidR="003E7BC2" w:rsidRPr="003E7BC2" w14:paraId="364CC5EB"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6777E0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Convertino et al. (2009)</w:t>
            </w:r>
          </w:p>
        </w:tc>
        <w:tc>
          <w:tcPr>
            <w:tcW w:w="1172" w:type="dxa"/>
            <w:vAlign w:val="center"/>
            <w:hideMark/>
          </w:tcPr>
          <w:p w14:paraId="612ACD8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421A843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determine predictors of the performance of DHH students in mainstream college classrooms.</w:t>
            </w:r>
          </w:p>
        </w:tc>
        <w:tc>
          <w:tcPr>
            <w:tcW w:w="1027" w:type="dxa"/>
            <w:vAlign w:val="center"/>
            <w:hideMark/>
          </w:tcPr>
          <w:p w14:paraId="0E4DF35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5F7E0D0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1C6A20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568 DHH students.</w:t>
            </w:r>
          </w:p>
        </w:tc>
        <w:tc>
          <w:tcPr>
            <w:tcW w:w="1764" w:type="dxa"/>
            <w:vAlign w:val="center"/>
          </w:tcPr>
          <w:p w14:paraId="3C41DFB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ACT Composite scores</w:t>
            </w:r>
          </w:p>
        </w:tc>
        <w:tc>
          <w:tcPr>
            <w:tcW w:w="2212" w:type="dxa"/>
            <w:vAlign w:val="center"/>
          </w:tcPr>
          <w:p w14:paraId="463184F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ACT Composite scores.</w:t>
            </w:r>
          </w:p>
        </w:tc>
        <w:tc>
          <w:tcPr>
            <w:tcW w:w="1131" w:type="dxa"/>
            <w:vAlign w:val="center"/>
          </w:tcPr>
          <w:p w14:paraId="74C7F69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674919A7"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A519CF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Crowe (2019)</w:t>
            </w:r>
          </w:p>
        </w:tc>
        <w:tc>
          <w:tcPr>
            <w:tcW w:w="1172" w:type="dxa"/>
            <w:vAlign w:val="center"/>
            <w:hideMark/>
          </w:tcPr>
          <w:p w14:paraId="67FF8C5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 Puerto Rico, Canada, and others</w:t>
            </w:r>
          </w:p>
        </w:tc>
        <w:tc>
          <w:tcPr>
            <w:tcW w:w="3685" w:type="dxa"/>
            <w:vAlign w:val="center"/>
          </w:tcPr>
          <w:p w14:paraId="51B7D2E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happiness and the factors that affect it in deaf adults.</w:t>
            </w:r>
          </w:p>
        </w:tc>
        <w:tc>
          <w:tcPr>
            <w:tcW w:w="1027" w:type="dxa"/>
            <w:vAlign w:val="center"/>
            <w:hideMark/>
          </w:tcPr>
          <w:p w14:paraId="1423A87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370292F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78CC7D8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377 deaf adults.</w:t>
            </w:r>
          </w:p>
        </w:tc>
        <w:tc>
          <w:tcPr>
            <w:tcW w:w="1764" w:type="dxa"/>
            <w:vAlign w:val="center"/>
          </w:tcPr>
          <w:p w14:paraId="57F934B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0E67DD4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1A1626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7D1E3E49"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A6A0EC1"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Cruz &amp; </w:t>
            </w:r>
            <w:proofErr w:type="spellStart"/>
            <w:r w:rsidRPr="003E7BC2">
              <w:rPr>
                <w:b w:val="0"/>
                <w:bCs w:val="0"/>
                <w:i/>
                <w:iCs/>
                <w:sz w:val="20"/>
                <w:szCs w:val="20"/>
                <w:lang w:val="en-US"/>
              </w:rPr>
              <w:t>Calimpusan</w:t>
            </w:r>
            <w:proofErr w:type="spellEnd"/>
            <w:r w:rsidRPr="003E7BC2">
              <w:rPr>
                <w:b w:val="0"/>
                <w:bCs w:val="0"/>
                <w:i/>
                <w:iCs/>
                <w:sz w:val="20"/>
                <w:szCs w:val="20"/>
                <w:lang w:val="en-US"/>
              </w:rPr>
              <w:t xml:space="preserve"> (2018)</w:t>
            </w:r>
          </w:p>
        </w:tc>
        <w:tc>
          <w:tcPr>
            <w:tcW w:w="1172" w:type="dxa"/>
            <w:vAlign w:val="center"/>
            <w:hideMark/>
          </w:tcPr>
          <w:p w14:paraId="51C5025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Philippines</w:t>
            </w:r>
          </w:p>
        </w:tc>
        <w:tc>
          <w:tcPr>
            <w:tcW w:w="3685" w:type="dxa"/>
            <w:vAlign w:val="center"/>
          </w:tcPr>
          <w:p w14:paraId="0DF6AF2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describe the status of deaf individuals in education, previous experience, network and support systems, deaf identity, communication access, and their challenges in employability and entrepreneurship.</w:t>
            </w:r>
          </w:p>
        </w:tc>
        <w:tc>
          <w:tcPr>
            <w:tcW w:w="1027" w:type="dxa"/>
            <w:vAlign w:val="center"/>
            <w:hideMark/>
          </w:tcPr>
          <w:p w14:paraId="4BAB0B5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7BDEF91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34061A0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10 deaf individuals.</w:t>
            </w:r>
          </w:p>
        </w:tc>
        <w:tc>
          <w:tcPr>
            <w:tcW w:w="1764" w:type="dxa"/>
            <w:vAlign w:val="center"/>
          </w:tcPr>
          <w:p w14:paraId="69216D5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426D551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77651D3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676078B"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C48740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Dammeyer &amp; </w:t>
            </w:r>
            <w:proofErr w:type="spellStart"/>
            <w:r w:rsidRPr="003E7BC2">
              <w:rPr>
                <w:b w:val="0"/>
                <w:bCs w:val="0"/>
                <w:i/>
                <w:iCs/>
                <w:sz w:val="20"/>
                <w:szCs w:val="20"/>
                <w:lang w:val="en-US"/>
              </w:rPr>
              <w:t>Marschark</w:t>
            </w:r>
            <w:proofErr w:type="spellEnd"/>
            <w:r w:rsidRPr="003E7BC2">
              <w:rPr>
                <w:b w:val="0"/>
                <w:bCs w:val="0"/>
                <w:i/>
                <w:iCs/>
                <w:sz w:val="20"/>
                <w:szCs w:val="20"/>
                <w:lang w:val="en-US"/>
              </w:rPr>
              <w:t xml:space="preserve"> (2016)</w:t>
            </w:r>
          </w:p>
        </w:tc>
        <w:tc>
          <w:tcPr>
            <w:tcW w:w="1172" w:type="dxa"/>
            <w:vAlign w:val="center"/>
          </w:tcPr>
          <w:p w14:paraId="5297ED9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Denmark</w:t>
            </w:r>
          </w:p>
        </w:tc>
        <w:tc>
          <w:tcPr>
            <w:tcW w:w="3685" w:type="dxa"/>
            <w:vAlign w:val="center"/>
          </w:tcPr>
          <w:p w14:paraId="298354F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evaluate educational attainment levels before and after the introduction of the bilingual–bicultural program and examine variables that could explain educational outcomes.</w:t>
            </w:r>
          </w:p>
        </w:tc>
        <w:tc>
          <w:tcPr>
            <w:tcW w:w="1027" w:type="dxa"/>
            <w:vAlign w:val="center"/>
          </w:tcPr>
          <w:p w14:paraId="2E5E37C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tcPr>
          <w:p w14:paraId="6F8FB1A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tcPr>
          <w:p w14:paraId="769F290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408 deaf individuals.</w:t>
            </w:r>
          </w:p>
          <w:p w14:paraId="52F52DB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18,957 hearing citizens.</w:t>
            </w:r>
          </w:p>
        </w:tc>
        <w:tc>
          <w:tcPr>
            <w:tcW w:w="1764" w:type="dxa"/>
            <w:vAlign w:val="center"/>
          </w:tcPr>
          <w:p w14:paraId="22E8507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Educational level.</w:t>
            </w:r>
          </w:p>
        </w:tc>
        <w:tc>
          <w:tcPr>
            <w:tcW w:w="2212" w:type="dxa"/>
            <w:vAlign w:val="center"/>
          </w:tcPr>
          <w:p w14:paraId="45632CB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Survey of the Danish National Centre for Social Research.</w:t>
            </w:r>
          </w:p>
        </w:tc>
        <w:tc>
          <w:tcPr>
            <w:tcW w:w="1131" w:type="dxa"/>
            <w:vAlign w:val="center"/>
          </w:tcPr>
          <w:p w14:paraId="08B803C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51C51D02"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90C2AF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Dammeyer et al. (2019)</w:t>
            </w:r>
          </w:p>
        </w:tc>
        <w:tc>
          <w:tcPr>
            <w:tcW w:w="1172" w:type="dxa"/>
            <w:vAlign w:val="center"/>
            <w:hideMark/>
          </w:tcPr>
          <w:p w14:paraId="72D882B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Denmark</w:t>
            </w:r>
            <w:r w:rsidRPr="003E7BC2">
              <w:rPr>
                <w:sz w:val="20"/>
                <w:szCs w:val="20"/>
                <w:lang w:val="en-US"/>
              </w:rPr>
              <w:br/>
              <w:t>United States</w:t>
            </w:r>
          </w:p>
        </w:tc>
        <w:tc>
          <w:tcPr>
            <w:tcW w:w="3685" w:type="dxa"/>
            <w:vAlign w:val="center"/>
          </w:tcPr>
          <w:p w14:paraId="771CA46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provide insight into work and career</w:t>
            </w:r>
            <w:r w:rsidRPr="003E7BC2">
              <w:rPr>
                <w:sz w:val="20"/>
                <w:szCs w:val="20"/>
                <w:lang w:val="en-US"/>
              </w:rPr>
              <w:br/>
              <w:t>characteristics, as well as individual, audiological, and communication variables related to workforce participation.</w:t>
            </w:r>
          </w:p>
        </w:tc>
        <w:tc>
          <w:tcPr>
            <w:tcW w:w="1027" w:type="dxa"/>
            <w:vAlign w:val="center"/>
            <w:hideMark/>
          </w:tcPr>
          <w:p w14:paraId="20DB636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B82110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7D34D5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804 DHH subjects and 18,957 hearing subjects in Denmark.</w:t>
            </w:r>
          </w:p>
          <w:p w14:paraId="304B1E1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190 DHH subjects in United States.</w:t>
            </w:r>
          </w:p>
        </w:tc>
        <w:tc>
          <w:tcPr>
            <w:tcW w:w="1764" w:type="dxa"/>
            <w:vAlign w:val="center"/>
          </w:tcPr>
          <w:p w14:paraId="4CCDE1C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Having a job or not.</w:t>
            </w:r>
          </w:p>
        </w:tc>
        <w:tc>
          <w:tcPr>
            <w:tcW w:w="2212" w:type="dxa"/>
            <w:vAlign w:val="center"/>
          </w:tcPr>
          <w:p w14:paraId="115C249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Survey of the Danish National Centre for Social Research.</w:t>
            </w:r>
          </w:p>
        </w:tc>
        <w:tc>
          <w:tcPr>
            <w:tcW w:w="1131" w:type="dxa"/>
            <w:vAlign w:val="center"/>
          </w:tcPr>
          <w:p w14:paraId="16F50B7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4F51AA54"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1F6B497"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Danermark</w:t>
            </w:r>
            <w:proofErr w:type="spellEnd"/>
            <w:r w:rsidRPr="003E7BC2">
              <w:rPr>
                <w:b w:val="0"/>
                <w:bCs w:val="0"/>
                <w:i/>
                <w:iCs/>
                <w:sz w:val="20"/>
                <w:szCs w:val="20"/>
                <w:lang w:val="en-US"/>
              </w:rPr>
              <w:t xml:space="preserve"> et al. (2001)</w:t>
            </w:r>
          </w:p>
        </w:tc>
        <w:tc>
          <w:tcPr>
            <w:tcW w:w="1172" w:type="dxa"/>
            <w:vAlign w:val="center"/>
            <w:hideMark/>
          </w:tcPr>
          <w:p w14:paraId="407AB6A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Sweden</w:t>
            </w:r>
          </w:p>
        </w:tc>
        <w:tc>
          <w:tcPr>
            <w:tcW w:w="3685" w:type="dxa"/>
            <w:vAlign w:val="center"/>
          </w:tcPr>
          <w:p w14:paraId="3EBF296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investigate the decision process and mechanisms involved in the transition from upper secondary education to post-secondary education or the labor market.</w:t>
            </w:r>
          </w:p>
        </w:tc>
        <w:tc>
          <w:tcPr>
            <w:tcW w:w="1027" w:type="dxa"/>
            <w:vAlign w:val="center"/>
            <w:hideMark/>
          </w:tcPr>
          <w:p w14:paraId="46A3EF0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Academic</w:t>
            </w:r>
          </w:p>
        </w:tc>
        <w:tc>
          <w:tcPr>
            <w:tcW w:w="1205" w:type="dxa"/>
            <w:vAlign w:val="center"/>
            <w:hideMark/>
          </w:tcPr>
          <w:p w14:paraId="1A1558C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w:t>
            </w:r>
          </w:p>
        </w:tc>
        <w:tc>
          <w:tcPr>
            <w:tcW w:w="1725" w:type="dxa"/>
            <w:vAlign w:val="center"/>
            <w:hideMark/>
          </w:tcPr>
          <w:p w14:paraId="3FFC7CF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16 </w:t>
            </w:r>
            <w:proofErr w:type="spellStart"/>
            <w:r w:rsidRPr="003E7BC2">
              <w:rPr>
                <w:sz w:val="20"/>
                <w:szCs w:val="20"/>
                <w:lang w:val="en-US"/>
              </w:rPr>
              <w:t>HoH</w:t>
            </w:r>
            <w:proofErr w:type="spellEnd"/>
            <w:r w:rsidRPr="003E7BC2">
              <w:rPr>
                <w:sz w:val="20"/>
                <w:szCs w:val="20"/>
                <w:lang w:val="en-US"/>
              </w:rPr>
              <w:t xml:space="preserve"> students.</w:t>
            </w:r>
          </w:p>
        </w:tc>
        <w:tc>
          <w:tcPr>
            <w:tcW w:w="1764" w:type="dxa"/>
            <w:vAlign w:val="center"/>
          </w:tcPr>
          <w:p w14:paraId="545347C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19F4952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570AAB1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61E51ABD"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B003BB9"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Danermark</w:t>
            </w:r>
            <w:proofErr w:type="spellEnd"/>
            <w:r w:rsidRPr="003E7BC2">
              <w:rPr>
                <w:b w:val="0"/>
                <w:bCs w:val="0"/>
                <w:i/>
                <w:iCs/>
                <w:sz w:val="20"/>
                <w:szCs w:val="20"/>
                <w:lang w:val="en-US"/>
              </w:rPr>
              <w:t xml:space="preserve"> </w:t>
            </w:r>
            <w:proofErr w:type="gramStart"/>
            <w:r w:rsidRPr="003E7BC2">
              <w:rPr>
                <w:b w:val="0"/>
                <w:bCs w:val="0"/>
                <w:i/>
                <w:iCs/>
                <w:sz w:val="20"/>
                <w:szCs w:val="20"/>
                <w:lang w:val="en-US"/>
              </w:rPr>
              <w:t>et al.(</w:t>
            </w:r>
            <w:proofErr w:type="gramEnd"/>
            <w:r w:rsidRPr="003E7BC2">
              <w:rPr>
                <w:b w:val="0"/>
                <w:bCs w:val="0"/>
                <w:i/>
                <w:iCs/>
                <w:sz w:val="20"/>
                <w:szCs w:val="20"/>
                <w:lang w:val="en-US"/>
              </w:rPr>
              <w:t>1996)</w:t>
            </w:r>
          </w:p>
        </w:tc>
        <w:tc>
          <w:tcPr>
            <w:tcW w:w="1172" w:type="dxa"/>
            <w:vAlign w:val="center"/>
            <w:hideMark/>
          </w:tcPr>
          <w:p w14:paraId="22FFEE9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Sweden</w:t>
            </w:r>
          </w:p>
        </w:tc>
        <w:tc>
          <w:tcPr>
            <w:tcW w:w="3685" w:type="dxa"/>
            <w:vAlign w:val="center"/>
          </w:tcPr>
          <w:p w14:paraId="4F6FF9A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To describe the characteristics of </w:t>
            </w:r>
            <w:proofErr w:type="spellStart"/>
            <w:r w:rsidRPr="003E7BC2">
              <w:rPr>
                <w:sz w:val="20"/>
                <w:szCs w:val="20"/>
                <w:lang w:val="en-US"/>
              </w:rPr>
              <w:t>HoH</w:t>
            </w:r>
            <w:proofErr w:type="spellEnd"/>
            <w:r w:rsidRPr="003E7BC2">
              <w:rPr>
                <w:sz w:val="20"/>
                <w:szCs w:val="20"/>
                <w:lang w:val="en-US"/>
              </w:rPr>
              <w:t xml:space="preserve"> students in mainstream postsecondary programs.</w:t>
            </w:r>
          </w:p>
        </w:tc>
        <w:tc>
          <w:tcPr>
            <w:tcW w:w="1027" w:type="dxa"/>
            <w:vAlign w:val="center"/>
            <w:hideMark/>
          </w:tcPr>
          <w:p w14:paraId="15C978B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6D29311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04E128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26 </w:t>
            </w:r>
            <w:proofErr w:type="spellStart"/>
            <w:r w:rsidRPr="003E7BC2">
              <w:rPr>
                <w:sz w:val="20"/>
                <w:szCs w:val="20"/>
                <w:lang w:val="en-US"/>
              </w:rPr>
              <w:t>HoH</w:t>
            </w:r>
            <w:proofErr w:type="spellEnd"/>
            <w:r w:rsidRPr="003E7BC2">
              <w:rPr>
                <w:sz w:val="20"/>
                <w:szCs w:val="20"/>
                <w:lang w:val="en-US"/>
              </w:rPr>
              <w:t xml:space="preserve"> students.</w:t>
            </w:r>
          </w:p>
        </w:tc>
        <w:tc>
          <w:tcPr>
            <w:tcW w:w="1764" w:type="dxa"/>
            <w:vAlign w:val="center"/>
          </w:tcPr>
          <w:p w14:paraId="2E2AB68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7A8B32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5DECD64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C5B458F"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D3FA04D"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Doolabh</w:t>
            </w:r>
            <w:proofErr w:type="spellEnd"/>
            <w:r w:rsidRPr="003E7BC2">
              <w:rPr>
                <w:b w:val="0"/>
                <w:bCs w:val="0"/>
                <w:i/>
                <w:iCs/>
                <w:sz w:val="20"/>
                <w:szCs w:val="20"/>
                <w:lang w:val="en-US"/>
              </w:rPr>
              <w:t xml:space="preserve"> &amp; Khan (2020)</w:t>
            </w:r>
          </w:p>
        </w:tc>
        <w:tc>
          <w:tcPr>
            <w:tcW w:w="1172" w:type="dxa"/>
            <w:vAlign w:val="center"/>
            <w:hideMark/>
          </w:tcPr>
          <w:p w14:paraId="7CF5631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South Africa</w:t>
            </w:r>
          </w:p>
        </w:tc>
        <w:tc>
          <w:tcPr>
            <w:tcW w:w="3685" w:type="dxa"/>
            <w:vAlign w:val="center"/>
          </w:tcPr>
          <w:p w14:paraId="6CE66CB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investigate employers’ perceptions and experiences in recruiting and retaining individuals in the private sector.</w:t>
            </w:r>
          </w:p>
        </w:tc>
        <w:tc>
          <w:tcPr>
            <w:tcW w:w="1027" w:type="dxa"/>
            <w:vAlign w:val="center"/>
            <w:hideMark/>
          </w:tcPr>
          <w:p w14:paraId="5EE6D90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5921460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C87410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29 </w:t>
            </w:r>
            <w:proofErr w:type="spellStart"/>
            <w:r w:rsidRPr="003E7BC2">
              <w:rPr>
                <w:sz w:val="20"/>
                <w:szCs w:val="20"/>
                <w:lang w:val="en-US"/>
              </w:rPr>
              <w:t>HoH</w:t>
            </w:r>
            <w:proofErr w:type="spellEnd"/>
            <w:r w:rsidRPr="003E7BC2">
              <w:rPr>
                <w:sz w:val="20"/>
                <w:szCs w:val="20"/>
                <w:lang w:val="en-US"/>
              </w:rPr>
              <w:t xml:space="preserve"> employees.</w:t>
            </w:r>
          </w:p>
          <w:p w14:paraId="1BD6408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30 hearing subjects.</w:t>
            </w:r>
          </w:p>
          <w:p w14:paraId="05770BB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764" w:type="dxa"/>
            <w:vAlign w:val="center"/>
          </w:tcPr>
          <w:p w14:paraId="4308F83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4A27518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616FE2C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2EE1644E"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tcPr>
          <w:p w14:paraId="748835F2"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Foster et al. (1999)</w:t>
            </w:r>
          </w:p>
        </w:tc>
        <w:tc>
          <w:tcPr>
            <w:tcW w:w="1172" w:type="dxa"/>
            <w:vAlign w:val="center"/>
          </w:tcPr>
          <w:p w14:paraId="288A6B3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613F0E6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describe conditions that affect access to teaching and participation in learning by postsecondary students in mainstream class settings.</w:t>
            </w:r>
          </w:p>
        </w:tc>
        <w:tc>
          <w:tcPr>
            <w:tcW w:w="1027" w:type="dxa"/>
            <w:vAlign w:val="center"/>
          </w:tcPr>
          <w:p w14:paraId="4B17F92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tcPr>
          <w:p w14:paraId="71BD48E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Mixed</w:t>
            </w:r>
          </w:p>
        </w:tc>
        <w:tc>
          <w:tcPr>
            <w:tcW w:w="1725" w:type="dxa"/>
            <w:vAlign w:val="center"/>
          </w:tcPr>
          <w:p w14:paraId="05A348B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46 deaf students.</w:t>
            </w:r>
          </w:p>
          <w:p w14:paraId="6429A3A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30 hearing students.</w:t>
            </w:r>
          </w:p>
          <w:p w14:paraId="2C78B56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17 college instructors.</w:t>
            </w:r>
          </w:p>
        </w:tc>
        <w:tc>
          <w:tcPr>
            <w:tcW w:w="1764" w:type="dxa"/>
            <w:vAlign w:val="center"/>
          </w:tcPr>
          <w:p w14:paraId="2DD3376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1B01839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4215C5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143EA82"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7D1DC3B"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Foster &amp; MacLeod (2004)</w:t>
            </w:r>
          </w:p>
        </w:tc>
        <w:tc>
          <w:tcPr>
            <w:tcW w:w="1172" w:type="dxa"/>
            <w:vAlign w:val="center"/>
            <w:hideMark/>
          </w:tcPr>
          <w:p w14:paraId="68FA796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6C0F760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discuss respondents' reflections on the impact of mentors on their professional accomplishments.</w:t>
            </w:r>
          </w:p>
        </w:tc>
        <w:tc>
          <w:tcPr>
            <w:tcW w:w="1027" w:type="dxa"/>
            <w:vAlign w:val="center"/>
            <w:hideMark/>
          </w:tcPr>
          <w:p w14:paraId="2830953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6AD8ECF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1F08A4D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15 deaf alumni of NTID/RID.</w:t>
            </w:r>
          </w:p>
        </w:tc>
        <w:tc>
          <w:tcPr>
            <w:tcW w:w="1764" w:type="dxa"/>
            <w:vAlign w:val="center"/>
          </w:tcPr>
          <w:p w14:paraId="29A89A8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443E1A3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D81A28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398CC68"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588472E"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Garberoglio</w:t>
            </w:r>
            <w:proofErr w:type="spellEnd"/>
            <w:r w:rsidRPr="003E7BC2">
              <w:rPr>
                <w:b w:val="0"/>
                <w:bCs w:val="0"/>
                <w:i/>
                <w:iCs/>
                <w:sz w:val="20"/>
                <w:szCs w:val="20"/>
                <w:lang w:val="en-US"/>
              </w:rPr>
              <w:t xml:space="preserve"> et al. (2014)</w:t>
            </w:r>
          </w:p>
        </w:tc>
        <w:tc>
          <w:tcPr>
            <w:tcW w:w="1172" w:type="dxa"/>
            <w:vAlign w:val="center"/>
            <w:hideMark/>
          </w:tcPr>
          <w:p w14:paraId="081F944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E87C58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explore the role of self-</w:t>
            </w:r>
            <w:proofErr w:type="gramStart"/>
            <w:r w:rsidRPr="003E7BC2">
              <w:rPr>
                <w:sz w:val="20"/>
                <w:szCs w:val="20"/>
                <w:lang w:val="en-US"/>
              </w:rPr>
              <w:t>beliefs</w:t>
            </w:r>
            <w:proofErr w:type="gramEnd"/>
            <w:r w:rsidRPr="003E7BC2">
              <w:rPr>
                <w:sz w:val="20"/>
                <w:szCs w:val="20"/>
                <w:lang w:val="en-US"/>
              </w:rPr>
              <w:t xml:space="preserve"> in predicting postschool outcomes in transition from secondary settings.</w:t>
            </w:r>
          </w:p>
        </w:tc>
        <w:tc>
          <w:tcPr>
            <w:tcW w:w="1027" w:type="dxa"/>
            <w:vAlign w:val="center"/>
            <w:hideMark/>
          </w:tcPr>
          <w:p w14:paraId="79B28BA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Academic</w:t>
            </w:r>
            <w:r w:rsidRPr="003E7BC2">
              <w:rPr>
                <w:sz w:val="20"/>
                <w:szCs w:val="20"/>
                <w:lang w:val="en-US"/>
              </w:rPr>
              <w:br/>
              <w:t>Life</w:t>
            </w:r>
          </w:p>
        </w:tc>
        <w:tc>
          <w:tcPr>
            <w:tcW w:w="1205" w:type="dxa"/>
            <w:vAlign w:val="center"/>
            <w:hideMark/>
          </w:tcPr>
          <w:p w14:paraId="51A5B42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5CFC440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550 DHH people.</w:t>
            </w:r>
          </w:p>
        </w:tc>
        <w:tc>
          <w:tcPr>
            <w:tcW w:w="1764" w:type="dxa"/>
            <w:vAlign w:val="center"/>
          </w:tcPr>
          <w:p w14:paraId="54CBC6C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Life outcomes, employment outcomes, and academic</w:t>
            </w:r>
            <w:r w:rsidRPr="003E7BC2">
              <w:rPr>
                <w:sz w:val="20"/>
                <w:szCs w:val="20"/>
                <w:lang w:val="en-US"/>
              </w:rPr>
              <w:br/>
              <w:t>outcomes.</w:t>
            </w:r>
          </w:p>
        </w:tc>
        <w:tc>
          <w:tcPr>
            <w:tcW w:w="2212" w:type="dxa"/>
            <w:vAlign w:val="center"/>
          </w:tcPr>
          <w:p w14:paraId="28954CC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National Longitudinal Transition </w:t>
            </w:r>
            <w:proofErr w:type="gramStart"/>
            <w:r w:rsidRPr="003E7BC2">
              <w:rPr>
                <w:sz w:val="20"/>
                <w:szCs w:val="20"/>
                <w:lang w:val="en-US"/>
              </w:rPr>
              <w:t>Study-2</w:t>
            </w:r>
            <w:proofErr w:type="gramEnd"/>
            <w:r w:rsidRPr="003E7BC2">
              <w:rPr>
                <w:sz w:val="20"/>
                <w:szCs w:val="20"/>
                <w:lang w:val="en-US"/>
              </w:rPr>
              <w:t>.</w:t>
            </w:r>
          </w:p>
        </w:tc>
        <w:tc>
          <w:tcPr>
            <w:tcW w:w="1131" w:type="dxa"/>
            <w:vAlign w:val="center"/>
          </w:tcPr>
          <w:p w14:paraId="02B0617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Mixed</w:t>
            </w:r>
          </w:p>
        </w:tc>
      </w:tr>
      <w:tr w:rsidR="003E7BC2" w:rsidRPr="003E7BC2" w14:paraId="084793EA"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57E67D03"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Garberoglio</w:t>
            </w:r>
            <w:proofErr w:type="spellEnd"/>
            <w:r w:rsidRPr="003E7BC2">
              <w:rPr>
                <w:b w:val="0"/>
                <w:bCs w:val="0"/>
                <w:i/>
                <w:iCs/>
                <w:sz w:val="20"/>
                <w:szCs w:val="20"/>
                <w:lang w:val="en-US"/>
              </w:rPr>
              <w:t xml:space="preserve"> et al. (2021)</w:t>
            </w:r>
          </w:p>
        </w:tc>
        <w:tc>
          <w:tcPr>
            <w:tcW w:w="1172" w:type="dxa"/>
            <w:vAlign w:val="center"/>
            <w:hideMark/>
          </w:tcPr>
          <w:p w14:paraId="4056B4A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595D5F5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explore how has the average level of educational attainment changed over time, between the years 2008-2018.</w:t>
            </w:r>
          </w:p>
        </w:tc>
        <w:tc>
          <w:tcPr>
            <w:tcW w:w="1027" w:type="dxa"/>
            <w:vAlign w:val="center"/>
            <w:hideMark/>
          </w:tcPr>
          <w:p w14:paraId="6E1F129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391965C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E634AC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More than 39,000 deaf people per year.</w:t>
            </w:r>
          </w:p>
        </w:tc>
        <w:tc>
          <w:tcPr>
            <w:tcW w:w="1764" w:type="dxa"/>
            <w:vAlign w:val="center"/>
          </w:tcPr>
          <w:p w14:paraId="623998C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Educational attainment.</w:t>
            </w:r>
          </w:p>
        </w:tc>
        <w:tc>
          <w:tcPr>
            <w:tcW w:w="2212" w:type="dxa"/>
            <w:vAlign w:val="center"/>
          </w:tcPr>
          <w:p w14:paraId="56A7D3C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Public Use Microdata Sample in the American Community Survey.</w:t>
            </w:r>
          </w:p>
        </w:tc>
        <w:tc>
          <w:tcPr>
            <w:tcW w:w="1131" w:type="dxa"/>
            <w:vAlign w:val="center"/>
          </w:tcPr>
          <w:p w14:paraId="7F73607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6C5D20D9"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D0228C9"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Garramiola</w:t>
            </w:r>
            <w:proofErr w:type="spellEnd"/>
            <w:r w:rsidRPr="003E7BC2">
              <w:rPr>
                <w:b w:val="0"/>
                <w:bCs w:val="0"/>
                <w:i/>
                <w:iCs/>
                <w:sz w:val="20"/>
                <w:szCs w:val="20"/>
                <w:lang w:val="en-US"/>
              </w:rPr>
              <w:t>-Bilbao &amp; Rodríguez-Álvarez (2016)</w:t>
            </w:r>
          </w:p>
        </w:tc>
        <w:tc>
          <w:tcPr>
            <w:tcW w:w="1172" w:type="dxa"/>
            <w:vAlign w:val="center"/>
            <w:hideMark/>
          </w:tcPr>
          <w:p w14:paraId="16E38A6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Spain</w:t>
            </w:r>
          </w:p>
        </w:tc>
        <w:tc>
          <w:tcPr>
            <w:tcW w:w="3685" w:type="dxa"/>
            <w:vAlign w:val="center"/>
          </w:tcPr>
          <w:p w14:paraId="3240592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analyze the impact that deafness and other variables have on the education and employment situation.</w:t>
            </w:r>
          </w:p>
        </w:tc>
        <w:tc>
          <w:tcPr>
            <w:tcW w:w="1027" w:type="dxa"/>
            <w:vAlign w:val="center"/>
            <w:hideMark/>
          </w:tcPr>
          <w:p w14:paraId="69A9ADB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Academic</w:t>
            </w:r>
          </w:p>
        </w:tc>
        <w:tc>
          <w:tcPr>
            <w:tcW w:w="1205" w:type="dxa"/>
            <w:vAlign w:val="center"/>
            <w:hideMark/>
          </w:tcPr>
          <w:p w14:paraId="2D7A69A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4C33DE2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1,599 </w:t>
            </w:r>
            <w:proofErr w:type="spellStart"/>
            <w:r w:rsidRPr="003E7BC2">
              <w:rPr>
                <w:sz w:val="20"/>
                <w:szCs w:val="20"/>
                <w:lang w:val="en-US"/>
              </w:rPr>
              <w:t>HoH</w:t>
            </w:r>
            <w:proofErr w:type="spellEnd"/>
            <w:r w:rsidRPr="003E7BC2">
              <w:rPr>
                <w:sz w:val="20"/>
                <w:szCs w:val="20"/>
                <w:lang w:val="en-US"/>
              </w:rPr>
              <w:t xml:space="preserve"> subjects for unemployment situation.</w:t>
            </w:r>
          </w:p>
          <w:p w14:paraId="7CDF01C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1,224 </w:t>
            </w:r>
            <w:proofErr w:type="spellStart"/>
            <w:r w:rsidRPr="003E7BC2">
              <w:rPr>
                <w:sz w:val="20"/>
                <w:szCs w:val="20"/>
                <w:lang w:val="en-US"/>
              </w:rPr>
              <w:t>HoH</w:t>
            </w:r>
            <w:proofErr w:type="spellEnd"/>
            <w:r w:rsidRPr="003E7BC2">
              <w:rPr>
                <w:sz w:val="20"/>
                <w:szCs w:val="20"/>
                <w:lang w:val="en-US"/>
              </w:rPr>
              <w:t xml:space="preserve"> subjects for education level</w:t>
            </w:r>
          </w:p>
        </w:tc>
        <w:tc>
          <w:tcPr>
            <w:tcW w:w="1764" w:type="dxa"/>
            <w:vAlign w:val="center"/>
          </w:tcPr>
          <w:p w14:paraId="1254B15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Employment situation.</w:t>
            </w:r>
          </w:p>
          <w:p w14:paraId="56246CB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Highest level of education attained.</w:t>
            </w:r>
          </w:p>
        </w:tc>
        <w:tc>
          <w:tcPr>
            <w:tcW w:w="2212" w:type="dxa"/>
            <w:vAlign w:val="center"/>
          </w:tcPr>
          <w:p w14:paraId="4E6A6F1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Data from National Institute of Statistics.</w:t>
            </w:r>
          </w:p>
        </w:tc>
        <w:tc>
          <w:tcPr>
            <w:tcW w:w="1131" w:type="dxa"/>
            <w:vAlign w:val="center"/>
          </w:tcPr>
          <w:p w14:paraId="6435507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0C02DE58"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BC21E71"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Geyer &amp; Schroedel (1998)</w:t>
            </w:r>
          </w:p>
        </w:tc>
        <w:tc>
          <w:tcPr>
            <w:tcW w:w="1172" w:type="dxa"/>
            <w:vAlign w:val="center"/>
            <w:hideMark/>
          </w:tcPr>
          <w:p w14:paraId="7116A76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D20BF7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the job satisfaction of individuals in their early careers.</w:t>
            </w:r>
          </w:p>
        </w:tc>
        <w:tc>
          <w:tcPr>
            <w:tcW w:w="1027" w:type="dxa"/>
            <w:vAlign w:val="center"/>
            <w:hideMark/>
          </w:tcPr>
          <w:p w14:paraId="3C5CD4F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r w:rsidRPr="003E7BC2">
              <w:rPr>
                <w:sz w:val="20"/>
                <w:szCs w:val="20"/>
                <w:lang w:val="en-US"/>
              </w:rPr>
              <w:br/>
              <w:t>Career</w:t>
            </w:r>
          </w:p>
        </w:tc>
        <w:tc>
          <w:tcPr>
            <w:tcW w:w="1205" w:type="dxa"/>
            <w:vAlign w:val="center"/>
            <w:hideMark/>
          </w:tcPr>
          <w:p w14:paraId="5063318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86F85B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322 DHH employees.</w:t>
            </w:r>
          </w:p>
        </w:tc>
        <w:tc>
          <w:tcPr>
            <w:tcW w:w="1764" w:type="dxa"/>
            <w:vAlign w:val="center"/>
          </w:tcPr>
          <w:p w14:paraId="3969CBD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Job satisfaction.</w:t>
            </w:r>
          </w:p>
        </w:tc>
        <w:tc>
          <w:tcPr>
            <w:tcW w:w="2212" w:type="dxa"/>
            <w:vAlign w:val="center"/>
          </w:tcPr>
          <w:p w14:paraId="2ABDFBC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Survey.</w:t>
            </w:r>
          </w:p>
        </w:tc>
        <w:tc>
          <w:tcPr>
            <w:tcW w:w="1131" w:type="dxa"/>
            <w:vAlign w:val="center"/>
          </w:tcPr>
          <w:p w14:paraId="5571DB9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Subjective</w:t>
            </w:r>
          </w:p>
        </w:tc>
      </w:tr>
      <w:tr w:rsidR="003E7BC2" w:rsidRPr="003E7BC2" w14:paraId="0122940A"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518944F"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Greene-Woods et al. (2020)</w:t>
            </w:r>
          </w:p>
        </w:tc>
        <w:tc>
          <w:tcPr>
            <w:tcW w:w="1172" w:type="dxa"/>
            <w:vAlign w:val="center"/>
            <w:hideMark/>
          </w:tcPr>
          <w:p w14:paraId="7AFE795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F819B8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impact of deaf social capital on the ability to experience upward mobility in education settings or the workplace.</w:t>
            </w:r>
          </w:p>
        </w:tc>
        <w:tc>
          <w:tcPr>
            <w:tcW w:w="1027" w:type="dxa"/>
            <w:vAlign w:val="center"/>
            <w:hideMark/>
          </w:tcPr>
          <w:p w14:paraId="7A38686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Academic</w:t>
            </w:r>
          </w:p>
        </w:tc>
        <w:tc>
          <w:tcPr>
            <w:tcW w:w="1205" w:type="dxa"/>
            <w:vAlign w:val="center"/>
            <w:hideMark/>
          </w:tcPr>
          <w:p w14:paraId="61091F0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Mixed</w:t>
            </w:r>
          </w:p>
        </w:tc>
        <w:tc>
          <w:tcPr>
            <w:tcW w:w="1725" w:type="dxa"/>
            <w:vAlign w:val="center"/>
            <w:hideMark/>
          </w:tcPr>
          <w:p w14:paraId="35F7A4E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78 survey participants.</w:t>
            </w:r>
          </w:p>
          <w:p w14:paraId="787E4AE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12 interview participants.</w:t>
            </w:r>
          </w:p>
        </w:tc>
        <w:tc>
          <w:tcPr>
            <w:tcW w:w="1764" w:type="dxa"/>
            <w:vAlign w:val="center"/>
          </w:tcPr>
          <w:p w14:paraId="200D162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116B41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F08013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962502B"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695F1F1"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Hefferly</w:t>
            </w:r>
            <w:proofErr w:type="spellEnd"/>
            <w:r w:rsidRPr="003E7BC2">
              <w:rPr>
                <w:b w:val="0"/>
                <w:bCs w:val="0"/>
                <w:i/>
                <w:iCs/>
                <w:sz w:val="20"/>
                <w:szCs w:val="20"/>
                <w:lang w:val="en-US"/>
              </w:rPr>
              <w:t xml:space="preserve"> (2009)</w:t>
            </w:r>
          </w:p>
        </w:tc>
        <w:tc>
          <w:tcPr>
            <w:tcW w:w="1172" w:type="dxa"/>
            <w:vAlign w:val="center"/>
            <w:hideMark/>
          </w:tcPr>
          <w:p w14:paraId="616F67C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9ECBEE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explore the impact that hearing-related self-efficacy beliefs have on the perceptions of hearing difficulties and the practice of maladaptive coping behaviors.</w:t>
            </w:r>
          </w:p>
        </w:tc>
        <w:tc>
          <w:tcPr>
            <w:tcW w:w="1027" w:type="dxa"/>
            <w:vAlign w:val="center"/>
            <w:hideMark/>
          </w:tcPr>
          <w:p w14:paraId="5A648D4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5E8C526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4841239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156 </w:t>
            </w:r>
            <w:proofErr w:type="spellStart"/>
            <w:r w:rsidRPr="003E7BC2">
              <w:rPr>
                <w:sz w:val="20"/>
                <w:szCs w:val="20"/>
                <w:lang w:val="en-US"/>
              </w:rPr>
              <w:t>HoH</w:t>
            </w:r>
            <w:proofErr w:type="spellEnd"/>
            <w:r w:rsidRPr="003E7BC2">
              <w:rPr>
                <w:sz w:val="20"/>
                <w:szCs w:val="20"/>
                <w:lang w:val="en-US"/>
              </w:rPr>
              <w:t xml:space="preserve"> volunteers.</w:t>
            </w:r>
          </w:p>
        </w:tc>
        <w:tc>
          <w:tcPr>
            <w:tcW w:w="1764" w:type="dxa"/>
            <w:vAlign w:val="center"/>
          </w:tcPr>
          <w:p w14:paraId="05FE1A5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Activity limitations, participation restrictions, self-efficacy beliefs, satisfaction with life.</w:t>
            </w:r>
          </w:p>
        </w:tc>
        <w:tc>
          <w:tcPr>
            <w:tcW w:w="2212" w:type="dxa"/>
            <w:vAlign w:val="center"/>
          </w:tcPr>
          <w:p w14:paraId="00462D7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Hearing-Related Self-Efficacy Beliefs Questionnaire.</w:t>
            </w:r>
            <w:r w:rsidRPr="003E7BC2">
              <w:rPr>
                <w:sz w:val="20"/>
                <w:szCs w:val="20"/>
                <w:lang w:val="en-US"/>
              </w:rPr>
              <w:br/>
              <w:t>Hearing Handicap Inventory.</w:t>
            </w:r>
            <w:r w:rsidRPr="003E7BC2">
              <w:rPr>
                <w:sz w:val="20"/>
                <w:szCs w:val="20"/>
                <w:lang w:val="en-US"/>
              </w:rPr>
              <w:br/>
              <w:t>Satisfaction with Life Scale.</w:t>
            </w:r>
          </w:p>
        </w:tc>
        <w:tc>
          <w:tcPr>
            <w:tcW w:w="1131" w:type="dxa"/>
            <w:vAlign w:val="center"/>
          </w:tcPr>
          <w:p w14:paraId="1F4AF33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4C60DB08"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BAA3DC9"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Hintermair</w:t>
            </w:r>
            <w:proofErr w:type="spellEnd"/>
            <w:r w:rsidRPr="003E7BC2">
              <w:rPr>
                <w:b w:val="0"/>
                <w:bCs w:val="0"/>
                <w:i/>
                <w:iCs/>
                <w:sz w:val="20"/>
                <w:szCs w:val="20"/>
                <w:lang w:val="en-US"/>
              </w:rPr>
              <w:t xml:space="preserve"> et al. (2018)</w:t>
            </w:r>
          </w:p>
        </w:tc>
        <w:tc>
          <w:tcPr>
            <w:tcW w:w="1172" w:type="dxa"/>
            <w:vAlign w:val="center"/>
            <w:hideMark/>
          </w:tcPr>
          <w:p w14:paraId="7D1142C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Germany</w:t>
            </w:r>
          </w:p>
        </w:tc>
        <w:tc>
          <w:tcPr>
            <w:tcW w:w="3685" w:type="dxa"/>
            <w:vAlign w:val="center"/>
          </w:tcPr>
          <w:p w14:paraId="1A3AADF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find out relevant factors that are responsible for job success.</w:t>
            </w:r>
          </w:p>
        </w:tc>
        <w:tc>
          <w:tcPr>
            <w:tcW w:w="1027" w:type="dxa"/>
            <w:vAlign w:val="center"/>
            <w:hideMark/>
          </w:tcPr>
          <w:p w14:paraId="5830E46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66B8019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3C20D49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32 DHH adults.</w:t>
            </w:r>
          </w:p>
        </w:tc>
        <w:tc>
          <w:tcPr>
            <w:tcW w:w="1764" w:type="dxa"/>
            <w:vAlign w:val="center"/>
          </w:tcPr>
          <w:p w14:paraId="5288988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5D50F7B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063C24E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71DE55FF"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ABF9A5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Hogan et al. (2009)</w:t>
            </w:r>
          </w:p>
        </w:tc>
        <w:tc>
          <w:tcPr>
            <w:tcW w:w="1172" w:type="dxa"/>
            <w:vAlign w:val="center"/>
            <w:hideMark/>
          </w:tcPr>
          <w:p w14:paraId="6390228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Australia</w:t>
            </w:r>
          </w:p>
        </w:tc>
        <w:tc>
          <w:tcPr>
            <w:tcW w:w="3685" w:type="dxa"/>
            <w:vAlign w:val="center"/>
          </w:tcPr>
          <w:p w14:paraId="2B88FCE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investigate how hearing loss relates to unemployment and underemployment rates, and understand its impact on employment considering age, gender, health conditions, and occupation.</w:t>
            </w:r>
          </w:p>
        </w:tc>
        <w:tc>
          <w:tcPr>
            <w:tcW w:w="1027" w:type="dxa"/>
            <w:vAlign w:val="center"/>
            <w:hideMark/>
          </w:tcPr>
          <w:p w14:paraId="415B8A7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6FDC529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725A719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216,806 </w:t>
            </w:r>
            <w:proofErr w:type="spellStart"/>
            <w:r w:rsidRPr="003E7BC2">
              <w:rPr>
                <w:sz w:val="20"/>
                <w:szCs w:val="20"/>
                <w:lang w:val="en-US"/>
              </w:rPr>
              <w:t>HoH</w:t>
            </w:r>
            <w:proofErr w:type="spellEnd"/>
            <w:r w:rsidRPr="003E7BC2">
              <w:rPr>
                <w:sz w:val="20"/>
                <w:szCs w:val="20"/>
                <w:lang w:val="en-US"/>
              </w:rPr>
              <w:t xml:space="preserve"> people.</w:t>
            </w:r>
          </w:p>
        </w:tc>
        <w:tc>
          <w:tcPr>
            <w:tcW w:w="1764" w:type="dxa"/>
            <w:vAlign w:val="center"/>
          </w:tcPr>
          <w:p w14:paraId="12C52B0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110EF7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71C01B2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A01AE67"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99605B4"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Idstad</w:t>
            </w:r>
            <w:proofErr w:type="spellEnd"/>
            <w:r w:rsidRPr="003E7BC2">
              <w:rPr>
                <w:b w:val="0"/>
                <w:bCs w:val="0"/>
                <w:i/>
                <w:iCs/>
                <w:sz w:val="20"/>
                <w:szCs w:val="20"/>
                <w:lang w:val="en-US"/>
              </w:rPr>
              <w:t xml:space="preserve"> &amp; Engdahl (2019)</w:t>
            </w:r>
          </w:p>
        </w:tc>
        <w:tc>
          <w:tcPr>
            <w:tcW w:w="1172" w:type="dxa"/>
            <w:vAlign w:val="center"/>
            <w:hideMark/>
          </w:tcPr>
          <w:p w14:paraId="0B65C42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Norway</w:t>
            </w:r>
          </w:p>
        </w:tc>
        <w:tc>
          <w:tcPr>
            <w:tcW w:w="3685" w:type="dxa"/>
            <w:vAlign w:val="center"/>
          </w:tcPr>
          <w:p w14:paraId="5A22C61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investigate the educational attainment among adults with sensorineural hearing loss, compared with people without hearing loss.</w:t>
            </w:r>
          </w:p>
        </w:tc>
        <w:tc>
          <w:tcPr>
            <w:tcW w:w="1027" w:type="dxa"/>
            <w:vAlign w:val="center"/>
            <w:hideMark/>
          </w:tcPr>
          <w:p w14:paraId="0316237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035C690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B35D34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749 </w:t>
            </w:r>
            <w:proofErr w:type="spellStart"/>
            <w:r w:rsidRPr="003E7BC2">
              <w:rPr>
                <w:sz w:val="20"/>
                <w:szCs w:val="20"/>
                <w:lang w:val="en-US"/>
              </w:rPr>
              <w:t>HoH</w:t>
            </w:r>
            <w:proofErr w:type="spellEnd"/>
            <w:r w:rsidRPr="003E7BC2">
              <w:rPr>
                <w:sz w:val="20"/>
                <w:szCs w:val="20"/>
                <w:lang w:val="en-US"/>
              </w:rPr>
              <w:t xml:space="preserve"> people.</w:t>
            </w:r>
          </w:p>
          <w:p w14:paraId="2AF6982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47,857 people with no deafness.</w:t>
            </w:r>
          </w:p>
        </w:tc>
        <w:tc>
          <w:tcPr>
            <w:tcW w:w="1764" w:type="dxa"/>
            <w:vAlign w:val="center"/>
          </w:tcPr>
          <w:p w14:paraId="5137230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Educational Attainment.</w:t>
            </w:r>
          </w:p>
        </w:tc>
        <w:tc>
          <w:tcPr>
            <w:tcW w:w="2212" w:type="dxa"/>
            <w:vAlign w:val="center"/>
          </w:tcPr>
          <w:p w14:paraId="4B478BD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School Hearing Investigation in Nord-</w:t>
            </w:r>
            <w:proofErr w:type="spellStart"/>
            <w:r w:rsidRPr="003E7BC2">
              <w:rPr>
                <w:sz w:val="20"/>
                <w:szCs w:val="20"/>
                <w:lang w:val="en-US"/>
              </w:rPr>
              <w:t>Trøndelag</w:t>
            </w:r>
            <w:proofErr w:type="spellEnd"/>
            <w:r w:rsidRPr="003E7BC2">
              <w:rPr>
                <w:sz w:val="20"/>
                <w:szCs w:val="20"/>
                <w:lang w:val="en-US"/>
              </w:rPr>
              <w:t>.</w:t>
            </w:r>
            <w:r w:rsidRPr="003E7BC2">
              <w:rPr>
                <w:sz w:val="20"/>
                <w:szCs w:val="20"/>
                <w:lang w:val="en-US"/>
              </w:rPr>
              <w:br/>
              <w:t>Norwegian Health Study.</w:t>
            </w:r>
          </w:p>
        </w:tc>
        <w:tc>
          <w:tcPr>
            <w:tcW w:w="1131" w:type="dxa"/>
            <w:vAlign w:val="center"/>
          </w:tcPr>
          <w:p w14:paraId="12CCE88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13027BA4"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D8C8F12"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Jacobs </w:t>
            </w:r>
            <w:proofErr w:type="gramStart"/>
            <w:r w:rsidRPr="003E7BC2">
              <w:rPr>
                <w:b w:val="0"/>
                <w:bCs w:val="0"/>
                <w:i/>
                <w:iCs/>
                <w:sz w:val="20"/>
                <w:szCs w:val="20"/>
                <w:lang w:val="en-US"/>
              </w:rPr>
              <w:t>et al.(</w:t>
            </w:r>
            <w:proofErr w:type="gramEnd"/>
            <w:r w:rsidRPr="003E7BC2">
              <w:rPr>
                <w:b w:val="0"/>
                <w:bCs w:val="0"/>
                <w:i/>
                <w:iCs/>
                <w:sz w:val="20"/>
                <w:szCs w:val="20"/>
                <w:lang w:val="en-US"/>
              </w:rPr>
              <w:t>2012)</w:t>
            </w:r>
          </w:p>
        </w:tc>
        <w:tc>
          <w:tcPr>
            <w:tcW w:w="1172" w:type="dxa"/>
            <w:vAlign w:val="center"/>
            <w:hideMark/>
          </w:tcPr>
          <w:p w14:paraId="64595D5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America, Australia, England, </w:t>
            </w:r>
            <w:r w:rsidRPr="003E7BC2">
              <w:rPr>
                <w:sz w:val="20"/>
                <w:szCs w:val="20"/>
                <w:lang w:val="en-US"/>
              </w:rPr>
              <w:lastRenderedPageBreak/>
              <w:t>and South Africa</w:t>
            </w:r>
          </w:p>
        </w:tc>
        <w:tc>
          <w:tcPr>
            <w:tcW w:w="3685" w:type="dxa"/>
            <w:vAlign w:val="center"/>
          </w:tcPr>
          <w:p w14:paraId="535F78A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lastRenderedPageBreak/>
              <w:t xml:space="preserve">To identify the proactive psychosocial attributes and tactics that deaf adults use to maximize their potential in mainstream </w:t>
            </w:r>
            <w:r w:rsidRPr="003E7BC2">
              <w:rPr>
                <w:sz w:val="20"/>
                <w:szCs w:val="20"/>
                <w:lang w:val="en-US"/>
              </w:rPr>
              <w:lastRenderedPageBreak/>
              <w:t>society and to compare them to typical hearing adults.</w:t>
            </w:r>
          </w:p>
        </w:tc>
        <w:tc>
          <w:tcPr>
            <w:tcW w:w="1027" w:type="dxa"/>
            <w:vAlign w:val="center"/>
            <w:hideMark/>
          </w:tcPr>
          <w:p w14:paraId="10A362A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lastRenderedPageBreak/>
              <w:t>Career</w:t>
            </w:r>
          </w:p>
        </w:tc>
        <w:tc>
          <w:tcPr>
            <w:tcW w:w="1205" w:type="dxa"/>
            <w:vAlign w:val="center"/>
            <w:hideMark/>
          </w:tcPr>
          <w:p w14:paraId="670D447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w:t>
            </w:r>
          </w:p>
        </w:tc>
        <w:tc>
          <w:tcPr>
            <w:tcW w:w="1725" w:type="dxa"/>
            <w:vAlign w:val="center"/>
            <w:hideMark/>
          </w:tcPr>
          <w:p w14:paraId="0307625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30 deaf adults.</w:t>
            </w:r>
          </w:p>
          <w:p w14:paraId="4D55764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19 typical hearing adults.</w:t>
            </w:r>
          </w:p>
        </w:tc>
        <w:tc>
          <w:tcPr>
            <w:tcW w:w="1764" w:type="dxa"/>
            <w:vAlign w:val="center"/>
          </w:tcPr>
          <w:p w14:paraId="62A7829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4F49FB4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6439A88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8DB313B"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14DF21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Johnson (2014)</w:t>
            </w:r>
          </w:p>
        </w:tc>
        <w:tc>
          <w:tcPr>
            <w:tcW w:w="1172" w:type="dxa"/>
            <w:vAlign w:val="center"/>
            <w:hideMark/>
          </w:tcPr>
          <w:p w14:paraId="064CEF9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509127A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understand how deaf students function in the mainstream postsecondary environment.</w:t>
            </w:r>
          </w:p>
        </w:tc>
        <w:tc>
          <w:tcPr>
            <w:tcW w:w="1027" w:type="dxa"/>
            <w:vAlign w:val="center"/>
            <w:hideMark/>
          </w:tcPr>
          <w:p w14:paraId="6BAB5F2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286D3B9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01932E1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19 deaf students.</w:t>
            </w:r>
          </w:p>
        </w:tc>
        <w:tc>
          <w:tcPr>
            <w:tcW w:w="1764" w:type="dxa"/>
            <w:vAlign w:val="center"/>
          </w:tcPr>
          <w:p w14:paraId="065B672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7B91B56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FE96BD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BFDD049"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BFC969F"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Jung &amp; Bhattacharyya (2012)</w:t>
            </w:r>
          </w:p>
        </w:tc>
        <w:tc>
          <w:tcPr>
            <w:tcW w:w="1172" w:type="dxa"/>
            <w:vAlign w:val="center"/>
            <w:hideMark/>
          </w:tcPr>
          <w:p w14:paraId="542B4B1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BEBCE6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evaluate the association of hearing loss with employment and income in adults.</w:t>
            </w:r>
          </w:p>
        </w:tc>
        <w:tc>
          <w:tcPr>
            <w:tcW w:w="1027" w:type="dxa"/>
            <w:vAlign w:val="center"/>
            <w:hideMark/>
          </w:tcPr>
          <w:p w14:paraId="405914B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347D64A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498B849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933,921 </w:t>
            </w:r>
            <w:proofErr w:type="spellStart"/>
            <w:r w:rsidRPr="003E7BC2">
              <w:rPr>
                <w:sz w:val="20"/>
                <w:szCs w:val="20"/>
                <w:lang w:val="en-US"/>
              </w:rPr>
              <w:t>HoH</w:t>
            </w:r>
            <w:proofErr w:type="spellEnd"/>
            <w:r w:rsidRPr="003E7BC2">
              <w:rPr>
                <w:sz w:val="20"/>
                <w:szCs w:val="20"/>
                <w:lang w:val="en-US"/>
              </w:rPr>
              <w:t xml:space="preserve"> patients.</w:t>
            </w:r>
          </w:p>
        </w:tc>
        <w:tc>
          <w:tcPr>
            <w:tcW w:w="1764" w:type="dxa"/>
            <w:vAlign w:val="center"/>
          </w:tcPr>
          <w:p w14:paraId="086B06A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0CEAEE1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BBBBAE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21A97053"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32C6C58"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 xml:space="preserve">Kim </w:t>
            </w:r>
            <w:proofErr w:type="gramStart"/>
            <w:r w:rsidRPr="003E7BC2">
              <w:rPr>
                <w:b w:val="0"/>
                <w:bCs w:val="0"/>
                <w:i/>
                <w:iCs/>
                <w:sz w:val="20"/>
                <w:szCs w:val="20"/>
                <w:lang w:val="en-US"/>
              </w:rPr>
              <w:t>et al.(</w:t>
            </w:r>
            <w:proofErr w:type="gramEnd"/>
            <w:r w:rsidRPr="003E7BC2">
              <w:rPr>
                <w:b w:val="0"/>
                <w:bCs w:val="0"/>
                <w:i/>
                <w:iCs/>
                <w:sz w:val="20"/>
                <w:szCs w:val="20"/>
                <w:lang w:val="en-US"/>
              </w:rPr>
              <w:t>2018)</w:t>
            </w:r>
          </w:p>
        </w:tc>
        <w:tc>
          <w:tcPr>
            <w:tcW w:w="1172" w:type="dxa"/>
            <w:vAlign w:val="center"/>
            <w:hideMark/>
          </w:tcPr>
          <w:p w14:paraId="4A452E0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Kingdom</w:t>
            </w:r>
          </w:p>
        </w:tc>
        <w:tc>
          <w:tcPr>
            <w:tcW w:w="3685" w:type="dxa"/>
            <w:vAlign w:val="center"/>
          </w:tcPr>
          <w:p w14:paraId="5B04B0D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investigate the economic well-being of DHH people.</w:t>
            </w:r>
          </w:p>
        </w:tc>
        <w:tc>
          <w:tcPr>
            <w:tcW w:w="1027" w:type="dxa"/>
            <w:vAlign w:val="center"/>
            <w:hideMark/>
          </w:tcPr>
          <w:p w14:paraId="5E02100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02F005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762DE5B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377 </w:t>
            </w:r>
            <w:proofErr w:type="spellStart"/>
            <w:r w:rsidRPr="003E7BC2">
              <w:rPr>
                <w:sz w:val="20"/>
                <w:szCs w:val="20"/>
                <w:lang w:val="en-US"/>
              </w:rPr>
              <w:t>HoH</w:t>
            </w:r>
            <w:proofErr w:type="spellEnd"/>
            <w:r w:rsidRPr="003E7BC2">
              <w:rPr>
                <w:sz w:val="20"/>
                <w:szCs w:val="20"/>
                <w:lang w:val="en-US"/>
              </w:rPr>
              <w:t xml:space="preserve"> individuals.</w:t>
            </w:r>
          </w:p>
          <w:p w14:paraId="59D2C04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24,761 individuals without deafness.</w:t>
            </w:r>
          </w:p>
        </w:tc>
        <w:tc>
          <w:tcPr>
            <w:tcW w:w="1764" w:type="dxa"/>
            <w:vAlign w:val="center"/>
          </w:tcPr>
          <w:p w14:paraId="0528189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Financial loan payment, severity of financial loan payment, difficulties in making ends meet, affordability for unexpected expenses, employment status, employment type, weekly total household income.</w:t>
            </w:r>
          </w:p>
        </w:tc>
        <w:tc>
          <w:tcPr>
            <w:tcW w:w="2212" w:type="dxa"/>
            <w:vAlign w:val="center"/>
          </w:tcPr>
          <w:p w14:paraId="6E4387A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Life Opportunities Survey from the Office for National Statistics.</w:t>
            </w:r>
          </w:p>
        </w:tc>
        <w:tc>
          <w:tcPr>
            <w:tcW w:w="1131" w:type="dxa"/>
            <w:vAlign w:val="center"/>
          </w:tcPr>
          <w:p w14:paraId="2FB72F9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476E98BB"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C46EA0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Kos et al. (2007)</w:t>
            </w:r>
          </w:p>
        </w:tc>
        <w:tc>
          <w:tcPr>
            <w:tcW w:w="1172" w:type="dxa"/>
            <w:vAlign w:val="center"/>
            <w:hideMark/>
          </w:tcPr>
          <w:p w14:paraId="478D127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Switzerland</w:t>
            </w:r>
          </w:p>
        </w:tc>
        <w:tc>
          <w:tcPr>
            <w:tcW w:w="3685" w:type="dxa"/>
            <w:vAlign w:val="center"/>
          </w:tcPr>
          <w:p w14:paraId="0A0B40A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verify whether cochlear implants helped profoundly deaf adults to maintain or to develop their professional occupations, and to identify other elements that may contribute to or impede such professional success.</w:t>
            </w:r>
          </w:p>
        </w:tc>
        <w:tc>
          <w:tcPr>
            <w:tcW w:w="1027" w:type="dxa"/>
            <w:vAlign w:val="center"/>
            <w:hideMark/>
          </w:tcPr>
          <w:p w14:paraId="6CBCB23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E0ED15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3982925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60 deaf adults. </w:t>
            </w:r>
          </w:p>
        </w:tc>
        <w:tc>
          <w:tcPr>
            <w:tcW w:w="1764" w:type="dxa"/>
            <w:vAlign w:val="center"/>
          </w:tcPr>
          <w:p w14:paraId="6135A86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6289DD6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5E002A96"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4A44B53"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8E60869"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Kumatongo</w:t>
            </w:r>
            <w:proofErr w:type="spellEnd"/>
            <w:r w:rsidRPr="003E7BC2">
              <w:rPr>
                <w:b w:val="0"/>
                <w:bCs w:val="0"/>
                <w:i/>
                <w:iCs/>
                <w:sz w:val="20"/>
                <w:szCs w:val="20"/>
                <w:lang w:val="en-US"/>
              </w:rPr>
              <w:t xml:space="preserve"> &amp; </w:t>
            </w:r>
            <w:proofErr w:type="spellStart"/>
            <w:r w:rsidRPr="003E7BC2">
              <w:rPr>
                <w:b w:val="0"/>
                <w:bCs w:val="0"/>
                <w:i/>
                <w:iCs/>
                <w:sz w:val="20"/>
                <w:szCs w:val="20"/>
                <w:lang w:val="en-US"/>
              </w:rPr>
              <w:t>Muzata</w:t>
            </w:r>
            <w:proofErr w:type="spellEnd"/>
            <w:r w:rsidRPr="003E7BC2">
              <w:rPr>
                <w:b w:val="0"/>
                <w:bCs w:val="0"/>
                <w:i/>
                <w:iCs/>
                <w:sz w:val="20"/>
                <w:szCs w:val="20"/>
                <w:lang w:val="en-US"/>
              </w:rPr>
              <w:t xml:space="preserve"> (2021)</w:t>
            </w:r>
          </w:p>
        </w:tc>
        <w:tc>
          <w:tcPr>
            <w:tcW w:w="1172" w:type="dxa"/>
            <w:vAlign w:val="center"/>
            <w:hideMark/>
          </w:tcPr>
          <w:p w14:paraId="2BDD931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Zambia</w:t>
            </w:r>
          </w:p>
        </w:tc>
        <w:tc>
          <w:tcPr>
            <w:tcW w:w="3685" w:type="dxa"/>
            <w:vAlign w:val="center"/>
          </w:tcPr>
          <w:p w14:paraId="6E6199D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To establish the perceptions of lecturers on the performance of </w:t>
            </w:r>
            <w:proofErr w:type="spellStart"/>
            <w:r w:rsidRPr="003E7BC2">
              <w:rPr>
                <w:sz w:val="20"/>
                <w:szCs w:val="20"/>
                <w:lang w:val="en-US"/>
              </w:rPr>
              <w:t>HoH</w:t>
            </w:r>
            <w:proofErr w:type="spellEnd"/>
            <w:r w:rsidRPr="003E7BC2">
              <w:rPr>
                <w:sz w:val="20"/>
                <w:szCs w:val="20"/>
                <w:lang w:val="en-US"/>
              </w:rPr>
              <w:t xml:space="preserve"> students.</w:t>
            </w:r>
          </w:p>
        </w:tc>
        <w:tc>
          <w:tcPr>
            <w:tcW w:w="1027" w:type="dxa"/>
            <w:vAlign w:val="center"/>
            <w:hideMark/>
          </w:tcPr>
          <w:p w14:paraId="315708C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72F8549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3BD21BB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4 </w:t>
            </w:r>
            <w:proofErr w:type="spellStart"/>
            <w:r w:rsidRPr="003E7BC2">
              <w:rPr>
                <w:sz w:val="20"/>
                <w:szCs w:val="20"/>
                <w:lang w:val="en-US"/>
              </w:rPr>
              <w:t>HoH</w:t>
            </w:r>
            <w:proofErr w:type="spellEnd"/>
            <w:r w:rsidRPr="003E7BC2">
              <w:rPr>
                <w:sz w:val="20"/>
                <w:szCs w:val="20"/>
                <w:lang w:val="en-US"/>
              </w:rPr>
              <w:t xml:space="preserve"> student teachers.</w:t>
            </w:r>
          </w:p>
          <w:p w14:paraId="067D327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3 lecturers.</w:t>
            </w:r>
          </w:p>
        </w:tc>
        <w:tc>
          <w:tcPr>
            <w:tcW w:w="1764" w:type="dxa"/>
            <w:vAlign w:val="center"/>
          </w:tcPr>
          <w:p w14:paraId="0C04C41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2DE2575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5F3D103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0107320E"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DEA893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Kurz et al. (2016)</w:t>
            </w:r>
          </w:p>
        </w:tc>
        <w:tc>
          <w:tcPr>
            <w:tcW w:w="1172" w:type="dxa"/>
            <w:vAlign w:val="center"/>
            <w:hideMark/>
          </w:tcPr>
          <w:p w14:paraId="599EE98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4072E00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identify the work-related risk and protective factors that may influence deaf individuals’ career success.</w:t>
            </w:r>
          </w:p>
        </w:tc>
        <w:tc>
          <w:tcPr>
            <w:tcW w:w="1027" w:type="dxa"/>
            <w:vAlign w:val="center"/>
            <w:hideMark/>
          </w:tcPr>
          <w:p w14:paraId="120A290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2AD5481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533A691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10 deaf professionals.</w:t>
            </w:r>
          </w:p>
        </w:tc>
        <w:tc>
          <w:tcPr>
            <w:tcW w:w="1764" w:type="dxa"/>
            <w:vAlign w:val="center"/>
          </w:tcPr>
          <w:p w14:paraId="02DDE0E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150915E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89AADB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7384865B"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C17FE22"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Langston (2012)</w:t>
            </w:r>
          </w:p>
        </w:tc>
        <w:tc>
          <w:tcPr>
            <w:tcW w:w="1172" w:type="dxa"/>
            <w:vAlign w:val="center"/>
            <w:hideMark/>
          </w:tcPr>
          <w:p w14:paraId="0F7D16E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4CE5466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investigate the employability difficulties of deaf individuals from the potentially self-inflicted influence as explained by Donald Super’s theory of career development.</w:t>
            </w:r>
          </w:p>
        </w:tc>
        <w:tc>
          <w:tcPr>
            <w:tcW w:w="1027" w:type="dxa"/>
            <w:vAlign w:val="center"/>
            <w:hideMark/>
          </w:tcPr>
          <w:p w14:paraId="12CA6D0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7AC600C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1918E4E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20 deaf individuals employed.</w:t>
            </w:r>
          </w:p>
        </w:tc>
        <w:tc>
          <w:tcPr>
            <w:tcW w:w="1764" w:type="dxa"/>
            <w:vAlign w:val="center"/>
          </w:tcPr>
          <w:p w14:paraId="6B13441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5D27369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4650BD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68AFAB8"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E233AEF"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Liu (2013)</w:t>
            </w:r>
          </w:p>
        </w:tc>
        <w:tc>
          <w:tcPr>
            <w:tcW w:w="1172" w:type="dxa"/>
            <w:vAlign w:val="center"/>
            <w:hideMark/>
          </w:tcPr>
          <w:p w14:paraId="6898AFA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Taiwan</w:t>
            </w:r>
          </w:p>
        </w:tc>
        <w:tc>
          <w:tcPr>
            <w:tcW w:w="3685" w:type="dxa"/>
            <w:vAlign w:val="center"/>
          </w:tcPr>
          <w:p w14:paraId="44966DE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identify the factors that may influence the academic and social adjustment of college students with hearing loss.</w:t>
            </w:r>
          </w:p>
        </w:tc>
        <w:tc>
          <w:tcPr>
            <w:tcW w:w="1027" w:type="dxa"/>
            <w:vAlign w:val="center"/>
            <w:hideMark/>
          </w:tcPr>
          <w:p w14:paraId="5A04376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6ECD37A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51DC594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132 DHH college students.</w:t>
            </w:r>
          </w:p>
        </w:tc>
        <w:tc>
          <w:tcPr>
            <w:tcW w:w="1764" w:type="dxa"/>
            <w:vAlign w:val="center"/>
          </w:tcPr>
          <w:p w14:paraId="0D59FCB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 difficulties, GPA, social difficulties, interpersonal relationship.</w:t>
            </w:r>
          </w:p>
        </w:tc>
        <w:tc>
          <w:tcPr>
            <w:tcW w:w="2212" w:type="dxa"/>
            <w:vAlign w:val="center"/>
          </w:tcPr>
          <w:p w14:paraId="5041D9D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GPA.</w:t>
            </w:r>
            <w:r w:rsidRPr="003E7BC2">
              <w:rPr>
                <w:sz w:val="20"/>
                <w:szCs w:val="20"/>
                <w:lang w:val="en-US"/>
              </w:rPr>
              <w:br/>
              <w:t>College Student Adjustment Checklist.</w:t>
            </w:r>
          </w:p>
        </w:tc>
        <w:tc>
          <w:tcPr>
            <w:tcW w:w="1131" w:type="dxa"/>
            <w:vAlign w:val="center"/>
          </w:tcPr>
          <w:p w14:paraId="094EFEA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w:t>
            </w:r>
          </w:p>
        </w:tc>
      </w:tr>
      <w:tr w:rsidR="003E7BC2" w:rsidRPr="003E7BC2" w14:paraId="64BB7AF0"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CC14056"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Liversidge (2003)</w:t>
            </w:r>
          </w:p>
        </w:tc>
        <w:tc>
          <w:tcPr>
            <w:tcW w:w="1172" w:type="dxa"/>
            <w:vAlign w:val="center"/>
            <w:hideMark/>
          </w:tcPr>
          <w:p w14:paraId="6CCDCE6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2E7410D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document the perceptions that DHH college students have regarding their experiences in the academic and social life of a mainstream university.</w:t>
            </w:r>
          </w:p>
        </w:tc>
        <w:tc>
          <w:tcPr>
            <w:tcW w:w="1027" w:type="dxa"/>
            <w:vAlign w:val="center"/>
            <w:hideMark/>
          </w:tcPr>
          <w:p w14:paraId="35B8118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7186468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474DAAD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10 DHH students.</w:t>
            </w:r>
          </w:p>
        </w:tc>
        <w:tc>
          <w:tcPr>
            <w:tcW w:w="1764" w:type="dxa"/>
            <w:vAlign w:val="center"/>
          </w:tcPr>
          <w:p w14:paraId="09A02B0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609EE64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AF644D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6BB93D7"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768480B"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Luckner &amp; Stewart (2003)</w:t>
            </w:r>
          </w:p>
        </w:tc>
        <w:tc>
          <w:tcPr>
            <w:tcW w:w="1172" w:type="dxa"/>
            <w:vAlign w:val="center"/>
            <w:hideMark/>
          </w:tcPr>
          <w:p w14:paraId="46A0955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98D8E5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identify alterable patterns and ingredients of success for individuals who are deaf and recommendations about raising and educating a child who is deaf.</w:t>
            </w:r>
          </w:p>
        </w:tc>
        <w:tc>
          <w:tcPr>
            <w:tcW w:w="1027" w:type="dxa"/>
            <w:vAlign w:val="center"/>
            <w:hideMark/>
          </w:tcPr>
          <w:p w14:paraId="669B26E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693050B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7D94A24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14 deaf adults.</w:t>
            </w:r>
          </w:p>
        </w:tc>
        <w:tc>
          <w:tcPr>
            <w:tcW w:w="1764" w:type="dxa"/>
            <w:vAlign w:val="center"/>
          </w:tcPr>
          <w:p w14:paraId="4A21F03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1309E61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7DCC03D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0313CD5B"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5235F0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MacLeod-Gallinger (1992)</w:t>
            </w:r>
          </w:p>
        </w:tc>
        <w:tc>
          <w:tcPr>
            <w:tcW w:w="1172" w:type="dxa"/>
            <w:vAlign w:val="center"/>
            <w:hideMark/>
          </w:tcPr>
          <w:p w14:paraId="29011A5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2A5C0EB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status of deaf high school graduates in postsecondary education, labor force activities, occupations, and socioeconomic levels, and compared with national peer data.</w:t>
            </w:r>
          </w:p>
        </w:tc>
        <w:tc>
          <w:tcPr>
            <w:tcW w:w="1027" w:type="dxa"/>
            <w:vAlign w:val="center"/>
            <w:hideMark/>
          </w:tcPr>
          <w:p w14:paraId="28AD422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9D0549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684A376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4,917 deaf high school graduates.</w:t>
            </w:r>
          </w:p>
        </w:tc>
        <w:tc>
          <w:tcPr>
            <w:tcW w:w="1764" w:type="dxa"/>
            <w:vAlign w:val="center"/>
          </w:tcPr>
          <w:p w14:paraId="023CC27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6FFC0FD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33F96E9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41B2E21"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9B9C84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Macleod-Gallinger (1992/2019)</w:t>
            </w:r>
          </w:p>
        </w:tc>
        <w:tc>
          <w:tcPr>
            <w:tcW w:w="1172" w:type="dxa"/>
            <w:vAlign w:val="center"/>
            <w:hideMark/>
          </w:tcPr>
          <w:p w14:paraId="5744B8F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2799C0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investigate the employment attainments of deaf adults one and ten years after graduation from high school.</w:t>
            </w:r>
          </w:p>
        </w:tc>
        <w:tc>
          <w:tcPr>
            <w:tcW w:w="1027" w:type="dxa"/>
            <w:vAlign w:val="center"/>
            <w:hideMark/>
          </w:tcPr>
          <w:p w14:paraId="0E6465E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3CA63E3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50AC9E2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2,001 deaf adults who have graduated from high school.</w:t>
            </w:r>
          </w:p>
        </w:tc>
        <w:tc>
          <w:tcPr>
            <w:tcW w:w="1764" w:type="dxa"/>
            <w:vAlign w:val="center"/>
          </w:tcPr>
          <w:p w14:paraId="093C8C3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72DC2DD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03D66CD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3DC77C0"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1C58BA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Mousley &amp; Chaudoir (2018)</w:t>
            </w:r>
          </w:p>
        </w:tc>
        <w:tc>
          <w:tcPr>
            <w:tcW w:w="1172" w:type="dxa"/>
            <w:vAlign w:val="center"/>
            <w:hideMark/>
          </w:tcPr>
          <w:p w14:paraId="028B02C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29F5300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degree to which stigma is associated with poorer psychological, physical, and behavioral health among deaf emerging adults.</w:t>
            </w:r>
          </w:p>
        </w:tc>
        <w:tc>
          <w:tcPr>
            <w:tcW w:w="1027" w:type="dxa"/>
            <w:vAlign w:val="center"/>
            <w:hideMark/>
          </w:tcPr>
          <w:p w14:paraId="3E3F6F4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229DE51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E6B8B5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171 deaf emerging adults.</w:t>
            </w:r>
          </w:p>
        </w:tc>
        <w:tc>
          <w:tcPr>
            <w:tcW w:w="1764" w:type="dxa"/>
            <w:vAlign w:val="center"/>
          </w:tcPr>
          <w:p w14:paraId="1ECC469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Depressive symptoms, anxiety symptoms, quality of life, alcohol use, anticipated stigma, enacted stigma, internalized stigma.</w:t>
            </w:r>
          </w:p>
        </w:tc>
        <w:tc>
          <w:tcPr>
            <w:tcW w:w="2212" w:type="dxa"/>
            <w:vAlign w:val="center"/>
          </w:tcPr>
          <w:p w14:paraId="1DBDEAF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10-item CESD.</w:t>
            </w:r>
            <w:r w:rsidRPr="003E7BC2">
              <w:rPr>
                <w:sz w:val="20"/>
                <w:szCs w:val="20"/>
                <w:lang w:val="en-US"/>
              </w:rPr>
              <w:br/>
              <w:t>6-item STAI-T.</w:t>
            </w:r>
            <w:r w:rsidRPr="003E7BC2">
              <w:rPr>
                <w:sz w:val="20"/>
                <w:szCs w:val="20"/>
                <w:lang w:val="en-US"/>
              </w:rPr>
              <w:br/>
              <w:t>26-item WHOQOL.</w:t>
            </w:r>
            <w:r w:rsidRPr="003E7BC2">
              <w:rPr>
                <w:sz w:val="20"/>
                <w:szCs w:val="20"/>
                <w:lang w:val="en-US"/>
              </w:rPr>
              <w:br/>
              <w:t>10-item AUDIT.</w:t>
            </w:r>
            <w:r w:rsidRPr="003E7BC2">
              <w:rPr>
                <w:sz w:val="20"/>
                <w:szCs w:val="20"/>
                <w:lang w:val="en-US"/>
              </w:rPr>
              <w:br/>
              <w:t>HIV Stigma Scale.</w:t>
            </w:r>
          </w:p>
        </w:tc>
        <w:tc>
          <w:tcPr>
            <w:tcW w:w="1131" w:type="dxa"/>
            <w:vAlign w:val="center"/>
          </w:tcPr>
          <w:p w14:paraId="19EC288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Mixed</w:t>
            </w:r>
          </w:p>
        </w:tc>
      </w:tr>
      <w:tr w:rsidR="003E7BC2" w:rsidRPr="003E7BC2" w14:paraId="74B3BC78"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BEAC204"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Omar (2015)</w:t>
            </w:r>
          </w:p>
        </w:tc>
        <w:tc>
          <w:tcPr>
            <w:tcW w:w="1172" w:type="dxa"/>
            <w:vAlign w:val="center"/>
            <w:hideMark/>
          </w:tcPr>
          <w:p w14:paraId="4821CEF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540CFC4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evaluate the effectiveness of using Community-based Technologies to enhance educational experience for DHH students in higher education.</w:t>
            </w:r>
          </w:p>
        </w:tc>
        <w:tc>
          <w:tcPr>
            <w:tcW w:w="1027" w:type="dxa"/>
            <w:vAlign w:val="center"/>
            <w:hideMark/>
          </w:tcPr>
          <w:p w14:paraId="1137B60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214F93F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04EB7D7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30 DHH participants.</w:t>
            </w:r>
          </w:p>
        </w:tc>
        <w:tc>
          <w:tcPr>
            <w:tcW w:w="1764" w:type="dxa"/>
            <w:vAlign w:val="center"/>
          </w:tcPr>
          <w:p w14:paraId="5939DE5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1C13260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5A637B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D7160A2"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E523DC2"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Palmer et al. (2020)</w:t>
            </w:r>
          </w:p>
        </w:tc>
        <w:tc>
          <w:tcPr>
            <w:tcW w:w="1172" w:type="dxa"/>
            <w:vAlign w:val="center"/>
            <w:hideMark/>
          </w:tcPr>
          <w:p w14:paraId="2418003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47CBFA9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describe the employment, income support and socio-community outcomes of deaf young adults after post-secondary education.</w:t>
            </w:r>
          </w:p>
        </w:tc>
        <w:tc>
          <w:tcPr>
            <w:tcW w:w="1027" w:type="dxa"/>
            <w:vAlign w:val="center"/>
            <w:hideMark/>
          </w:tcPr>
          <w:p w14:paraId="7758714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6FF950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6040EE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140 deaf postsecondary school graduates.</w:t>
            </w:r>
          </w:p>
          <w:p w14:paraId="44BD391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90 deaf </w:t>
            </w:r>
            <w:proofErr w:type="spellStart"/>
            <w:r w:rsidRPr="003E7BC2">
              <w:rPr>
                <w:sz w:val="20"/>
                <w:szCs w:val="20"/>
                <w:lang w:val="en-US"/>
              </w:rPr>
              <w:t>noncompleters</w:t>
            </w:r>
            <w:proofErr w:type="spellEnd"/>
            <w:r w:rsidRPr="003E7BC2">
              <w:rPr>
                <w:sz w:val="20"/>
                <w:szCs w:val="20"/>
                <w:lang w:val="en-US"/>
              </w:rPr>
              <w:t xml:space="preserve"> postsecondary.</w:t>
            </w:r>
          </w:p>
          <w:p w14:paraId="2A45156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230 deaf </w:t>
            </w:r>
            <w:proofErr w:type="spellStart"/>
            <w:r w:rsidRPr="003E7BC2">
              <w:rPr>
                <w:sz w:val="20"/>
                <w:szCs w:val="20"/>
                <w:lang w:val="en-US"/>
              </w:rPr>
              <w:t>nonattendees</w:t>
            </w:r>
            <w:proofErr w:type="spellEnd"/>
            <w:r w:rsidRPr="003E7BC2">
              <w:rPr>
                <w:sz w:val="20"/>
                <w:szCs w:val="20"/>
                <w:lang w:val="en-US"/>
              </w:rPr>
              <w:t xml:space="preserve"> postsecondary.</w:t>
            </w:r>
          </w:p>
        </w:tc>
        <w:tc>
          <w:tcPr>
            <w:tcW w:w="1764" w:type="dxa"/>
            <w:vAlign w:val="center"/>
          </w:tcPr>
          <w:p w14:paraId="3752102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Employment-related outcomes, income assistance, community engagement.</w:t>
            </w:r>
          </w:p>
        </w:tc>
        <w:tc>
          <w:tcPr>
            <w:tcW w:w="2212" w:type="dxa"/>
            <w:vAlign w:val="center"/>
          </w:tcPr>
          <w:p w14:paraId="6242101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NLTS2.</w:t>
            </w:r>
            <w:r w:rsidRPr="003E7BC2">
              <w:rPr>
                <w:sz w:val="20"/>
                <w:szCs w:val="20"/>
                <w:lang w:val="en-US"/>
              </w:rPr>
              <w:br/>
              <w:t>Interviews with parents.</w:t>
            </w:r>
          </w:p>
        </w:tc>
        <w:tc>
          <w:tcPr>
            <w:tcW w:w="1131" w:type="dxa"/>
            <w:vAlign w:val="center"/>
          </w:tcPr>
          <w:p w14:paraId="1B711CF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Objective</w:t>
            </w:r>
          </w:p>
        </w:tc>
      </w:tr>
      <w:tr w:rsidR="003E7BC2" w:rsidRPr="003E7BC2" w14:paraId="77D7CEDA"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195216F"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Parving &amp; Christensen (1993)</w:t>
            </w:r>
          </w:p>
        </w:tc>
        <w:tc>
          <w:tcPr>
            <w:tcW w:w="1172" w:type="dxa"/>
            <w:vAlign w:val="center"/>
            <w:hideMark/>
          </w:tcPr>
          <w:p w14:paraId="31307F7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Denmark</w:t>
            </w:r>
          </w:p>
        </w:tc>
        <w:tc>
          <w:tcPr>
            <w:tcW w:w="3685" w:type="dxa"/>
            <w:vAlign w:val="center"/>
          </w:tcPr>
          <w:p w14:paraId="2C96871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To evaluate the training and the employment situation in </w:t>
            </w:r>
            <w:proofErr w:type="spellStart"/>
            <w:r w:rsidRPr="003E7BC2">
              <w:rPr>
                <w:sz w:val="20"/>
                <w:szCs w:val="20"/>
                <w:lang w:val="en-US"/>
              </w:rPr>
              <w:t>HoH</w:t>
            </w:r>
            <w:proofErr w:type="spellEnd"/>
            <w:r w:rsidRPr="003E7BC2">
              <w:rPr>
                <w:sz w:val="20"/>
                <w:szCs w:val="20"/>
                <w:lang w:val="en-US"/>
              </w:rPr>
              <w:t xml:space="preserve"> subjects born between 1955 and 1970.</w:t>
            </w:r>
          </w:p>
        </w:tc>
        <w:tc>
          <w:tcPr>
            <w:tcW w:w="1027" w:type="dxa"/>
            <w:vAlign w:val="center"/>
            <w:hideMark/>
          </w:tcPr>
          <w:p w14:paraId="25C86FA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570BA7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20ADCAF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 xml:space="preserve">288 </w:t>
            </w:r>
            <w:proofErr w:type="spellStart"/>
            <w:r w:rsidRPr="003E7BC2">
              <w:rPr>
                <w:sz w:val="20"/>
                <w:szCs w:val="20"/>
                <w:lang w:val="en-US"/>
              </w:rPr>
              <w:t>HoH</w:t>
            </w:r>
            <w:proofErr w:type="spellEnd"/>
            <w:r w:rsidRPr="003E7BC2">
              <w:rPr>
                <w:sz w:val="20"/>
                <w:szCs w:val="20"/>
                <w:lang w:val="en-US"/>
              </w:rPr>
              <w:t xml:space="preserve"> subjects.</w:t>
            </w:r>
          </w:p>
        </w:tc>
        <w:tc>
          <w:tcPr>
            <w:tcW w:w="1764" w:type="dxa"/>
            <w:vAlign w:val="center"/>
          </w:tcPr>
          <w:p w14:paraId="4650ED0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29A20A5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872D16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083C813C"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D27861F"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Perkins-Dock et al. (2015)</w:t>
            </w:r>
          </w:p>
        </w:tc>
        <w:tc>
          <w:tcPr>
            <w:tcW w:w="1172" w:type="dxa"/>
            <w:vAlign w:val="center"/>
            <w:hideMark/>
          </w:tcPr>
          <w:p w14:paraId="60510FB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20D542D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identify working age deaf people's perceptions of barriers to and retention in employment and explore the relationship between their characteristics and employment</w:t>
            </w:r>
          </w:p>
        </w:tc>
        <w:tc>
          <w:tcPr>
            <w:tcW w:w="1027" w:type="dxa"/>
            <w:vAlign w:val="center"/>
            <w:hideMark/>
          </w:tcPr>
          <w:p w14:paraId="3071032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7A929D9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5B5CE4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125 deaf adults.</w:t>
            </w:r>
          </w:p>
        </w:tc>
        <w:tc>
          <w:tcPr>
            <w:tcW w:w="1764" w:type="dxa"/>
            <w:vAlign w:val="center"/>
          </w:tcPr>
          <w:p w14:paraId="0AB75AD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724331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02C98694"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F4AAC7D"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4368762"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Punch &amp; Duncan (2022)</w:t>
            </w:r>
          </w:p>
        </w:tc>
        <w:tc>
          <w:tcPr>
            <w:tcW w:w="1172" w:type="dxa"/>
            <w:vAlign w:val="center"/>
            <w:hideMark/>
          </w:tcPr>
          <w:p w14:paraId="0AF487F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Australia</w:t>
            </w:r>
          </w:p>
        </w:tc>
        <w:tc>
          <w:tcPr>
            <w:tcW w:w="3685" w:type="dxa"/>
            <w:vAlign w:val="center"/>
          </w:tcPr>
          <w:p w14:paraId="6211FE3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the role of social capital resources in facilitating the attainment of postsecondary education.</w:t>
            </w:r>
          </w:p>
        </w:tc>
        <w:tc>
          <w:tcPr>
            <w:tcW w:w="1027" w:type="dxa"/>
            <w:vAlign w:val="center"/>
            <w:hideMark/>
          </w:tcPr>
          <w:p w14:paraId="67526B7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5FF2AB5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7BA34DD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10 DHH university students.</w:t>
            </w:r>
          </w:p>
        </w:tc>
        <w:tc>
          <w:tcPr>
            <w:tcW w:w="1764" w:type="dxa"/>
            <w:vAlign w:val="center"/>
          </w:tcPr>
          <w:p w14:paraId="42EF18C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6995C5E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31D54F2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B2111BB"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EC8140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Punch (2016)</w:t>
            </w:r>
          </w:p>
        </w:tc>
        <w:tc>
          <w:tcPr>
            <w:tcW w:w="1172" w:type="dxa"/>
            <w:vAlign w:val="center"/>
            <w:hideMark/>
          </w:tcPr>
          <w:p w14:paraId="6CB4F12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3685" w:type="dxa"/>
            <w:vAlign w:val="center"/>
          </w:tcPr>
          <w:p w14:paraId="7493A61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explore the status and experiences of barriers and challenges, facilitators and accommodations, and levels of stress and fatigue in the workplace for adults who are DHH.</w:t>
            </w:r>
          </w:p>
        </w:tc>
        <w:tc>
          <w:tcPr>
            <w:tcW w:w="1027" w:type="dxa"/>
            <w:vAlign w:val="center"/>
            <w:hideMark/>
          </w:tcPr>
          <w:p w14:paraId="5F57298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2DE0046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 (integrative review)</w:t>
            </w:r>
          </w:p>
        </w:tc>
        <w:tc>
          <w:tcPr>
            <w:tcW w:w="1725" w:type="dxa"/>
            <w:vAlign w:val="center"/>
            <w:hideMark/>
          </w:tcPr>
          <w:p w14:paraId="06164C7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1764" w:type="dxa"/>
            <w:vAlign w:val="center"/>
          </w:tcPr>
          <w:p w14:paraId="207F878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577E54C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486316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FF82BFC"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EB21550"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Punch et al. (2007)</w:t>
            </w:r>
          </w:p>
        </w:tc>
        <w:tc>
          <w:tcPr>
            <w:tcW w:w="1172" w:type="dxa"/>
            <w:vAlign w:val="center"/>
            <w:hideMark/>
          </w:tcPr>
          <w:p w14:paraId="20E88AD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Australia</w:t>
            </w:r>
          </w:p>
        </w:tc>
        <w:tc>
          <w:tcPr>
            <w:tcW w:w="3685" w:type="dxa"/>
            <w:vAlign w:val="center"/>
          </w:tcPr>
          <w:p w14:paraId="1423E9E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the employment experiences of DHH individuals, focusing on the barriers and difficulties they faced in their careers and workplaces.</w:t>
            </w:r>
          </w:p>
        </w:tc>
        <w:tc>
          <w:tcPr>
            <w:tcW w:w="1027" w:type="dxa"/>
            <w:vAlign w:val="center"/>
            <w:hideMark/>
          </w:tcPr>
          <w:p w14:paraId="40CFE29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02344E6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Mixed</w:t>
            </w:r>
          </w:p>
        </w:tc>
        <w:tc>
          <w:tcPr>
            <w:tcW w:w="1725" w:type="dxa"/>
            <w:vAlign w:val="center"/>
            <w:hideMark/>
          </w:tcPr>
          <w:p w14:paraId="2BB0FBA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54 DHH people.</w:t>
            </w:r>
          </w:p>
        </w:tc>
        <w:tc>
          <w:tcPr>
            <w:tcW w:w="1764" w:type="dxa"/>
            <w:vAlign w:val="center"/>
          </w:tcPr>
          <w:p w14:paraId="3FB2B93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46776BE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6E72AA3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B8E7DD9"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EBC4B1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Richardson &amp; Woodley (2001)</w:t>
            </w:r>
          </w:p>
        </w:tc>
        <w:tc>
          <w:tcPr>
            <w:tcW w:w="1172" w:type="dxa"/>
            <w:vAlign w:val="center"/>
            <w:hideMark/>
          </w:tcPr>
          <w:p w14:paraId="0898DA4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Kingdom</w:t>
            </w:r>
          </w:p>
        </w:tc>
        <w:tc>
          <w:tcPr>
            <w:tcW w:w="3685" w:type="dxa"/>
            <w:vAlign w:val="center"/>
          </w:tcPr>
          <w:p w14:paraId="6AFB202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To evaluate academic quality perceptions in students with hearing loss compared to </w:t>
            </w:r>
            <w:r w:rsidRPr="003E7BC2">
              <w:rPr>
                <w:sz w:val="20"/>
                <w:szCs w:val="20"/>
                <w:lang w:val="en-US"/>
              </w:rPr>
              <w:lastRenderedPageBreak/>
              <w:t>age and gender-matched peers in distance learning courses without disabilities.</w:t>
            </w:r>
          </w:p>
        </w:tc>
        <w:tc>
          <w:tcPr>
            <w:tcW w:w="1027" w:type="dxa"/>
            <w:vAlign w:val="center"/>
            <w:hideMark/>
          </w:tcPr>
          <w:p w14:paraId="3F0E294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lastRenderedPageBreak/>
              <w:t>Academic</w:t>
            </w:r>
          </w:p>
        </w:tc>
        <w:tc>
          <w:tcPr>
            <w:tcW w:w="1205" w:type="dxa"/>
            <w:vAlign w:val="center"/>
            <w:hideMark/>
          </w:tcPr>
          <w:p w14:paraId="1D5254D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7A8DCA5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 xml:space="preserve">265 </w:t>
            </w:r>
            <w:proofErr w:type="spellStart"/>
            <w:r w:rsidRPr="003E7BC2">
              <w:rPr>
                <w:sz w:val="20"/>
                <w:szCs w:val="20"/>
                <w:lang w:val="en-US"/>
              </w:rPr>
              <w:t>HoH</w:t>
            </w:r>
            <w:proofErr w:type="spellEnd"/>
            <w:r w:rsidRPr="003E7BC2">
              <w:rPr>
                <w:sz w:val="20"/>
                <w:szCs w:val="20"/>
                <w:lang w:val="en-US"/>
              </w:rPr>
              <w:t xml:space="preserve"> students.</w:t>
            </w:r>
          </w:p>
          <w:p w14:paraId="2C977C3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178 students with no disability.</w:t>
            </w:r>
          </w:p>
        </w:tc>
        <w:tc>
          <w:tcPr>
            <w:tcW w:w="1764" w:type="dxa"/>
            <w:vAlign w:val="center"/>
          </w:tcPr>
          <w:p w14:paraId="4A84138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47EE16E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3F2901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FD901DB"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47ED038"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Rogers et al. (2003)</w:t>
            </w:r>
          </w:p>
        </w:tc>
        <w:tc>
          <w:tcPr>
            <w:tcW w:w="1172" w:type="dxa"/>
            <w:vAlign w:val="center"/>
            <w:hideMark/>
          </w:tcPr>
          <w:p w14:paraId="1006946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3685" w:type="dxa"/>
            <w:vAlign w:val="center"/>
          </w:tcPr>
          <w:p w14:paraId="6778767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understand protective resources that contribute to exemplary work and social experiences in adulthood among deaf former community college students.</w:t>
            </w:r>
          </w:p>
        </w:tc>
        <w:tc>
          <w:tcPr>
            <w:tcW w:w="1027" w:type="dxa"/>
            <w:vAlign w:val="center"/>
            <w:hideMark/>
          </w:tcPr>
          <w:p w14:paraId="1365391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Life</w:t>
            </w:r>
          </w:p>
        </w:tc>
        <w:tc>
          <w:tcPr>
            <w:tcW w:w="1205" w:type="dxa"/>
            <w:vAlign w:val="center"/>
            <w:hideMark/>
          </w:tcPr>
          <w:p w14:paraId="2D4B6E3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41CEEA9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 college deaf students.</w:t>
            </w:r>
          </w:p>
        </w:tc>
        <w:tc>
          <w:tcPr>
            <w:tcW w:w="1764" w:type="dxa"/>
            <w:vAlign w:val="center"/>
          </w:tcPr>
          <w:p w14:paraId="3A09D9A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26EFA3C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5269CC8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0330FB15"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3291716"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Rosengreen &amp; Saladin (2010)</w:t>
            </w:r>
          </w:p>
        </w:tc>
        <w:tc>
          <w:tcPr>
            <w:tcW w:w="1172" w:type="dxa"/>
            <w:vAlign w:val="center"/>
            <w:hideMark/>
          </w:tcPr>
          <w:p w14:paraId="5A67696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Australia</w:t>
            </w:r>
          </w:p>
        </w:tc>
        <w:tc>
          <w:tcPr>
            <w:tcW w:w="3685" w:type="dxa"/>
            <w:vAlign w:val="center"/>
          </w:tcPr>
          <w:p w14:paraId="4C42858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investigate workplace behavior expectations of deaf workers and their hearing employers, and to highlight the importance of utilizing Correspondence Theory for successful job placements.</w:t>
            </w:r>
          </w:p>
        </w:tc>
        <w:tc>
          <w:tcPr>
            <w:tcW w:w="1027" w:type="dxa"/>
            <w:vAlign w:val="center"/>
            <w:hideMark/>
          </w:tcPr>
          <w:p w14:paraId="2F09945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D8C909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3493D98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24 deaf adults who had experienced long-term unemployment.</w:t>
            </w:r>
          </w:p>
        </w:tc>
        <w:tc>
          <w:tcPr>
            <w:tcW w:w="1764" w:type="dxa"/>
            <w:vAlign w:val="center"/>
          </w:tcPr>
          <w:p w14:paraId="270D06B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39C802F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927493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E5E2330"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91D1346"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Rydberg et al. (2009)</w:t>
            </w:r>
          </w:p>
        </w:tc>
        <w:tc>
          <w:tcPr>
            <w:tcW w:w="1172" w:type="dxa"/>
            <w:vAlign w:val="center"/>
            <w:hideMark/>
          </w:tcPr>
          <w:p w14:paraId="3B79123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Sweden</w:t>
            </w:r>
          </w:p>
        </w:tc>
        <w:tc>
          <w:tcPr>
            <w:tcW w:w="3685" w:type="dxa"/>
            <w:vAlign w:val="center"/>
          </w:tcPr>
          <w:p w14:paraId="2EBC91C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describe and analyze levels of educational attainment among people that have attended special schools for deaf people as compared to the rest of the population.</w:t>
            </w:r>
          </w:p>
        </w:tc>
        <w:tc>
          <w:tcPr>
            <w:tcW w:w="1027" w:type="dxa"/>
            <w:vAlign w:val="center"/>
            <w:hideMark/>
          </w:tcPr>
          <w:p w14:paraId="133146A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646F3EF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ACF779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2,144 deaf people.</w:t>
            </w:r>
          </w:p>
          <w:p w14:paraId="242B272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100,000 randomly hearing individuals.</w:t>
            </w:r>
          </w:p>
        </w:tc>
        <w:tc>
          <w:tcPr>
            <w:tcW w:w="1764" w:type="dxa"/>
            <w:vAlign w:val="center"/>
          </w:tcPr>
          <w:p w14:paraId="268AF55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3BF1E39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9B4F66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6FAC1D90"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C78CABE"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Rydberg et al. (2011)</w:t>
            </w:r>
          </w:p>
        </w:tc>
        <w:tc>
          <w:tcPr>
            <w:tcW w:w="1172" w:type="dxa"/>
            <w:vAlign w:val="center"/>
            <w:hideMark/>
          </w:tcPr>
          <w:p w14:paraId="0106C0D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Sweden</w:t>
            </w:r>
          </w:p>
        </w:tc>
        <w:tc>
          <w:tcPr>
            <w:tcW w:w="3685" w:type="dxa"/>
            <w:vAlign w:val="center"/>
          </w:tcPr>
          <w:p w14:paraId="7B213F4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describe and analyze the characteristics of deaf people in employment and their workplaces.</w:t>
            </w:r>
          </w:p>
        </w:tc>
        <w:tc>
          <w:tcPr>
            <w:tcW w:w="1027" w:type="dxa"/>
            <w:vAlign w:val="center"/>
            <w:hideMark/>
          </w:tcPr>
          <w:p w14:paraId="4584E5E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67497F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11F7091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2,144 deaf people.</w:t>
            </w:r>
            <w:r w:rsidRPr="003E7BC2">
              <w:rPr>
                <w:sz w:val="20"/>
                <w:szCs w:val="20"/>
                <w:lang w:val="en-US"/>
              </w:rPr>
              <w:br/>
              <w:t>100,000 randomly hearing individuals.</w:t>
            </w:r>
          </w:p>
        </w:tc>
        <w:tc>
          <w:tcPr>
            <w:tcW w:w="1764" w:type="dxa"/>
            <w:vAlign w:val="center"/>
          </w:tcPr>
          <w:p w14:paraId="4D259FA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76BE9F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1FBB06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82E6329"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38F70098"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Schley et al. (2011)</w:t>
            </w:r>
          </w:p>
        </w:tc>
        <w:tc>
          <w:tcPr>
            <w:tcW w:w="1172" w:type="dxa"/>
            <w:vAlign w:val="center"/>
            <w:hideMark/>
          </w:tcPr>
          <w:p w14:paraId="76DE949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53F8639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the economic condition of DHH alumni between 1970 and 2006, focusing on their education, income, employment, and transition with U.S. Social Security Administration disability programs.</w:t>
            </w:r>
          </w:p>
        </w:tc>
        <w:tc>
          <w:tcPr>
            <w:tcW w:w="1027" w:type="dxa"/>
            <w:vAlign w:val="center"/>
            <w:hideMark/>
          </w:tcPr>
          <w:p w14:paraId="7B116AC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663B173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3F72DD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13,477 deaf alumni.</w:t>
            </w:r>
          </w:p>
        </w:tc>
        <w:tc>
          <w:tcPr>
            <w:tcW w:w="1764" w:type="dxa"/>
            <w:vAlign w:val="center"/>
          </w:tcPr>
          <w:p w14:paraId="3CA6712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58502CD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6D583C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07219565"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469ECFE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Schroedel &amp; Geyer (2000)</w:t>
            </w:r>
          </w:p>
        </w:tc>
        <w:tc>
          <w:tcPr>
            <w:tcW w:w="1172" w:type="dxa"/>
            <w:vAlign w:val="center"/>
            <w:hideMark/>
          </w:tcPr>
          <w:p w14:paraId="559A604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E6C66B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present the findings and implications of a longitudinal survey on midcareer achievements of college-trained DHH workers.</w:t>
            </w:r>
          </w:p>
        </w:tc>
        <w:tc>
          <w:tcPr>
            <w:tcW w:w="1027" w:type="dxa"/>
            <w:vAlign w:val="center"/>
            <w:hideMark/>
          </w:tcPr>
          <w:p w14:paraId="3FACB1E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5F30B7D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B09884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240 DHH college graduates.</w:t>
            </w:r>
          </w:p>
        </w:tc>
        <w:tc>
          <w:tcPr>
            <w:tcW w:w="1764" w:type="dxa"/>
            <w:vAlign w:val="center"/>
          </w:tcPr>
          <w:p w14:paraId="67BEB99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1AE33BA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A749FC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68FE0F0"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2E6CF4D9"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Schroedel &amp; Geyer (2001)</w:t>
            </w:r>
          </w:p>
        </w:tc>
        <w:tc>
          <w:tcPr>
            <w:tcW w:w="1172" w:type="dxa"/>
            <w:vAlign w:val="center"/>
            <w:hideMark/>
          </w:tcPr>
          <w:p w14:paraId="24F9E24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216B8A0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examine the factors that contribute to the career advancement of workers with hearing loss.</w:t>
            </w:r>
          </w:p>
        </w:tc>
        <w:tc>
          <w:tcPr>
            <w:tcW w:w="1027" w:type="dxa"/>
            <w:vAlign w:val="center"/>
            <w:hideMark/>
          </w:tcPr>
          <w:p w14:paraId="359AF12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1422515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039841B8"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240 DHH college graduates.</w:t>
            </w:r>
          </w:p>
        </w:tc>
        <w:tc>
          <w:tcPr>
            <w:tcW w:w="1764" w:type="dxa"/>
            <w:vAlign w:val="center"/>
          </w:tcPr>
          <w:p w14:paraId="031DD6A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2AC0C85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0D1AAB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CD66F87"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8B52D95"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Schroedel et al. (1996)</w:t>
            </w:r>
          </w:p>
        </w:tc>
        <w:tc>
          <w:tcPr>
            <w:tcW w:w="1172" w:type="dxa"/>
            <w:vAlign w:val="center"/>
            <w:hideMark/>
          </w:tcPr>
          <w:p w14:paraId="79A2712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67DC2F66"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provide information on the educational, occupational, and economic attainments of DHH graduates.</w:t>
            </w:r>
          </w:p>
        </w:tc>
        <w:tc>
          <w:tcPr>
            <w:tcW w:w="1027" w:type="dxa"/>
            <w:vAlign w:val="center"/>
            <w:hideMark/>
          </w:tcPr>
          <w:p w14:paraId="05133F7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4E77534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52C3E0AE"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325 DHH people.</w:t>
            </w:r>
          </w:p>
        </w:tc>
        <w:tc>
          <w:tcPr>
            <w:tcW w:w="1764" w:type="dxa"/>
            <w:vAlign w:val="center"/>
          </w:tcPr>
          <w:p w14:paraId="3F8F4B07"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773E20E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5807A0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88652EA"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59817A17"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Scruggs (2017)</w:t>
            </w:r>
          </w:p>
        </w:tc>
        <w:tc>
          <w:tcPr>
            <w:tcW w:w="1172" w:type="dxa"/>
            <w:vAlign w:val="center"/>
            <w:hideMark/>
          </w:tcPr>
          <w:p w14:paraId="57359B5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E957AC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identify selected factors that contribute to the psychological and emotional well-being of deaf adults.</w:t>
            </w:r>
          </w:p>
        </w:tc>
        <w:tc>
          <w:tcPr>
            <w:tcW w:w="1027" w:type="dxa"/>
            <w:vAlign w:val="center"/>
            <w:hideMark/>
          </w:tcPr>
          <w:p w14:paraId="0792F44A"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2BB27AE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79209B7E"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59 DHH individuals completed PWBS.</w:t>
            </w:r>
          </w:p>
          <w:p w14:paraId="72FA32D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10 participants completed interview.</w:t>
            </w:r>
          </w:p>
        </w:tc>
        <w:tc>
          <w:tcPr>
            <w:tcW w:w="1764" w:type="dxa"/>
            <w:vAlign w:val="center"/>
          </w:tcPr>
          <w:p w14:paraId="037D954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03D3EA8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73D8356C"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5012835E"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6427BD63"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Tanner (2018)</w:t>
            </w:r>
          </w:p>
        </w:tc>
        <w:tc>
          <w:tcPr>
            <w:tcW w:w="1172" w:type="dxa"/>
            <w:vAlign w:val="center"/>
            <w:hideMark/>
          </w:tcPr>
          <w:p w14:paraId="63996BC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0FC7E7C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gather information regarding the home, school, and community experiences of high-achieving deaf adults.</w:t>
            </w:r>
          </w:p>
        </w:tc>
        <w:tc>
          <w:tcPr>
            <w:tcW w:w="1027" w:type="dxa"/>
            <w:vAlign w:val="center"/>
            <w:hideMark/>
          </w:tcPr>
          <w:p w14:paraId="031402F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r w:rsidRPr="003E7BC2">
              <w:rPr>
                <w:sz w:val="20"/>
                <w:szCs w:val="20"/>
                <w:lang w:val="en-US"/>
              </w:rPr>
              <w:br/>
              <w:t>Life</w:t>
            </w:r>
          </w:p>
        </w:tc>
        <w:tc>
          <w:tcPr>
            <w:tcW w:w="1205" w:type="dxa"/>
            <w:vAlign w:val="center"/>
            <w:hideMark/>
          </w:tcPr>
          <w:p w14:paraId="31C22AE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00F5893D"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3 deaf adults.</w:t>
            </w:r>
          </w:p>
        </w:tc>
        <w:tc>
          <w:tcPr>
            <w:tcW w:w="1764" w:type="dxa"/>
            <w:vAlign w:val="center"/>
          </w:tcPr>
          <w:p w14:paraId="669EAA0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6FEE73B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9DAF5C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46D569AB"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14684F6"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Thompson &amp; Easterbrooks (2019)</w:t>
            </w:r>
          </w:p>
        </w:tc>
        <w:tc>
          <w:tcPr>
            <w:tcW w:w="1172" w:type="dxa"/>
            <w:vAlign w:val="center"/>
            <w:hideMark/>
          </w:tcPr>
          <w:p w14:paraId="3967CD13"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5E33278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explore the perceptions of two groups of DHH adults regarding their current life situations and the correlation between employment and life satisfaction.</w:t>
            </w:r>
          </w:p>
        </w:tc>
        <w:tc>
          <w:tcPr>
            <w:tcW w:w="1027" w:type="dxa"/>
            <w:vAlign w:val="center"/>
            <w:hideMark/>
          </w:tcPr>
          <w:p w14:paraId="6B80F0EF"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Career</w:t>
            </w:r>
            <w:r w:rsidRPr="003E7BC2">
              <w:rPr>
                <w:sz w:val="20"/>
                <w:szCs w:val="20"/>
                <w:lang w:val="en-US"/>
              </w:rPr>
              <w:br/>
              <w:t>Life</w:t>
            </w:r>
          </w:p>
        </w:tc>
        <w:tc>
          <w:tcPr>
            <w:tcW w:w="1205" w:type="dxa"/>
            <w:vAlign w:val="center"/>
            <w:hideMark/>
          </w:tcPr>
          <w:p w14:paraId="4CA8012D"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6441FB07"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22 DHH graduates.</w:t>
            </w:r>
          </w:p>
        </w:tc>
        <w:tc>
          <w:tcPr>
            <w:tcW w:w="1764" w:type="dxa"/>
            <w:vAlign w:val="center"/>
          </w:tcPr>
          <w:p w14:paraId="52483A0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37E6C309"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2AD4F55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3FAA344C"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04439526"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Torres (2019)</w:t>
            </w:r>
          </w:p>
        </w:tc>
        <w:tc>
          <w:tcPr>
            <w:tcW w:w="1172" w:type="dxa"/>
            <w:vAlign w:val="center"/>
            <w:hideMark/>
          </w:tcPr>
          <w:p w14:paraId="2FBD85FB"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14C9CA5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experiences of first-generation Latino/a college students who graduated from college and those who did not graduate.</w:t>
            </w:r>
          </w:p>
        </w:tc>
        <w:tc>
          <w:tcPr>
            <w:tcW w:w="1027" w:type="dxa"/>
            <w:vAlign w:val="center"/>
            <w:hideMark/>
          </w:tcPr>
          <w:p w14:paraId="1C647BD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Academic</w:t>
            </w:r>
          </w:p>
        </w:tc>
        <w:tc>
          <w:tcPr>
            <w:tcW w:w="1205" w:type="dxa"/>
            <w:vAlign w:val="center"/>
            <w:hideMark/>
          </w:tcPr>
          <w:p w14:paraId="55EFDA32"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Qualitative</w:t>
            </w:r>
          </w:p>
        </w:tc>
        <w:tc>
          <w:tcPr>
            <w:tcW w:w="1725" w:type="dxa"/>
            <w:vAlign w:val="center"/>
            <w:hideMark/>
          </w:tcPr>
          <w:p w14:paraId="6D928A0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11 deaf Latino/a.</w:t>
            </w:r>
          </w:p>
        </w:tc>
        <w:tc>
          <w:tcPr>
            <w:tcW w:w="1764" w:type="dxa"/>
            <w:vAlign w:val="center"/>
          </w:tcPr>
          <w:p w14:paraId="29C51A0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applicable.</w:t>
            </w:r>
          </w:p>
        </w:tc>
        <w:tc>
          <w:tcPr>
            <w:tcW w:w="2212" w:type="dxa"/>
            <w:vAlign w:val="center"/>
          </w:tcPr>
          <w:p w14:paraId="0984A4D0"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40B3755C"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r w:rsidR="003E7BC2" w:rsidRPr="003E7BC2" w14:paraId="1EBEA665" w14:textId="77777777" w:rsidTr="00093F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7FA51455" w14:textId="77777777" w:rsidR="007D4842" w:rsidRPr="003E7BC2" w:rsidRDefault="007D4842" w:rsidP="00093FF3">
            <w:pPr>
              <w:spacing w:line="240" w:lineRule="auto"/>
              <w:rPr>
                <w:b w:val="0"/>
                <w:bCs w:val="0"/>
                <w:i/>
                <w:iCs/>
                <w:sz w:val="20"/>
                <w:szCs w:val="20"/>
                <w:lang w:val="en-US"/>
              </w:rPr>
            </w:pPr>
            <w:proofErr w:type="spellStart"/>
            <w:r w:rsidRPr="003E7BC2">
              <w:rPr>
                <w:b w:val="0"/>
                <w:bCs w:val="0"/>
                <w:i/>
                <w:iCs/>
                <w:sz w:val="20"/>
                <w:szCs w:val="20"/>
                <w:lang w:val="en-US"/>
              </w:rPr>
              <w:t>Tsimpida</w:t>
            </w:r>
            <w:proofErr w:type="spellEnd"/>
            <w:r w:rsidRPr="003E7BC2">
              <w:rPr>
                <w:b w:val="0"/>
                <w:bCs w:val="0"/>
                <w:i/>
                <w:iCs/>
                <w:sz w:val="20"/>
                <w:szCs w:val="20"/>
                <w:lang w:val="en-US"/>
              </w:rPr>
              <w:t xml:space="preserve">, </w:t>
            </w:r>
            <w:proofErr w:type="spellStart"/>
            <w:r w:rsidRPr="003E7BC2">
              <w:rPr>
                <w:b w:val="0"/>
                <w:bCs w:val="0"/>
                <w:i/>
                <w:iCs/>
                <w:sz w:val="20"/>
                <w:szCs w:val="20"/>
                <w:lang w:val="en-US"/>
              </w:rPr>
              <w:t>Kaitelidou</w:t>
            </w:r>
            <w:proofErr w:type="spellEnd"/>
            <w:r w:rsidRPr="003E7BC2">
              <w:rPr>
                <w:b w:val="0"/>
                <w:bCs w:val="0"/>
                <w:i/>
                <w:iCs/>
                <w:sz w:val="20"/>
                <w:szCs w:val="20"/>
                <w:lang w:val="en-US"/>
              </w:rPr>
              <w:t xml:space="preserve"> &amp; Galanis (2018)</w:t>
            </w:r>
          </w:p>
        </w:tc>
        <w:tc>
          <w:tcPr>
            <w:tcW w:w="1172" w:type="dxa"/>
            <w:vAlign w:val="center"/>
            <w:hideMark/>
          </w:tcPr>
          <w:p w14:paraId="7B0A0114"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Greece</w:t>
            </w:r>
          </w:p>
        </w:tc>
        <w:tc>
          <w:tcPr>
            <w:tcW w:w="3685" w:type="dxa"/>
            <w:vAlign w:val="center"/>
          </w:tcPr>
          <w:p w14:paraId="49D8546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To identify the determinants of health-related quality of life among DHH of hearing adults.</w:t>
            </w:r>
          </w:p>
        </w:tc>
        <w:tc>
          <w:tcPr>
            <w:tcW w:w="1027" w:type="dxa"/>
            <w:vAlign w:val="center"/>
            <w:hideMark/>
          </w:tcPr>
          <w:p w14:paraId="0B29C75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Life</w:t>
            </w:r>
          </w:p>
        </w:tc>
        <w:tc>
          <w:tcPr>
            <w:tcW w:w="1205" w:type="dxa"/>
            <w:vAlign w:val="center"/>
            <w:hideMark/>
          </w:tcPr>
          <w:p w14:paraId="5CCFF2C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30A15DF0"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140 DHH adults.</w:t>
            </w:r>
          </w:p>
          <w:p w14:paraId="399D8905"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97 hearing participants.</w:t>
            </w:r>
          </w:p>
        </w:tc>
        <w:tc>
          <w:tcPr>
            <w:tcW w:w="1764" w:type="dxa"/>
            <w:vAlign w:val="center"/>
          </w:tcPr>
          <w:p w14:paraId="6B9E4D92"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Health-related quality of life.</w:t>
            </w:r>
          </w:p>
        </w:tc>
        <w:tc>
          <w:tcPr>
            <w:tcW w:w="2212" w:type="dxa"/>
            <w:vAlign w:val="center"/>
          </w:tcPr>
          <w:p w14:paraId="3312C231"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36-item SF-36v2.</w:t>
            </w:r>
          </w:p>
        </w:tc>
        <w:tc>
          <w:tcPr>
            <w:tcW w:w="1131" w:type="dxa"/>
            <w:vAlign w:val="center"/>
          </w:tcPr>
          <w:p w14:paraId="71B097DB" w14:textId="77777777" w:rsidR="007D4842" w:rsidRPr="003E7BC2" w:rsidRDefault="007D4842" w:rsidP="00093FF3">
            <w:pPr>
              <w:spacing w:line="24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3E7BC2">
              <w:rPr>
                <w:sz w:val="20"/>
                <w:szCs w:val="20"/>
                <w:lang w:val="en-US"/>
              </w:rPr>
              <w:t>Subjective</w:t>
            </w:r>
          </w:p>
        </w:tc>
      </w:tr>
      <w:tr w:rsidR="003E7BC2" w:rsidRPr="003E7BC2" w14:paraId="218EB523" w14:textId="77777777" w:rsidTr="00093FF3">
        <w:tc>
          <w:tcPr>
            <w:cnfStyle w:val="001000000000" w:firstRow="0" w:lastRow="0" w:firstColumn="1" w:lastColumn="0" w:oddVBand="0" w:evenVBand="0" w:oddHBand="0" w:evenHBand="0" w:firstRowFirstColumn="0" w:firstRowLastColumn="0" w:lastRowFirstColumn="0" w:lastRowLastColumn="0"/>
            <w:tcW w:w="1843" w:type="dxa"/>
            <w:vAlign w:val="center"/>
            <w:hideMark/>
          </w:tcPr>
          <w:p w14:paraId="130231A8" w14:textId="77777777" w:rsidR="007D4842" w:rsidRPr="003E7BC2" w:rsidRDefault="007D4842" w:rsidP="00093FF3">
            <w:pPr>
              <w:spacing w:line="240" w:lineRule="auto"/>
              <w:rPr>
                <w:b w:val="0"/>
                <w:bCs w:val="0"/>
                <w:i/>
                <w:iCs/>
                <w:sz w:val="20"/>
                <w:szCs w:val="20"/>
                <w:lang w:val="en-US"/>
              </w:rPr>
            </w:pPr>
            <w:r w:rsidRPr="003E7BC2">
              <w:rPr>
                <w:b w:val="0"/>
                <w:bCs w:val="0"/>
                <w:i/>
                <w:iCs/>
                <w:sz w:val="20"/>
                <w:szCs w:val="20"/>
                <w:lang w:val="en-US"/>
              </w:rPr>
              <w:t>Walter et al. (2002)</w:t>
            </w:r>
          </w:p>
        </w:tc>
        <w:tc>
          <w:tcPr>
            <w:tcW w:w="1172" w:type="dxa"/>
            <w:vAlign w:val="center"/>
            <w:hideMark/>
          </w:tcPr>
          <w:p w14:paraId="5637C00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United States</w:t>
            </w:r>
          </w:p>
        </w:tc>
        <w:tc>
          <w:tcPr>
            <w:tcW w:w="3685" w:type="dxa"/>
            <w:vAlign w:val="center"/>
          </w:tcPr>
          <w:p w14:paraId="33CE25F5"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To examine the effect of completing college on increasing employability and earnings and decreasing reliance on federal subsidies.</w:t>
            </w:r>
          </w:p>
        </w:tc>
        <w:tc>
          <w:tcPr>
            <w:tcW w:w="1027" w:type="dxa"/>
            <w:vAlign w:val="center"/>
            <w:hideMark/>
          </w:tcPr>
          <w:p w14:paraId="0692ECF1"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Career</w:t>
            </w:r>
          </w:p>
        </w:tc>
        <w:tc>
          <w:tcPr>
            <w:tcW w:w="1205" w:type="dxa"/>
            <w:vAlign w:val="center"/>
            <w:hideMark/>
          </w:tcPr>
          <w:p w14:paraId="4D989139"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Quantitative</w:t>
            </w:r>
          </w:p>
        </w:tc>
        <w:tc>
          <w:tcPr>
            <w:tcW w:w="1725" w:type="dxa"/>
            <w:vAlign w:val="center"/>
            <w:hideMark/>
          </w:tcPr>
          <w:p w14:paraId="71080FF8"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6,965 DHH individuals.</w:t>
            </w:r>
          </w:p>
        </w:tc>
        <w:tc>
          <w:tcPr>
            <w:tcW w:w="1764" w:type="dxa"/>
            <w:vAlign w:val="center"/>
          </w:tcPr>
          <w:p w14:paraId="5D599C3F"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Not reported</w:t>
            </w:r>
          </w:p>
        </w:tc>
        <w:tc>
          <w:tcPr>
            <w:tcW w:w="2212" w:type="dxa"/>
            <w:vAlign w:val="center"/>
          </w:tcPr>
          <w:p w14:paraId="51CC002A"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c>
          <w:tcPr>
            <w:tcW w:w="1131" w:type="dxa"/>
            <w:vAlign w:val="center"/>
          </w:tcPr>
          <w:p w14:paraId="1A2F3EF3" w14:textId="77777777" w:rsidR="007D4842" w:rsidRPr="003E7BC2" w:rsidRDefault="007D4842" w:rsidP="00093FF3">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3E7BC2">
              <w:rPr>
                <w:sz w:val="20"/>
                <w:szCs w:val="20"/>
                <w:lang w:val="en-US"/>
              </w:rPr>
              <w:t>---</w:t>
            </w:r>
          </w:p>
        </w:tc>
      </w:tr>
    </w:tbl>
    <w:p w14:paraId="7AC7D6C7" w14:textId="77777777" w:rsidR="007D4842" w:rsidRPr="003E7BC2" w:rsidRDefault="007D4842" w:rsidP="007D4842">
      <w:pPr>
        <w:spacing w:line="240" w:lineRule="auto"/>
        <w:rPr>
          <w:lang w:val="en-US"/>
        </w:rPr>
      </w:pPr>
    </w:p>
    <w:p w14:paraId="5F87930B" w14:textId="77777777" w:rsidR="007D4842" w:rsidRPr="003E7BC2" w:rsidRDefault="007D4842" w:rsidP="007D4842">
      <w:pPr>
        <w:spacing w:line="240" w:lineRule="auto"/>
        <w:rPr>
          <w:lang w:val="en-US"/>
        </w:rPr>
      </w:pPr>
    </w:p>
    <w:p w14:paraId="6F20E57C" w14:textId="77777777" w:rsidR="007D4842" w:rsidRPr="003E7BC2" w:rsidRDefault="007D4842" w:rsidP="007D4842">
      <w:pPr>
        <w:rPr>
          <w:i/>
          <w:iCs/>
          <w:lang w:val="en-US"/>
        </w:rPr>
        <w:sectPr w:rsidR="007D4842" w:rsidRPr="003E7BC2" w:rsidSect="007D4842">
          <w:pgSz w:w="16840" w:h="11901" w:orient="landscape" w:code="9"/>
          <w:pgMar w:top="1701" w:right="1418" w:bottom="1701" w:left="1418" w:header="709" w:footer="709" w:gutter="0"/>
          <w:cols w:space="708"/>
          <w:docGrid w:linePitch="360"/>
        </w:sectPr>
      </w:pPr>
    </w:p>
    <w:p w14:paraId="6A13262B" w14:textId="49D4AE68" w:rsidR="004F6BEB" w:rsidRPr="00A96EEA" w:rsidRDefault="00903D80" w:rsidP="00A96EEA">
      <w:pPr>
        <w:rPr>
          <w:b/>
          <w:bCs/>
          <w:lang w:val="en-US"/>
        </w:rPr>
      </w:pPr>
      <w:r w:rsidRPr="003E7BC2">
        <w:rPr>
          <w:b/>
          <w:bCs/>
          <w:lang w:val="en-US"/>
        </w:rPr>
        <w:lastRenderedPageBreak/>
        <w:t>References for Studies Included in the Scoping Review</w:t>
      </w:r>
    </w:p>
    <w:p w14:paraId="41084359" w14:textId="40647CC3" w:rsidR="00903D80" w:rsidRPr="003E7BC2" w:rsidRDefault="00903D80" w:rsidP="00903D80">
      <w:pPr>
        <w:pStyle w:val="Tabletitle"/>
        <w:spacing w:before="0" w:line="480" w:lineRule="auto"/>
        <w:ind w:left="720" w:hanging="720"/>
        <w:rPr>
          <w:lang w:val="en-US"/>
        </w:rPr>
      </w:pPr>
      <w:r w:rsidRPr="003E7BC2">
        <w:rPr>
          <w:lang w:val="en-US"/>
        </w:rPr>
        <w:t xml:space="preserve">Albertini, J. A., Kelly, R. R., &amp; Matchett, M. K. (2012). Personal factors that influence deaf college students' academic success. </w:t>
      </w:r>
      <w:r w:rsidRPr="003E7BC2">
        <w:rPr>
          <w:i/>
          <w:iCs/>
          <w:lang w:val="en-US"/>
        </w:rPr>
        <w:t>Journal of deaf studies and deaf education, 17</w:t>
      </w:r>
      <w:r w:rsidRPr="003E7BC2">
        <w:rPr>
          <w:lang w:val="en-US"/>
        </w:rPr>
        <w:t xml:space="preserve">(1), 85-101. </w:t>
      </w:r>
      <w:hyperlink r:id="rId7" w:history="1">
        <w:r w:rsidRPr="003E7BC2">
          <w:rPr>
            <w:rStyle w:val="Hipervnculo"/>
            <w:color w:val="auto"/>
            <w:lang w:val="en-US"/>
          </w:rPr>
          <w:t>https://doi.org/10.1093/deafed/enr016</w:t>
        </w:r>
      </w:hyperlink>
    </w:p>
    <w:p w14:paraId="750C7509"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Alkharji</w:t>
      </w:r>
      <w:proofErr w:type="spellEnd"/>
      <w:r w:rsidRPr="003E7BC2">
        <w:rPr>
          <w:lang w:val="en-US"/>
        </w:rPr>
        <w:t xml:space="preserve">, M., &amp; Cheong, L. S. (2022). Relationship between Educational Factors and Academic Achievement of Deaf and Hard of Hearing Students in Saudi Universities: The Mediating Role of Teaching Expertise. </w:t>
      </w:r>
      <w:r w:rsidRPr="003E7BC2">
        <w:rPr>
          <w:i/>
          <w:iCs/>
          <w:lang w:val="en-US"/>
        </w:rPr>
        <w:t>International Journal of Education and Practice, 10</w:t>
      </w:r>
      <w:r w:rsidRPr="003E7BC2">
        <w:rPr>
          <w:lang w:val="en-US"/>
        </w:rPr>
        <w:t xml:space="preserve">(2), 107-127. </w:t>
      </w:r>
      <w:hyperlink r:id="rId8" w:history="1">
        <w:r w:rsidRPr="003E7BC2">
          <w:rPr>
            <w:rStyle w:val="Hipervnculo"/>
            <w:color w:val="auto"/>
            <w:lang w:val="en-US"/>
          </w:rPr>
          <w:t>https://doi.org/10.18488/61.v10i2.2978</w:t>
        </w:r>
      </w:hyperlink>
    </w:p>
    <w:p w14:paraId="79F2E256"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Backenroth-Ohsako</w:t>
      </w:r>
      <w:proofErr w:type="spellEnd"/>
      <w:r w:rsidRPr="003E7BC2">
        <w:rPr>
          <w:lang w:val="en-US"/>
        </w:rPr>
        <w:t xml:space="preserve">, G. A., Wennberg, P., &amp; </w:t>
      </w:r>
      <w:proofErr w:type="spellStart"/>
      <w:r w:rsidRPr="003E7BC2">
        <w:rPr>
          <w:lang w:val="en-US"/>
        </w:rPr>
        <w:t>Klinteberg</w:t>
      </w:r>
      <w:proofErr w:type="spellEnd"/>
      <w:r w:rsidRPr="003E7BC2">
        <w:rPr>
          <w:lang w:val="en-US"/>
        </w:rPr>
        <w:t xml:space="preserve">, B. A. (2003). Personality and work life: A comparison between hearing-impaired people and a normal-hearing population. </w:t>
      </w:r>
      <w:r w:rsidRPr="003E7BC2">
        <w:rPr>
          <w:i/>
          <w:iCs/>
          <w:lang w:val="en-US"/>
        </w:rPr>
        <w:t>Social Behavior and Personality: an international journal, 31</w:t>
      </w:r>
      <w:r w:rsidRPr="003E7BC2">
        <w:rPr>
          <w:lang w:val="en-US"/>
        </w:rPr>
        <w:t xml:space="preserve">(2), 191-204. </w:t>
      </w:r>
      <w:hyperlink r:id="rId9" w:history="1">
        <w:r w:rsidRPr="003E7BC2">
          <w:rPr>
            <w:rStyle w:val="Hipervnculo"/>
            <w:color w:val="auto"/>
            <w:lang w:val="en-US"/>
          </w:rPr>
          <w:t>https://doi.org/10.2224/sbp.2003.31.2.191</w:t>
        </w:r>
      </w:hyperlink>
    </w:p>
    <w:p w14:paraId="75E1F80C" w14:textId="77777777" w:rsidR="00903D80" w:rsidRPr="003E7BC2" w:rsidRDefault="00903D80" w:rsidP="00903D80">
      <w:pPr>
        <w:pStyle w:val="Tabletitle"/>
        <w:spacing w:before="0" w:line="480" w:lineRule="auto"/>
        <w:ind w:left="720" w:hanging="720"/>
        <w:rPr>
          <w:lang w:val="en-US"/>
        </w:rPr>
      </w:pPr>
      <w:r w:rsidRPr="003E7BC2">
        <w:rPr>
          <w:lang w:val="en-US"/>
        </w:rPr>
        <w:t xml:space="preserve">Basha, T., </w:t>
      </w:r>
      <w:proofErr w:type="spellStart"/>
      <w:r w:rsidRPr="003E7BC2">
        <w:rPr>
          <w:lang w:val="en-US"/>
        </w:rPr>
        <w:t>Engida</w:t>
      </w:r>
      <w:proofErr w:type="spellEnd"/>
      <w:r w:rsidRPr="003E7BC2">
        <w:rPr>
          <w:lang w:val="en-US"/>
        </w:rPr>
        <w:t>, T., &amp; Tesfaye, M. (2020). Educational Practices and Challenges of Students with Hearing Impairment in Arba Minch College of Teachers Education, South Ethiopia. </w:t>
      </w:r>
      <w:r w:rsidRPr="003E7BC2">
        <w:rPr>
          <w:i/>
          <w:iCs/>
          <w:lang w:val="en-US"/>
        </w:rPr>
        <w:t>Turkish International Journal of Special Education and Guidance &amp; Counselling</w:t>
      </w:r>
      <w:r w:rsidRPr="003E7BC2">
        <w:rPr>
          <w:lang w:val="en-US"/>
        </w:rPr>
        <w:t>, </w:t>
      </w:r>
      <w:r w:rsidRPr="003E7BC2">
        <w:rPr>
          <w:i/>
          <w:iCs/>
          <w:lang w:val="en-US"/>
        </w:rPr>
        <w:t>9</w:t>
      </w:r>
      <w:r w:rsidRPr="003E7BC2">
        <w:rPr>
          <w:lang w:val="en-US"/>
        </w:rPr>
        <w:t>(1), 36-49.</w:t>
      </w:r>
    </w:p>
    <w:p w14:paraId="78F5D978" w14:textId="77777777" w:rsidR="00903D80" w:rsidRPr="003E7BC2" w:rsidRDefault="00903D80" w:rsidP="00903D80">
      <w:pPr>
        <w:pStyle w:val="Tabletitle"/>
        <w:spacing w:before="0" w:line="480" w:lineRule="auto"/>
        <w:ind w:left="720" w:hanging="720"/>
        <w:rPr>
          <w:lang w:val="en-US"/>
        </w:rPr>
      </w:pPr>
      <w:r w:rsidRPr="003E7BC2">
        <w:rPr>
          <w:lang w:val="en-US"/>
        </w:rPr>
        <w:t xml:space="preserve">Bell, D., &amp; </w:t>
      </w:r>
      <w:proofErr w:type="spellStart"/>
      <w:r w:rsidRPr="003E7BC2">
        <w:rPr>
          <w:lang w:val="en-US"/>
        </w:rPr>
        <w:t>Foiret</w:t>
      </w:r>
      <w:proofErr w:type="spellEnd"/>
      <w:r w:rsidRPr="003E7BC2">
        <w:rPr>
          <w:lang w:val="en-US"/>
        </w:rPr>
        <w:t>, J. (2020). A rapid review of the effect of assistive technology on the educational performance of students with impaired hearing. </w:t>
      </w:r>
      <w:r w:rsidRPr="003E7BC2">
        <w:rPr>
          <w:i/>
          <w:iCs/>
          <w:lang w:val="en-US"/>
        </w:rPr>
        <w:t>Disability and Rehabilitation: Assistive Technology</w:t>
      </w:r>
      <w:r w:rsidRPr="003E7BC2">
        <w:rPr>
          <w:lang w:val="en-US"/>
        </w:rPr>
        <w:t>, </w:t>
      </w:r>
      <w:r w:rsidRPr="003E7BC2">
        <w:rPr>
          <w:i/>
          <w:iCs/>
          <w:lang w:val="en-US"/>
        </w:rPr>
        <w:t>15</w:t>
      </w:r>
      <w:r w:rsidRPr="003E7BC2">
        <w:rPr>
          <w:lang w:val="en-US"/>
        </w:rPr>
        <w:t xml:space="preserve">(7), 838-843. </w:t>
      </w:r>
      <w:hyperlink r:id="rId10" w:history="1">
        <w:r w:rsidRPr="003E7BC2">
          <w:rPr>
            <w:rStyle w:val="Hipervnculo"/>
            <w:color w:val="auto"/>
            <w:lang w:val="en-US"/>
          </w:rPr>
          <w:t>https://doi.org/10.1080/17483107.2020.1775317</w:t>
        </w:r>
      </w:hyperlink>
    </w:p>
    <w:p w14:paraId="0AA4CD34" w14:textId="77777777" w:rsidR="00903D80" w:rsidRPr="003E7BC2" w:rsidRDefault="00903D80" w:rsidP="00903D80">
      <w:pPr>
        <w:pStyle w:val="Tabletitle"/>
        <w:spacing w:before="0" w:line="480" w:lineRule="auto"/>
        <w:ind w:left="720" w:hanging="720"/>
        <w:rPr>
          <w:lang w:val="en-US"/>
        </w:rPr>
      </w:pPr>
      <w:r w:rsidRPr="003E7BC2">
        <w:rPr>
          <w:lang w:val="en-US"/>
        </w:rPr>
        <w:t xml:space="preserve">Braswell-Burris, P. A. (2010). </w:t>
      </w:r>
      <w:r w:rsidRPr="003E7BC2">
        <w:rPr>
          <w:i/>
          <w:iCs/>
          <w:lang w:val="en-US"/>
        </w:rPr>
        <w:t>Factors affecting the educational and personal success of Deaf or hard of hearing individuals</w:t>
      </w:r>
      <w:r w:rsidRPr="003E7BC2">
        <w:rPr>
          <w:lang w:val="en-US"/>
        </w:rPr>
        <w:t> [Doctoral dissertation, San Diego State University].</w:t>
      </w:r>
    </w:p>
    <w:p w14:paraId="6F60FA10" w14:textId="77777777" w:rsidR="00903D80" w:rsidRPr="003E7BC2" w:rsidRDefault="00903D80" w:rsidP="00903D80">
      <w:pPr>
        <w:pStyle w:val="Tabletitle"/>
        <w:spacing w:before="0" w:line="480" w:lineRule="auto"/>
        <w:ind w:left="720" w:hanging="720"/>
        <w:rPr>
          <w:lang w:val="en-US"/>
        </w:rPr>
      </w:pPr>
      <w:r w:rsidRPr="003E7BC2">
        <w:rPr>
          <w:lang w:val="en-US"/>
        </w:rPr>
        <w:lastRenderedPageBreak/>
        <w:t>Brooks, B. A. (2011). </w:t>
      </w:r>
      <w:r w:rsidRPr="003E7BC2">
        <w:rPr>
          <w:i/>
          <w:iCs/>
          <w:lang w:val="en-US"/>
        </w:rPr>
        <w:t>It is still a hearing world: A phenomenological case study of deaf college students' experiences of academia</w:t>
      </w:r>
      <w:r w:rsidRPr="003E7BC2">
        <w:rPr>
          <w:lang w:val="en-US"/>
        </w:rPr>
        <w:t xml:space="preserve"> [Doctoral dissertation, Ohio University].</w:t>
      </w:r>
    </w:p>
    <w:p w14:paraId="76661E29" w14:textId="77777777" w:rsidR="00903D80" w:rsidRPr="003E7BC2" w:rsidRDefault="00903D80" w:rsidP="00903D80">
      <w:pPr>
        <w:pStyle w:val="Tabletitle"/>
        <w:spacing w:before="0" w:line="480" w:lineRule="auto"/>
        <w:ind w:left="720" w:hanging="720"/>
        <w:rPr>
          <w:lang w:val="en-US"/>
        </w:rPr>
      </w:pPr>
      <w:r w:rsidRPr="003E7BC2">
        <w:rPr>
          <w:lang w:val="en-US"/>
        </w:rPr>
        <w:t xml:space="preserve">Bryan, R. A. (2018). </w:t>
      </w:r>
      <w:r w:rsidRPr="003E7BC2">
        <w:rPr>
          <w:i/>
          <w:iCs/>
          <w:lang w:val="en-US"/>
        </w:rPr>
        <w:t>Experiences of Mississippi Community College Students Who Are Deaf and Hard of Hearing</w:t>
      </w:r>
      <w:r w:rsidRPr="003E7BC2">
        <w:rPr>
          <w:lang w:val="en-US"/>
        </w:rPr>
        <w:t xml:space="preserve"> [Doctoral dissertation, The University of Mississippi].</w:t>
      </w:r>
    </w:p>
    <w:p w14:paraId="46A00FE4" w14:textId="77777777" w:rsidR="00903D80" w:rsidRPr="003E7BC2" w:rsidRDefault="00903D80" w:rsidP="00903D80">
      <w:pPr>
        <w:pStyle w:val="Tabletitle"/>
        <w:spacing w:before="0" w:line="480" w:lineRule="auto"/>
        <w:ind w:left="720" w:hanging="720"/>
        <w:rPr>
          <w:lang w:val="en-US"/>
        </w:rPr>
      </w:pPr>
      <w:r w:rsidRPr="003E7BC2">
        <w:rPr>
          <w:lang w:val="en-US"/>
        </w:rPr>
        <w:t>Buckley, G. (2019). Deaf community college transfer students moving to the National Technical Institute for the Deaf: A comparative analysis. </w:t>
      </w:r>
      <w:r w:rsidRPr="003E7BC2">
        <w:rPr>
          <w:i/>
          <w:iCs/>
          <w:lang w:val="en-US"/>
        </w:rPr>
        <w:t>JADARA</w:t>
      </w:r>
      <w:r w:rsidRPr="003E7BC2">
        <w:rPr>
          <w:lang w:val="en-US"/>
        </w:rPr>
        <w:t>, </w:t>
      </w:r>
      <w:r w:rsidRPr="003E7BC2">
        <w:rPr>
          <w:i/>
          <w:iCs/>
          <w:lang w:val="en-US"/>
        </w:rPr>
        <w:t>26</w:t>
      </w:r>
      <w:r w:rsidRPr="003E7BC2">
        <w:rPr>
          <w:lang w:val="en-US"/>
        </w:rPr>
        <w:t>(3), 7.</w:t>
      </w:r>
    </w:p>
    <w:p w14:paraId="058E878E" w14:textId="77777777" w:rsidR="00903D80" w:rsidRPr="003E7BC2" w:rsidRDefault="00903D80" w:rsidP="00903D80">
      <w:pPr>
        <w:pStyle w:val="Tabletitle"/>
        <w:spacing w:before="0" w:line="480" w:lineRule="auto"/>
        <w:ind w:left="720" w:hanging="720"/>
        <w:rPr>
          <w:lang w:val="en-US"/>
        </w:rPr>
      </w:pPr>
      <w:r w:rsidRPr="003E7BC2">
        <w:rPr>
          <w:lang w:val="en-US"/>
        </w:rPr>
        <w:t>Butler, P. S. (2012). </w:t>
      </w:r>
      <w:r w:rsidRPr="003E7BC2">
        <w:rPr>
          <w:i/>
          <w:iCs/>
          <w:lang w:val="en-US"/>
        </w:rPr>
        <w:t>An ethnographic case study of a deaf workforce collective</w:t>
      </w:r>
      <w:r w:rsidRPr="003E7BC2">
        <w:rPr>
          <w:lang w:val="en-US"/>
        </w:rPr>
        <w:t xml:space="preserve"> [Doctoral dissertation, University of Arkansas].</w:t>
      </w:r>
    </w:p>
    <w:p w14:paraId="1E4A9ED1" w14:textId="77777777" w:rsidR="00903D80" w:rsidRPr="003E7BC2" w:rsidRDefault="00903D80" w:rsidP="00903D80">
      <w:pPr>
        <w:pStyle w:val="Tabletitle"/>
        <w:spacing w:before="0" w:line="480" w:lineRule="auto"/>
        <w:ind w:left="720" w:hanging="720"/>
        <w:rPr>
          <w:lang w:val="en-US"/>
        </w:rPr>
      </w:pPr>
      <w:r w:rsidRPr="003E7BC2">
        <w:rPr>
          <w:lang w:val="en-US"/>
        </w:rPr>
        <w:t xml:space="preserve">Cawthon, S. W., </w:t>
      </w:r>
      <w:proofErr w:type="spellStart"/>
      <w:r w:rsidRPr="003E7BC2">
        <w:rPr>
          <w:lang w:val="en-US"/>
        </w:rPr>
        <w:t>Caemmerer</w:t>
      </w:r>
      <w:proofErr w:type="spellEnd"/>
      <w:r w:rsidRPr="003E7BC2">
        <w:rPr>
          <w:lang w:val="en-US"/>
        </w:rPr>
        <w:t xml:space="preserve">, J. M., Dickson, D. M., </w:t>
      </w:r>
      <w:proofErr w:type="spellStart"/>
      <w:r w:rsidRPr="003E7BC2">
        <w:rPr>
          <w:lang w:val="en-US"/>
        </w:rPr>
        <w:t>Ocuto</w:t>
      </w:r>
      <w:proofErr w:type="spellEnd"/>
      <w:r w:rsidRPr="003E7BC2">
        <w:rPr>
          <w:lang w:val="en-US"/>
        </w:rPr>
        <w:t>, O. L., Ge, J., &amp; Bond, M. P. (2015). Social skills as a predictor of postsecondary outcomes for individuals who are deaf. </w:t>
      </w:r>
      <w:r w:rsidRPr="003E7BC2">
        <w:rPr>
          <w:i/>
          <w:iCs/>
          <w:lang w:val="en-US"/>
        </w:rPr>
        <w:t>Applied Developmental Science</w:t>
      </w:r>
      <w:r w:rsidRPr="003E7BC2">
        <w:rPr>
          <w:lang w:val="en-US"/>
        </w:rPr>
        <w:t>, </w:t>
      </w:r>
      <w:r w:rsidRPr="003E7BC2">
        <w:rPr>
          <w:i/>
          <w:iCs/>
          <w:lang w:val="en-US"/>
        </w:rPr>
        <w:t>19</w:t>
      </w:r>
      <w:r w:rsidRPr="003E7BC2">
        <w:rPr>
          <w:lang w:val="en-US"/>
        </w:rPr>
        <w:t xml:space="preserve">(1), 19-30. </w:t>
      </w:r>
      <w:hyperlink r:id="rId11" w:history="1">
        <w:r w:rsidRPr="003E7BC2">
          <w:rPr>
            <w:rStyle w:val="Hipervnculo"/>
            <w:color w:val="auto"/>
            <w:lang w:val="en-US"/>
          </w:rPr>
          <w:t>https://doi.org/10.1080/10888691.2014.948157</w:t>
        </w:r>
      </w:hyperlink>
    </w:p>
    <w:p w14:paraId="76C050C7" w14:textId="77777777" w:rsidR="00903D80" w:rsidRPr="003E7BC2" w:rsidRDefault="00903D80" w:rsidP="00903D80">
      <w:pPr>
        <w:pStyle w:val="Tabletitle"/>
        <w:spacing w:before="0" w:line="480" w:lineRule="auto"/>
        <w:ind w:left="720" w:hanging="720"/>
        <w:rPr>
          <w:lang w:val="en-US"/>
        </w:rPr>
      </w:pPr>
      <w:r w:rsidRPr="003E7BC2">
        <w:rPr>
          <w:lang w:val="en-US"/>
        </w:rPr>
        <w:t xml:space="preserve">Convertino, C. M., </w:t>
      </w:r>
      <w:proofErr w:type="spellStart"/>
      <w:r w:rsidRPr="003E7BC2">
        <w:rPr>
          <w:lang w:val="en-US"/>
        </w:rPr>
        <w:t>Marschark</w:t>
      </w:r>
      <w:proofErr w:type="spellEnd"/>
      <w:r w:rsidRPr="003E7BC2">
        <w:rPr>
          <w:lang w:val="en-US"/>
        </w:rPr>
        <w:t>, M., Sapere, P., Sarchet, T., &amp; Zupan, M. (2009). Predicting academic success among deaf college students. </w:t>
      </w:r>
      <w:r w:rsidRPr="003E7BC2">
        <w:rPr>
          <w:i/>
          <w:iCs/>
          <w:lang w:val="en-US"/>
        </w:rPr>
        <w:t>Journal of deaf studies and deaf education</w:t>
      </w:r>
      <w:r w:rsidRPr="003E7BC2">
        <w:rPr>
          <w:lang w:val="en-US"/>
        </w:rPr>
        <w:t>, </w:t>
      </w:r>
      <w:r w:rsidRPr="003E7BC2">
        <w:rPr>
          <w:i/>
          <w:iCs/>
          <w:lang w:val="en-US"/>
        </w:rPr>
        <w:t>14</w:t>
      </w:r>
      <w:r w:rsidRPr="003E7BC2">
        <w:rPr>
          <w:lang w:val="en-US"/>
        </w:rPr>
        <w:t xml:space="preserve">(3), 324-343. </w:t>
      </w:r>
      <w:hyperlink r:id="rId12" w:history="1">
        <w:r w:rsidRPr="003E7BC2">
          <w:rPr>
            <w:rStyle w:val="Hipervnculo"/>
            <w:color w:val="auto"/>
            <w:lang w:val="en-US"/>
          </w:rPr>
          <w:t>https://doi.org/10.1093/deafed/enp005</w:t>
        </w:r>
      </w:hyperlink>
    </w:p>
    <w:p w14:paraId="4AE7E917" w14:textId="77777777" w:rsidR="00903D80" w:rsidRPr="003E7BC2" w:rsidRDefault="00903D80" w:rsidP="00903D80">
      <w:pPr>
        <w:pStyle w:val="Tabletitle"/>
        <w:spacing w:before="0" w:line="480" w:lineRule="auto"/>
        <w:ind w:left="720" w:hanging="720"/>
        <w:rPr>
          <w:lang w:val="en-US"/>
        </w:rPr>
      </w:pPr>
      <w:r w:rsidRPr="003E7BC2">
        <w:rPr>
          <w:lang w:val="en-US"/>
        </w:rPr>
        <w:t>Crowe, T. V. (2019). Factors associated with well-being in a sample of deaf adults. </w:t>
      </w:r>
      <w:r w:rsidRPr="003E7BC2">
        <w:rPr>
          <w:i/>
          <w:iCs/>
          <w:lang w:val="en-US"/>
        </w:rPr>
        <w:t>Journal of Developmental and Physical Disabilities</w:t>
      </w:r>
      <w:r w:rsidRPr="003E7BC2">
        <w:rPr>
          <w:lang w:val="en-US"/>
        </w:rPr>
        <w:t>, </w:t>
      </w:r>
      <w:r w:rsidRPr="003E7BC2">
        <w:rPr>
          <w:i/>
          <w:iCs/>
          <w:lang w:val="en-US"/>
        </w:rPr>
        <w:t>31</w:t>
      </w:r>
      <w:r w:rsidRPr="003E7BC2">
        <w:rPr>
          <w:lang w:val="en-US"/>
        </w:rPr>
        <w:t xml:space="preserve">(3), 285-298. </w:t>
      </w:r>
      <w:hyperlink r:id="rId13" w:history="1">
        <w:r w:rsidRPr="003E7BC2">
          <w:rPr>
            <w:rStyle w:val="Hipervnculo"/>
            <w:color w:val="auto"/>
            <w:lang w:val="en-US"/>
          </w:rPr>
          <w:t>https://doi.org/10.1007/s10882-018-9639-4</w:t>
        </w:r>
      </w:hyperlink>
    </w:p>
    <w:p w14:paraId="3DE5E881" w14:textId="77777777" w:rsidR="00903D80" w:rsidRPr="003E7BC2" w:rsidRDefault="00903D80" w:rsidP="00903D80">
      <w:pPr>
        <w:pStyle w:val="Tabletitle"/>
        <w:spacing w:before="0" w:line="480" w:lineRule="auto"/>
        <w:ind w:left="720" w:hanging="720"/>
        <w:rPr>
          <w:lang w:val="en-US"/>
        </w:rPr>
      </w:pPr>
      <w:r w:rsidRPr="003E7BC2">
        <w:rPr>
          <w:lang w:val="en-US"/>
        </w:rPr>
        <w:t xml:space="preserve">Cruz, F. W. S. D., &amp; </w:t>
      </w:r>
      <w:proofErr w:type="spellStart"/>
      <w:r w:rsidRPr="003E7BC2">
        <w:rPr>
          <w:lang w:val="en-US"/>
        </w:rPr>
        <w:t>Calimpusan</w:t>
      </w:r>
      <w:proofErr w:type="spellEnd"/>
      <w:r w:rsidRPr="003E7BC2">
        <w:rPr>
          <w:lang w:val="en-US"/>
        </w:rPr>
        <w:t xml:space="preserve">, E. (2018). Status and challenges of the deaf in one city in the </w:t>
      </w:r>
      <w:proofErr w:type="spellStart"/>
      <w:r w:rsidRPr="003E7BC2">
        <w:rPr>
          <w:lang w:val="en-US"/>
        </w:rPr>
        <w:t>philippines</w:t>
      </w:r>
      <w:proofErr w:type="spellEnd"/>
      <w:r w:rsidRPr="003E7BC2">
        <w:rPr>
          <w:lang w:val="en-US"/>
        </w:rPr>
        <w:t>: towards the development of support systems and socio-economic opportunities. </w:t>
      </w:r>
      <w:r w:rsidRPr="003E7BC2">
        <w:rPr>
          <w:i/>
          <w:iCs/>
          <w:lang w:val="en-US"/>
        </w:rPr>
        <w:t>Asia Pacific Journal of Multidisciplinary Research</w:t>
      </w:r>
      <w:r w:rsidRPr="003E7BC2">
        <w:rPr>
          <w:lang w:val="en-US"/>
        </w:rPr>
        <w:t>, </w:t>
      </w:r>
      <w:r w:rsidRPr="003E7BC2">
        <w:rPr>
          <w:i/>
          <w:iCs/>
          <w:lang w:val="en-US"/>
        </w:rPr>
        <w:t>6</w:t>
      </w:r>
      <w:r w:rsidRPr="003E7BC2">
        <w:rPr>
          <w:lang w:val="en-US"/>
        </w:rPr>
        <w:t>(2), 33-47.</w:t>
      </w:r>
    </w:p>
    <w:p w14:paraId="0EE60C6E" w14:textId="77777777" w:rsidR="00903D80" w:rsidRPr="003E7BC2" w:rsidRDefault="00903D80" w:rsidP="00903D80">
      <w:pPr>
        <w:pStyle w:val="Tabletitle"/>
        <w:spacing w:before="0" w:line="480" w:lineRule="auto"/>
        <w:ind w:left="720" w:hanging="720"/>
        <w:rPr>
          <w:lang w:val="en-US"/>
        </w:rPr>
      </w:pPr>
      <w:r w:rsidRPr="003E7BC2">
        <w:rPr>
          <w:lang w:val="en-US"/>
        </w:rPr>
        <w:lastRenderedPageBreak/>
        <w:t xml:space="preserve">Dammeyer, J., Crowe, K., </w:t>
      </w:r>
      <w:proofErr w:type="spellStart"/>
      <w:r w:rsidRPr="003E7BC2">
        <w:rPr>
          <w:lang w:val="en-US"/>
        </w:rPr>
        <w:t>Marschark</w:t>
      </w:r>
      <w:proofErr w:type="spellEnd"/>
      <w:r w:rsidRPr="003E7BC2">
        <w:rPr>
          <w:lang w:val="en-US"/>
        </w:rPr>
        <w:t>, M., &amp; Rosica, M. (2019). Work and employment characteristics of deaf and hard-of-hearing adults. </w:t>
      </w:r>
      <w:r w:rsidRPr="003E7BC2">
        <w:rPr>
          <w:i/>
          <w:iCs/>
          <w:lang w:val="en-US"/>
        </w:rPr>
        <w:t>The Journal of Deaf Studies and Deaf Education</w:t>
      </w:r>
      <w:r w:rsidRPr="003E7BC2">
        <w:rPr>
          <w:lang w:val="en-US"/>
        </w:rPr>
        <w:t>, </w:t>
      </w:r>
      <w:r w:rsidRPr="003E7BC2">
        <w:rPr>
          <w:i/>
          <w:iCs/>
          <w:lang w:val="en-US"/>
        </w:rPr>
        <w:t>24</w:t>
      </w:r>
      <w:r w:rsidRPr="003E7BC2">
        <w:rPr>
          <w:lang w:val="en-US"/>
        </w:rPr>
        <w:t xml:space="preserve">(4), 386-395. </w:t>
      </w:r>
      <w:hyperlink r:id="rId14" w:history="1">
        <w:r w:rsidRPr="003E7BC2">
          <w:rPr>
            <w:rStyle w:val="Hipervnculo"/>
            <w:color w:val="auto"/>
            <w:lang w:val="en-US"/>
          </w:rPr>
          <w:t>https://doi.org/10.1093/deafed/enz018</w:t>
        </w:r>
      </w:hyperlink>
      <w:r w:rsidRPr="003E7BC2">
        <w:rPr>
          <w:lang w:val="en-US"/>
        </w:rPr>
        <w:t xml:space="preserve"> </w:t>
      </w:r>
    </w:p>
    <w:p w14:paraId="2A7798C7" w14:textId="77777777" w:rsidR="00903D80" w:rsidRPr="003E7BC2" w:rsidRDefault="00903D80" w:rsidP="00903D80">
      <w:pPr>
        <w:pStyle w:val="Tabletitle"/>
        <w:spacing w:before="0" w:line="480" w:lineRule="auto"/>
        <w:ind w:left="720" w:hanging="720"/>
        <w:rPr>
          <w:lang w:val="en-US"/>
        </w:rPr>
      </w:pPr>
      <w:r w:rsidRPr="003E7BC2">
        <w:rPr>
          <w:lang w:val="en-US"/>
        </w:rPr>
        <w:t xml:space="preserve">Dammeyer, J., &amp; </w:t>
      </w:r>
      <w:proofErr w:type="spellStart"/>
      <w:r w:rsidRPr="003E7BC2">
        <w:rPr>
          <w:lang w:val="en-US"/>
        </w:rPr>
        <w:t>Marschark</w:t>
      </w:r>
      <w:proofErr w:type="spellEnd"/>
      <w:r w:rsidRPr="003E7BC2">
        <w:rPr>
          <w:lang w:val="en-US"/>
        </w:rPr>
        <w:t>, M. (2016). Level of educational attainment among deaf adults who attended bilingual–bicultural programs. </w:t>
      </w:r>
      <w:r w:rsidRPr="003E7BC2">
        <w:rPr>
          <w:i/>
          <w:iCs/>
          <w:lang w:val="en-US"/>
        </w:rPr>
        <w:t>Journal of Deaf Studies and Deaf Education</w:t>
      </w:r>
      <w:r w:rsidRPr="003E7BC2">
        <w:rPr>
          <w:lang w:val="en-US"/>
        </w:rPr>
        <w:t>, </w:t>
      </w:r>
      <w:r w:rsidRPr="003E7BC2">
        <w:rPr>
          <w:i/>
          <w:iCs/>
          <w:lang w:val="en-US"/>
        </w:rPr>
        <w:t>21</w:t>
      </w:r>
      <w:r w:rsidRPr="003E7BC2">
        <w:rPr>
          <w:lang w:val="en-US"/>
        </w:rPr>
        <w:t xml:space="preserve">(4), 394-402. </w:t>
      </w:r>
      <w:hyperlink r:id="rId15" w:history="1">
        <w:r w:rsidRPr="003E7BC2">
          <w:rPr>
            <w:rStyle w:val="Hipervnculo"/>
            <w:color w:val="auto"/>
            <w:lang w:val="en-US"/>
          </w:rPr>
          <w:t>https://doi.org/10.1093/deafed/enw036</w:t>
        </w:r>
      </w:hyperlink>
    </w:p>
    <w:p w14:paraId="492CC257"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Danermark</w:t>
      </w:r>
      <w:proofErr w:type="spellEnd"/>
      <w:r w:rsidRPr="003E7BC2">
        <w:rPr>
          <w:lang w:val="en-US"/>
        </w:rPr>
        <w:t>, B., Antonson, S., &amp; Lundström, I. (2001). Social inclusion and career development-transition from upper secondary school to work or post-secondary education among hard of hearing students. </w:t>
      </w:r>
      <w:r w:rsidRPr="003E7BC2">
        <w:rPr>
          <w:i/>
          <w:iCs/>
          <w:lang w:val="en-US"/>
        </w:rPr>
        <w:t>Scandinavian Audiology</w:t>
      </w:r>
      <w:r w:rsidRPr="003E7BC2">
        <w:rPr>
          <w:lang w:val="en-US"/>
        </w:rPr>
        <w:t>, </w:t>
      </w:r>
      <w:r w:rsidRPr="003E7BC2">
        <w:rPr>
          <w:i/>
          <w:iCs/>
          <w:lang w:val="en-US"/>
        </w:rPr>
        <w:t>30</w:t>
      </w:r>
      <w:r w:rsidRPr="003E7BC2">
        <w:rPr>
          <w:lang w:val="en-US"/>
        </w:rPr>
        <w:t xml:space="preserve">(2), 120-128. </w:t>
      </w:r>
      <w:hyperlink r:id="rId16" w:history="1">
        <w:r w:rsidRPr="003E7BC2">
          <w:rPr>
            <w:rStyle w:val="Hipervnculo"/>
            <w:color w:val="auto"/>
            <w:lang w:val="en-US"/>
          </w:rPr>
          <w:t>https://doi.org/10.1080/010503901750166880</w:t>
        </w:r>
      </w:hyperlink>
    </w:p>
    <w:p w14:paraId="55285859"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Danermark</w:t>
      </w:r>
      <w:proofErr w:type="spellEnd"/>
      <w:r w:rsidRPr="003E7BC2">
        <w:rPr>
          <w:lang w:val="en-US"/>
        </w:rPr>
        <w:t>, B., Ström-</w:t>
      </w:r>
      <w:proofErr w:type="spellStart"/>
      <w:r w:rsidRPr="003E7BC2">
        <w:rPr>
          <w:lang w:val="en-US"/>
        </w:rPr>
        <w:t>Sjölund</w:t>
      </w:r>
      <w:proofErr w:type="spellEnd"/>
      <w:r w:rsidRPr="003E7BC2">
        <w:rPr>
          <w:lang w:val="en-US"/>
        </w:rPr>
        <w:t>, L., &amp; Borg, B. (1996). Some characteristics of mainstreamed hard of hearing students in Swedish universities. </w:t>
      </w:r>
      <w:r w:rsidRPr="003E7BC2">
        <w:rPr>
          <w:i/>
          <w:iCs/>
          <w:lang w:val="en-US"/>
        </w:rPr>
        <w:t>American annals of the deaf</w:t>
      </w:r>
      <w:r w:rsidRPr="003E7BC2">
        <w:rPr>
          <w:lang w:val="en-US"/>
        </w:rPr>
        <w:t>, 359-364.</w:t>
      </w:r>
    </w:p>
    <w:p w14:paraId="07D238E2"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Doolabh</w:t>
      </w:r>
      <w:proofErr w:type="spellEnd"/>
      <w:r w:rsidRPr="003E7BC2">
        <w:rPr>
          <w:lang w:val="en-US"/>
        </w:rPr>
        <w:t>, N., &amp; Khan, N. (2020). The employment of individuals with hearing impairment in the KwaZulu-Natal private sector: Current employers’ perceptions and experiences. </w:t>
      </w:r>
      <w:r w:rsidRPr="003E7BC2">
        <w:rPr>
          <w:i/>
          <w:iCs/>
          <w:lang w:val="en-US"/>
        </w:rPr>
        <w:t>Journal of Vocational Rehabilitation</w:t>
      </w:r>
      <w:r w:rsidRPr="003E7BC2">
        <w:rPr>
          <w:lang w:val="en-US"/>
        </w:rPr>
        <w:t>, </w:t>
      </w:r>
      <w:r w:rsidRPr="003E7BC2">
        <w:rPr>
          <w:i/>
          <w:iCs/>
          <w:lang w:val="en-US"/>
        </w:rPr>
        <w:t>52</w:t>
      </w:r>
      <w:r w:rsidRPr="003E7BC2">
        <w:rPr>
          <w:lang w:val="en-US"/>
        </w:rPr>
        <w:t xml:space="preserve">(1), 109-121. </w:t>
      </w:r>
      <w:hyperlink r:id="rId17" w:history="1">
        <w:r w:rsidRPr="003E7BC2">
          <w:rPr>
            <w:rStyle w:val="Hipervnculo"/>
            <w:color w:val="auto"/>
            <w:lang w:val="en-US"/>
          </w:rPr>
          <w:t>https://doi.org/10.3233/JVR-191064</w:t>
        </w:r>
      </w:hyperlink>
    </w:p>
    <w:p w14:paraId="184F3E93" w14:textId="77777777" w:rsidR="00903D80" w:rsidRPr="003E7BC2" w:rsidRDefault="00903D80" w:rsidP="00903D80">
      <w:pPr>
        <w:pStyle w:val="Tabletitle"/>
        <w:spacing w:before="0" w:line="480" w:lineRule="auto"/>
        <w:ind w:left="720" w:hanging="720"/>
        <w:rPr>
          <w:lang w:val="en-US"/>
        </w:rPr>
      </w:pPr>
      <w:r w:rsidRPr="003E7BC2">
        <w:rPr>
          <w:lang w:val="en-US"/>
        </w:rPr>
        <w:t xml:space="preserve">Foster, S., &amp; MacLeod, J. (2004). The role of mentoring relationships in the career development of successful deaf </w:t>
      </w:r>
      <w:proofErr w:type="gramStart"/>
      <w:r w:rsidRPr="003E7BC2">
        <w:rPr>
          <w:lang w:val="en-US"/>
        </w:rPr>
        <w:t>persons</w:t>
      </w:r>
      <w:proofErr w:type="gramEnd"/>
      <w:r w:rsidRPr="003E7BC2">
        <w:rPr>
          <w:lang w:val="en-US"/>
        </w:rPr>
        <w:t>. </w:t>
      </w:r>
      <w:r w:rsidRPr="003E7BC2">
        <w:rPr>
          <w:i/>
          <w:iCs/>
          <w:lang w:val="en-US"/>
        </w:rPr>
        <w:t>Journal of Deaf Studies and Deaf Education</w:t>
      </w:r>
      <w:r w:rsidRPr="003E7BC2">
        <w:rPr>
          <w:lang w:val="en-US"/>
        </w:rPr>
        <w:t>, </w:t>
      </w:r>
      <w:r w:rsidRPr="003E7BC2">
        <w:rPr>
          <w:i/>
          <w:iCs/>
          <w:lang w:val="en-US"/>
        </w:rPr>
        <w:t>9</w:t>
      </w:r>
      <w:r w:rsidRPr="003E7BC2">
        <w:rPr>
          <w:lang w:val="en-US"/>
        </w:rPr>
        <w:t xml:space="preserve">(4), 442-458. </w:t>
      </w:r>
      <w:hyperlink r:id="rId18" w:history="1">
        <w:r w:rsidRPr="003E7BC2">
          <w:rPr>
            <w:rStyle w:val="Hipervnculo"/>
            <w:color w:val="auto"/>
            <w:lang w:val="en-US"/>
          </w:rPr>
          <w:t>https://doi.org/10.1093/deafed/enh053</w:t>
        </w:r>
      </w:hyperlink>
    </w:p>
    <w:p w14:paraId="33205602" w14:textId="77777777" w:rsidR="00903D80" w:rsidRPr="003E7BC2" w:rsidRDefault="00903D80" w:rsidP="00903D80">
      <w:pPr>
        <w:pStyle w:val="Tabletitle"/>
        <w:spacing w:before="0" w:line="480" w:lineRule="auto"/>
        <w:ind w:left="720" w:hanging="720"/>
        <w:rPr>
          <w:lang w:val="en-US"/>
        </w:rPr>
      </w:pPr>
      <w:r w:rsidRPr="003E7BC2">
        <w:rPr>
          <w:lang w:val="en-US"/>
        </w:rPr>
        <w:t>Foster, S., Long, G., &amp; Snell, K. (1999). Inclusive instruction and learning for deaf students in postsecondary education. </w:t>
      </w:r>
      <w:r w:rsidRPr="003E7BC2">
        <w:rPr>
          <w:i/>
          <w:iCs/>
          <w:lang w:val="en-US"/>
        </w:rPr>
        <w:t>Journal of deaf studies and deaf education</w:t>
      </w:r>
      <w:r w:rsidRPr="003E7BC2">
        <w:rPr>
          <w:lang w:val="en-US"/>
        </w:rPr>
        <w:t>, </w:t>
      </w:r>
      <w:r w:rsidRPr="003E7BC2">
        <w:rPr>
          <w:i/>
          <w:iCs/>
          <w:lang w:val="en-US"/>
        </w:rPr>
        <w:t>4</w:t>
      </w:r>
      <w:r w:rsidRPr="003E7BC2">
        <w:rPr>
          <w:lang w:val="en-US"/>
        </w:rPr>
        <w:t xml:space="preserve">(3), 225-235. </w:t>
      </w:r>
      <w:hyperlink r:id="rId19" w:history="1">
        <w:r w:rsidRPr="003E7BC2">
          <w:rPr>
            <w:rStyle w:val="Hipervnculo"/>
            <w:color w:val="auto"/>
            <w:lang w:val="en-US"/>
          </w:rPr>
          <w:t>https://doi.org/10.1093/deafed/4.3.225</w:t>
        </w:r>
      </w:hyperlink>
    </w:p>
    <w:p w14:paraId="7A9064F0"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lastRenderedPageBreak/>
        <w:t>Garberoglio</w:t>
      </w:r>
      <w:proofErr w:type="spellEnd"/>
      <w:r w:rsidRPr="003E7BC2">
        <w:rPr>
          <w:lang w:val="en-US"/>
        </w:rPr>
        <w:t>, C. L., Johnson, P. M., Sales, A., &amp; Cawthon, S. W. (2021). Change over Time in Educational Attainment for Deaf Individuals from 2008-2018. </w:t>
      </w:r>
      <w:r w:rsidRPr="003E7BC2">
        <w:rPr>
          <w:i/>
          <w:iCs/>
          <w:lang w:val="en-US"/>
        </w:rPr>
        <w:t>Journal of Postsecondary Education and Disability</w:t>
      </w:r>
      <w:r w:rsidRPr="003E7BC2">
        <w:rPr>
          <w:lang w:val="en-US"/>
        </w:rPr>
        <w:t>, </w:t>
      </w:r>
      <w:r w:rsidRPr="003E7BC2">
        <w:rPr>
          <w:i/>
          <w:iCs/>
          <w:lang w:val="en-US"/>
        </w:rPr>
        <w:t>34</w:t>
      </w:r>
      <w:r w:rsidRPr="003E7BC2">
        <w:rPr>
          <w:lang w:val="en-US"/>
        </w:rPr>
        <w:t>(3), 253-272.</w:t>
      </w:r>
    </w:p>
    <w:p w14:paraId="0A635032"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Garberoglio</w:t>
      </w:r>
      <w:proofErr w:type="spellEnd"/>
      <w:r w:rsidRPr="003E7BC2">
        <w:rPr>
          <w:lang w:val="en-US"/>
        </w:rPr>
        <w:t>, C. L., Schoffstall, S., Cawthon, S., Bond, M., &amp; Ge, J. (2014). The role of self-</w:t>
      </w:r>
      <w:proofErr w:type="gramStart"/>
      <w:r w:rsidRPr="003E7BC2">
        <w:rPr>
          <w:lang w:val="en-US"/>
        </w:rPr>
        <w:t>beliefs</w:t>
      </w:r>
      <w:proofErr w:type="gramEnd"/>
      <w:r w:rsidRPr="003E7BC2">
        <w:rPr>
          <w:lang w:val="en-US"/>
        </w:rPr>
        <w:t xml:space="preserve"> in predicting postschool outcomes for deaf young adults. </w:t>
      </w:r>
      <w:r w:rsidRPr="003E7BC2">
        <w:rPr>
          <w:i/>
          <w:iCs/>
          <w:lang w:val="en-US"/>
        </w:rPr>
        <w:t>Journal of Developmental and Physical Disabilities</w:t>
      </w:r>
      <w:r w:rsidRPr="003E7BC2">
        <w:rPr>
          <w:lang w:val="en-US"/>
        </w:rPr>
        <w:t>, </w:t>
      </w:r>
      <w:r w:rsidRPr="003E7BC2">
        <w:rPr>
          <w:i/>
          <w:iCs/>
          <w:lang w:val="en-US"/>
        </w:rPr>
        <w:t>26</w:t>
      </w:r>
      <w:r w:rsidRPr="003E7BC2">
        <w:rPr>
          <w:lang w:val="en-US"/>
        </w:rPr>
        <w:t xml:space="preserve">(6), 667-688. </w:t>
      </w:r>
      <w:hyperlink r:id="rId20" w:history="1">
        <w:r w:rsidRPr="003E7BC2">
          <w:rPr>
            <w:rStyle w:val="Hipervnculo"/>
            <w:color w:val="auto"/>
            <w:lang w:val="en-US"/>
          </w:rPr>
          <w:t>https://doi.org/10.1007/s10882-014-9388-y</w:t>
        </w:r>
      </w:hyperlink>
    </w:p>
    <w:p w14:paraId="1F0838E0" w14:textId="77777777" w:rsidR="00903D80" w:rsidRPr="003E7BC2" w:rsidRDefault="00903D80" w:rsidP="00903D80">
      <w:pPr>
        <w:pStyle w:val="Tabletitle"/>
        <w:spacing w:before="0" w:line="480" w:lineRule="auto"/>
        <w:ind w:left="720" w:hanging="720"/>
        <w:rPr>
          <w:lang w:val="en-US"/>
        </w:rPr>
      </w:pPr>
      <w:proofErr w:type="spellStart"/>
      <w:r w:rsidRPr="003E7BC2">
        <w:rPr>
          <w:lang w:val="en-US"/>
        </w:rPr>
        <w:t>Garramiola</w:t>
      </w:r>
      <w:proofErr w:type="spellEnd"/>
      <w:r w:rsidRPr="003E7BC2">
        <w:rPr>
          <w:lang w:val="en-US"/>
        </w:rPr>
        <w:t>-Bilbao, I., &amp; Rodríguez-Álvarez, A. (2016). Linking hearing impairment, employment and education. </w:t>
      </w:r>
      <w:r w:rsidRPr="003E7BC2">
        <w:rPr>
          <w:i/>
          <w:iCs/>
          <w:lang w:val="en-US"/>
        </w:rPr>
        <w:t>Public health</w:t>
      </w:r>
      <w:r w:rsidRPr="003E7BC2">
        <w:rPr>
          <w:lang w:val="en-US"/>
        </w:rPr>
        <w:t>, </w:t>
      </w:r>
      <w:r w:rsidRPr="003E7BC2">
        <w:rPr>
          <w:i/>
          <w:iCs/>
          <w:lang w:val="en-US"/>
        </w:rPr>
        <w:t>141</w:t>
      </w:r>
      <w:r w:rsidRPr="003E7BC2">
        <w:rPr>
          <w:lang w:val="en-US"/>
        </w:rPr>
        <w:t xml:space="preserve">, 130-135. </w:t>
      </w:r>
      <w:hyperlink r:id="rId21" w:history="1">
        <w:r w:rsidRPr="003E7BC2">
          <w:rPr>
            <w:rStyle w:val="Hipervnculo"/>
            <w:color w:val="auto"/>
            <w:lang w:val="en-US"/>
          </w:rPr>
          <w:t>https://doi.org/10.1016/j.puhe.2016.09.013</w:t>
        </w:r>
      </w:hyperlink>
    </w:p>
    <w:p w14:paraId="197AB162" w14:textId="77777777" w:rsidR="00903D80" w:rsidRPr="003E7BC2" w:rsidRDefault="00903D80" w:rsidP="00903D80">
      <w:pPr>
        <w:pStyle w:val="Tabletitle"/>
        <w:spacing w:before="0" w:line="480" w:lineRule="auto"/>
        <w:ind w:left="720" w:hanging="720"/>
        <w:rPr>
          <w:lang w:val="en-US"/>
        </w:rPr>
      </w:pPr>
      <w:r w:rsidRPr="003E7BC2">
        <w:rPr>
          <w:lang w:val="en-US"/>
        </w:rPr>
        <w:t>Geyer, P. D., &amp; Schroedel, J. G. (1998). Early career job satisfaction for full-time workers who are deaf or hard of hearing. </w:t>
      </w:r>
      <w:r w:rsidRPr="003E7BC2">
        <w:rPr>
          <w:i/>
          <w:iCs/>
          <w:lang w:val="en-US"/>
        </w:rPr>
        <w:t>Journal of Rehabilitation</w:t>
      </w:r>
      <w:r w:rsidRPr="003E7BC2">
        <w:rPr>
          <w:lang w:val="en-US"/>
        </w:rPr>
        <w:t>, </w:t>
      </w:r>
      <w:r w:rsidRPr="003E7BC2">
        <w:rPr>
          <w:i/>
          <w:iCs/>
          <w:lang w:val="en-US"/>
        </w:rPr>
        <w:t>64</w:t>
      </w:r>
      <w:r w:rsidRPr="003E7BC2">
        <w:rPr>
          <w:lang w:val="en-US"/>
        </w:rPr>
        <w:t>(1).</w:t>
      </w:r>
    </w:p>
    <w:p w14:paraId="15078AF0" w14:textId="77777777" w:rsidR="006E09C7" w:rsidRPr="003E7BC2" w:rsidRDefault="006E09C7" w:rsidP="006E09C7">
      <w:pPr>
        <w:pStyle w:val="Tabletitle"/>
        <w:spacing w:before="0" w:line="480" w:lineRule="auto"/>
        <w:ind w:left="720" w:hanging="720"/>
        <w:rPr>
          <w:lang w:val="en-US"/>
        </w:rPr>
      </w:pPr>
      <w:r w:rsidRPr="003E7BC2">
        <w:rPr>
          <w:lang w:val="en-US"/>
        </w:rPr>
        <w:t>Greene-Woods, A., Delgado, N. J., Buchanan, B., Sides, M., Behmanesh, A. A., Cheslik, B., Koo, C.K., &amp; Clark, M. D. (2020). Deaf cultural capital and its conflicts with hearing culture: Navigational successes and failures. </w:t>
      </w:r>
      <w:r w:rsidRPr="003E7BC2">
        <w:rPr>
          <w:i/>
          <w:iCs/>
          <w:lang w:val="en-US"/>
        </w:rPr>
        <w:t>JADARA</w:t>
      </w:r>
      <w:r w:rsidRPr="003E7BC2">
        <w:rPr>
          <w:lang w:val="en-US"/>
        </w:rPr>
        <w:t>, </w:t>
      </w:r>
      <w:r w:rsidRPr="003E7BC2">
        <w:rPr>
          <w:i/>
          <w:iCs/>
          <w:lang w:val="en-US"/>
        </w:rPr>
        <w:t>54</w:t>
      </w:r>
      <w:r w:rsidRPr="003E7BC2">
        <w:rPr>
          <w:lang w:val="en-US"/>
        </w:rPr>
        <w:t>(1), 15-30.</w:t>
      </w:r>
    </w:p>
    <w:p w14:paraId="1BCA3A00" w14:textId="77777777" w:rsidR="00ED5241" w:rsidRPr="003E7BC2" w:rsidRDefault="00ED5241" w:rsidP="00ED5241">
      <w:pPr>
        <w:pStyle w:val="Tabletitle"/>
        <w:spacing w:before="0" w:line="480" w:lineRule="auto"/>
        <w:ind w:left="720" w:hanging="720"/>
        <w:rPr>
          <w:lang w:val="en-US"/>
        </w:rPr>
      </w:pPr>
      <w:proofErr w:type="spellStart"/>
      <w:r w:rsidRPr="003E7BC2">
        <w:rPr>
          <w:lang w:val="en-US"/>
        </w:rPr>
        <w:t>Hefferly</w:t>
      </w:r>
      <w:proofErr w:type="spellEnd"/>
      <w:r w:rsidRPr="003E7BC2">
        <w:rPr>
          <w:lang w:val="en-US"/>
        </w:rPr>
        <w:t>, M. (2009). </w:t>
      </w:r>
      <w:r w:rsidRPr="003E7BC2">
        <w:rPr>
          <w:i/>
          <w:iCs/>
          <w:lang w:val="en-US"/>
        </w:rPr>
        <w:t>Examining the relation between hearing loss and successful aging</w:t>
      </w:r>
      <w:r w:rsidRPr="003E7BC2">
        <w:rPr>
          <w:lang w:val="en-US"/>
        </w:rPr>
        <w:t xml:space="preserve"> [Doctoral dissertation, University of Illinois at Urbana-Champaign].</w:t>
      </w:r>
    </w:p>
    <w:p w14:paraId="381FD7C2" w14:textId="77777777" w:rsidR="00ED5241" w:rsidRPr="003E7BC2" w:rsidRDefault="00ED5241" w:rsidP="00ED5241">
      <w:pPr>
        <w:pStyle w:val="Tabletitle"/>
        <w:spacing w:before="0" w:line="480" w:lineRule="auto"/>
        <w:ind w:left="720" w:hanging="720"/>
        <w:rPr>
          <w:lang w:val="en-US"/>
        </w:rPr>
      </w:pPr>
      <w:proofErr w:type="spellStart"/>
      <w:r w:rsidRPr="003E7BC2">
        <w:rPr>
          <w:lang w:val="en-US"/>
        </w:rPr>
        <w:t>Hintermair</w:t>
      </w:r>
      <w:proofErr w:type="spellEnd"/>
      <w:r w:rsidRPr="003E7BC2">
        <w:rPr>
          <w:lang w:val="en-US"/>
        </w:rPr>
        <w:t xml:space="preserve">, M., Cremer, I., </w:t>
      </w:r>
      <w:proofErr w:type="spellStart"/>
      <w:r w:rsidRPr="003E7BC2">
        <w:rPr>
          <w:lang w:val="en-US"/>
        </w:rPr>
        <w:t>Gutjhar</w:t>
      </w:r>
      <w:proofErr w:type="spellEnd"/>
      <w:r w:rsidRPr="003E7BC2">
        <w:rPr>
          <w:lang w:val="en-US"/>
        </w:rPr>
        <w:t xml:space="preserve">, A., Losch, A., &amp; </w:t>
      </w:r>
      <w:proofErr w:type="spellStart"/>
      <w:r w:rsidRPr="003E7BC2">
        <w:rPr>
          <w:lang w:val="en-US"/>
        </w:rPr>
        <w:t>Strauß</w:t>
      </w:r>
      <w:proofErr w:type="spellEnd"/>
      <w:r w:rsidRPr="003E7BC2">
        <w:rPr>
          <w:lang w:val="en-US"/>
        </w:rPr>
        <w:t>, H.C. (2018). Factors for professional success–what deaf education can learn from deaf and hard of hearing people who are successful in their career. </w:t>
      </w:r>
      <w:r w:rsidRPr="003E7BC2">
        <w:rPr>
          <w:i/>
          <w:iCs/>
          <w:lang w:val="en-US"/>
        </w:rPr>
        <w:t>The Volta Review</w:t>
      </w:r>
      <w:r w:rsidRPr="003E7BC2">
        <w:rPr>
          <w:lang w:val="en-US"/>
        </w:rPr>
        <w:t>, </w:t>
      </w:r>
      <w:r w:rsidRPr="003E7BC2">
        <w:rPr>
          <w:i/>
          <w:iCs/>
          <w:lang w:val="en-US"/>
        </w:rPr>
        <w:t>117</w:t>
      </w:r>
      <w:r w:rsidRPr="003E7BC2">
        <w:rPr>
          <w:lang w:val="en-US"/>
        </w:rPr>
        <w:t>(1/2), 32-61.</w:t>
      </w:r>
    </w:p>
    <w:p w14:paraId="38A50B70" w14:textId="77777777" w:rsidR="00ED5241" w:rsidRPr="003E7BC2" w:rsidRDefault="00ED5241" w:rsidP="00ED5241">
      <w:pPr>
        <w:pStyle w:val="Tabletitle"/>
        <w:spacing w:before="0" w:line="480" w:lineRule="auto"/>
        <w:ind w:left="720" w:hanging="720"/>
        <w:rPr>
          <w:lang w:val="en-US"/>
        </w:rPr>
      </w:pPr>
      <w:r w:rsidRPr="003E7BC2">
        <w:rPr>
          <w:lang w:val="en-US"/>
        </w:rPr>
        <w:t>Hogan, A., O'Loughlin, K., Davis, A., &amp; Kendig, H. (2009). Hearing loss and paid employment: Australian population survey findings. </w:t>
      </w:r>
      <w:r w:rsidRPr="003E7BC2">
        <w:rPr>
          <w:i/>
          <w:iCs/>
          <w:lang w:val="en-US"/>
        </w:rPr>
        <w:t>International Journal of Audiology</w:t>
      </w:r>
      <w:r w:rsidRPr="003E7BC2">
        <w:rPr>
          <w:lang w:val="en-US"/>
        </w:rPr>
        <w:t>, </w:t>
      </w:r>
      <w:r w:rsidRPr="003E7BC2">
        <w:rPr>
          <w:i/>
          <w:iCs/>
          <w:lang w:val="en-US"/>
        </w:rPr>
        <w:t>48</w:t>
      </w:r>
      <w:r w:rsidRPr="003E7BC2">
        <w:rPr>
          <w:lang w:val="en-US"/>
        </w:rPr>
        <w:t xml:space="preserve">(3), 117-122. </w:t>
      </w:r>
      <w:hyperlink r:id="rId22" w:history="1">
        <w:r w:rsidRPr="003E7BC2">
          <w:rPr>
            <w:rStyle w:val="Hipervnculo"/>
            <w:color w:val="auto"/>
            <w:lang w:val="en-US"/>
          </w:rPr>
          <w:t>https://doi.org/10.1080/14992020802449008</w:t>
        </w:r>
      </w:hyperlink>
    </w:p>
    <w:p w14:paraId="3196A917" w14:textId="77777777" w:rsidR="00EC18BB" w:rsidRPr="003E7BC2" w:rsidRDefault="00EC18BB" w:rsidP="00EC18BB">
      <w:pPr>
        <w:pStyle w:val="Tabletitle"/>
        <w:spacing w:before="0" w:line="480" w:lineRule="auto"/>
        <w:ind w:left="720" w:hanging="720"/>
        <w:rPr>
          <w:lang w:val="en-US"/>
        </w:rPr>
      </w:pPr>
      <w:proofErr w:type="spellStart"/>
      <w:r w:rsidRPr="003E7BC2">
        <w:rPr>
          <w:lang w:val="en-US"/>
        </w:rPr>
        <w:lastRenderedPageBreak/>
        <w:t>Idstad</w:t>
      </w:r>
      <w:proofErr w:type="spellEnd"/>
      <w:r w:rsidRPr="003E7BC2">
        <w:rPr>
          <w:lang w:val="en-US"/>
        </w:rPr>
        <w:t>, M., &amp; Engdahl, B. (2019). Childhood sensorineural hearing loss and educational attainment in adulthood: results from the HUNT study. </w:t>
      </w:r>
      <w:r w:rsidRPr="003E7BC2">
        <w:rPr>
          <w:i/>
          <w:iCs/>
          <w:lang w:val="en-US"/>
        </w:rPr>
        <w:t>Ear and Hearing</w:t>
      </w:r>
      <w:r w:rsidRPr="003E7BC2">
        <w:rPr>
          <w:lang w:val="en-US"/>
        </w:rPr>
        <w:t>, </w:t>
      </w:r>
      <w:r w:rsidRPr="003E7BC2">
        <w:rPr>
          <w:i/>
          <w:iCs/>
          <w:lang w:val="en-US"/>
        </w:rPr>
        <w:t>40</w:t>
      </w:r>
      <w:r w:rsidRPr="003E7BC2">
        <w:rPr>
          <w:lang w:val="en-US"/>
        </w:rPr>
        <w:t xml:space="preserve">(6), 1359-1367. </w:t>
      </w:r>
      <w:hyperlink r:id="rId23" w:history="1">
        <w:r w:rsidRPr="003E7BC2">
          <w:rPr>
            <w:rStyle w:val="Hipervnculo"/>
            <w:color w:val="auto"/>
            <w:lang w:val="en-US"/>
          </w:rPr>
          <w:t>https://doi.org/10.1097/AUD.0000000000000716</w:t>
        </w:r>
      </w:hyperlink>
    </w:p>
    <w:p w14:paraId="69515C4D" w14:textId="77777777" w:rsidR="00A102E1" w:rsidRPr="003E7BC2" w:rsidRDefault="00A102E1" w:rsidP="00A102E1">
      <w:pPr>
        <w:pStyle w:val="Tabletitle"/>
        <w:spacing w:before="0" w:line="480" w:lineRule="auto"/>
        <w:ind w:left="720" w:hanging="720"/>
        <w:rPr>
          <w:lang w:val="en-US"/>
        </w:rPr>
      </w:pPr>
      <w:r w:rsidRPr="003E7BC2">
        <w:rPr>
          <w:lang w:val="en-US"/>
        </w:rPr>
        <w:t>Jacobs, P. G., Brown, P. M., &amp; Paatsch, L. (2012). Social and Professional Participation of Individuals who are Deaf: Utilizing the Psychosocial Potential Maximization Framework. </w:t>
      </w:r>
      <w:r w:rsidRPr="003E7BC2">
        <w:rPr>
          <w:i/>
          <w:iCs/>
          <w:lang w:val="en-US"/>
        </w:rPr>
        <w:t>Volta Review</w:t>
      </w:r>
      <w:r w:rsidRPr="003E7BC2">
        <w:rPr>
          <w:lang w:val="en-US"/>
        </w:rPr>
        <w:t>, </w:t>
      </w:r>
      <w:r w:rsidRPr="003E7BC2">
        <w:rPr>
          <w:i/>
          <w:iCs/>
          <w:lang w:val="en-US"/>
        </w:rPr>
        <w:t>112</w:t>
      </w:r>
      <w:r w:rsidRPr="003E7BC2">
        <w:rPr>
          <w:lang w:val="en-US"/>
        </w:rPr>
        <w:t xml:space="preserve">(1). </w:t>
      </w:r>
      <w:hyperlink r:id="rId24" w:history="1">
        <w:r w:rsidRPr="003E7BC2">
          <w:rPr>
            <w:rStyle w:val="Hipervnculo"/>
            <w:color w:val="auto"/>
            <w:lang w:val="en-US"/>
          </w:rPr>
          <w:t>https://doi.org/10.17955/tvr.112.1.693</w:t>
        </w:r>
      </w:hyperlink>
    </w:p>
    <w:p w14:paraId="714EDFC5" w14:textId="77777777" w:rsidR="00A102E1" w:rsidRPr="003E7BC2" w:rsidRDefault="00A102E1" w:rsidP="00A102E1">
      <w:pPr>
        <w:pStyle w:val="Tabletitle"/>
        <w:spacing w:before="0" w:line="480" w:lineRule="auto"/>
        <w:ind w:left="720" w:hanging="720"/>
        <w:rPr>
          <w:lang w:val="en-US"/>
        </w:rPr>
      </w:pPr>
      <w:r w:rsidRPr="003E7BC2">
        <w:rPr>
          <w:lang w:val="en-US"/>
        </w:rPr>
        <w:t>Johnson, S. G. (2014). </w:t>
      </w:r>
      <w:r w:rsidRPr="003E7BC2">
        <w:rPr>
          <w:i/>
          <w:iCs/>
          <w:lang w:val="en-US"/>
        </w:rPr>
        <w:t>Silent voices: The experiences of deaf students in community college</w:t>
      </w:r>
      <w:r w:rsidRPr="003E7BC2">
        <w:rPr>
          <w:lang w:val="en-US"/>
        </w:rPr>
        <w:t> [Doctoral dissertation, University of North Texas].</w:t>
      </w:r>
    </w:p>
    <w:p w14:paraId="79EB74AF" w14:textId="77777777" w:rsidR="00A102E1" w:rsidRPr="003E7BC2" w:rsidRDefault="00A102E1" w:rsidP="00A102E1">
      <w:pPr>
        <w:pStyle w:val="Tabletitle"/>
        <w:spacing w:before="0" w:line="480" w:lineRule="auto"/>
        <w:ind w:left="720" w:hanging="720"/>
        <w:rPr>
          <w:lang w:val="en-US"/>
        </w:rPr>
      </w:pPr>
      <w:r w:rsidRPr="003E7BC2">
        <w:rPr>
          <w:lang w:val="en-US"/>
        </w:rPr>
        <w:t>Jung, D., &amp; Bhattacharyya, N. (2012). Association of hearing loss with decreased employment and income among adults in the United States. </w:t>
      </w:r>
      <w:r w:rsidRPr="003E7BC2">
        <w:rPr>
          <w:i/>
          <w:iCs/>
          <w:lang w:val="en-US"/>
        </w:rPr>
        <w:t>Annals of Otology, Rhinology &amp; Laryngology</w:t>
      </w:r>
      <w:r w:rsidRPr="003E7BC2">
        <w:rPr>
          <w:lang w:val="en-US"/>
        </w:rPr>
        <w:t>, </w:t>
      </w:r>
      <w:r w:rsidRPr="003E7BC2">
        <w:rPr>
          <w:i/>
          <w:iCs/>
          <w:lang w:val="en-US"/>
        </w:rPr>
        <w:t>121</w:t>
      </w:r>
      <w:r w:rsidRPr="003E7BC2">
        <w:rPr>
          <w:lang w:val="en-US"/>
        </w:rPr>
        <w:t xml:space="preserve">(12), 771-775. </w:t>
      </w:r>
      <w:hyperlink r:id="rId25" w:history="1">
        <w:r w:rsidRPr="003E7BC2">
          <w:rPr>
            <w:rStyle w:val="Hipervnculo"/>
            <w:color w:val="auto"/>
            <w:lang w:val="en-US"/>
          </w:rPr>
          <w:t>https://doi.org/10.1177/000348941212101201</w:t>
        </w:r>
      </w:hyperlink>
    </w:p>
    <w:p w14:paraId="58E861F9" w14:textId="77777777" w:rsidR="00A102E1" w:rsidRPr="003E7BC2" w:rsidRDefault="00A102E1" w:rsidP="00A102E1">
      <w:pPr>
        <w:pStyle w:val="Tabletitle"/>
        <w:spacing w:before="0" w:line="480" w:lineRule="auto"/>
        <w:ind w:left="720" w:hanging="720"/>
        <w:rPr>
          <w:lang w:val="en-US"/>
        </w:rPr>
      </w:pPr>
      <w:r w:rsidRPr="003E7BC2">
        <w:rPr>
          <w:lang w:val="en-US"/>
        </w:rPr>
        <w:t>Kim, E. J., Byrne, B., &amp; Parish, S. L. (2018). Deaf people and economic well-being: findings from the Life Opportunities Survey. </w:t>
      </w:r>
      <w:r w:rsidRPr="003E7BC2">
        <w:rPr>
          <w:i/>
          <w:iCs/>
          <w:lang w:val="en-US"/>
        </w:rPr>
        <w:t>Disability &amp; Society</w:t>
      </w:r>
      <w:r w:rsidRPr="003E7BC2">
        <w:rPr>
          <w:lang w:val="en-US"/>
        </w:rPr>
        <w:t>, </w:t>
      </w:r>
      <w:r w:rsidRPr="003E7BC2">
        <w:rPr>
          <w:i/>
          <w:iCs/>
          <w:lang w:val="en-US"/>
        </w:rPr>
        <w:t>33</w:t>
      </w:r>
      <w:r w:rsidRPr="003E7BC2">
        <w:rPr>
          <w:lang w:val="en-US"/>
        </w:rPr>
        <w:t xml:space="preserve">(3), 374-391. </w:t>
      </w:r>
      <w:hyperlink r:id="rId26" w:history="1">
        <w:r w:rsidRPr="003E7BC2">
          <w:rPr>
            <w:rStyle w:val="Hipervnculo"/>
            <w:color w:val="auto"/>
            <w:lang w:val="en-US"/>
          </w:rPr>
          <w:t>https://doi.org/10.1080/09687599.2017.1420631</w:t>
        </w:r>
      </w:hyperlink>
    </w:p>
    <w:p w14:paraId="660365CC" w14:textId="77777777" w:rsidR="00A102E1" w:rsidRPr="003E7BC2" w:rsidRDefault="00A102E1" w:rsidP="00A102E1">
      <w:pPr>
        <w:pStyle w:val="Tabletitle"/>
        <w:spacing w:before="0" w:line="480" w:lineRule="auto"/>
        <w:ind w:left="720" w:hanging="720"/>
        <w:rPr>
          <w:lang w:val="en-US"/>
        </w:rPr>
      </w:pPr>
      <w:r w:rsidRPr="003E7BC2">
        <w:rPr>
          <w:lang w:val="en-US"/>
        </w:rPr>
        <w:t xml:space="preserve">Kos, M. I., </w:t>
      </w:r>
      <w:proofErr w:type="spellStart"/>
      <w:r w:rsidRPr="003E7BC2">
        <w:rPr>
          <w:lang w:val="en-US"/>
        </w:rPr>
        <w:t>Degive</w:t>
      </w:r>
      <w:proofErr w:type="spellEnd"/>
      <w:r w:rsidRPr="003E7BC2">
        <w:rPr>
          <w:lang w:val="en-US"/>
        </w:rPr>
        <w:t xml:space="preserve">, C., </w:t>
      </w:r>
      <w:proofErr w:type="spellStart"/>
      <w:r w:rsidRPr="003E7BC2">
        <w:rPr>
          <w:lang w:val="en-US"/>
        </w:rPr>
        <w:t>Boëx</w:t>
      </w:r>
      <w:proofErr w:type="spellEnd"/>
      <w:r w:rsidRPr="003E7BC2">
        <w:rPr>
          <w:lang w:val="en-US"/>
        </w:rPr>
        <w:t>, C., &amp; Guyot, J. P. (2007). Professional occupation after cochlear implantation. </w:t>
      </w:r>
      <w:r w:rsidRPr="003E7BC2">
        <w:rPr>
          <w:i/>
          <w:iCs/>
          <w:lang w:val="en-US"/>
        </w:rPr>
        <w:t>The Journal of Laryngology &amp; Otology</w:t>
      </w:r>
      <w:r w:rsidRPr="003E7BC2">
        <w:rPr>
          <w:lang w:val="en-US"/>
        </w:rPr>
        <w:t>, </w:t>
      </w:r>
      <w:r w:rsidRPr="003E7BC2">
        <w:rPr>
          <w:i/>
          <w:iCs/>
          <w:lang w:val="en-US"/>
        </w:rPr>
        <w:t>121</w:t>
      </w:r>
      <w:r w:rsidRPr="003E7BC2">
        <w:rPr>
          <w:lang w:val="en-US"/>
        </w:rPr>
        <w:t xml:space="preserve">(3), 215-218. </w:t>
      </w:r>
      <w:hyperlink r:id="rId27" w:history="1">
        <w:r w:rsidRPr="003E7BC2">
          <w:rPr>
            <w:rStyle w:val="Hipervnculo"/>
            <w:color w:val="auto"/>
            <w:lang w:val="en-US"/>
          </w:rPr>
          <w:t>https://doi.org/10.1017/S0022215106003641</w:t>
        </w:r>
      </w:hyperlink>
    </w:p>
    <w:p w14:paraId="2B6522DF" w14:textId="77777777" w:rsidR="00A102E1" w:rsidRPr="003E7BC2" w:rsidRDefault="00A102E1" w:rsidP="00A102E1">
      <w:pPr>
        <w:pStyle w:val="Tabletitle"/>
        <w:spacing w:before="0" w:line="480" w:lineRule="auto"/>
        <w:ind w:left="720" w:hanging="720"/>
        <w:rPr>
          <w:lang w:val="en-US"/>
        </w:rPr>
      </w:pPr>
      <w:proofErr w:type="spellStart"/>
      <w:r w:rsidRPr="003E7BC2">
        <w:rPr>
          <w:lang w:val="en-US"/>
        </w:rPr>
        <w:t>Kumatongo</w:t>
      </w:r>
      <w:proofErr w:type="spellEnd"/>
      <w:r w:rsidRPr="003E7BC2">
        <w:rPr>
          <w:lang w:val="en-US"/>
        </w:rPr>
        <w:t xml:space="preserve">, B., &amp; </w:t>
      </w:r>
      <w:proofErr w:type="spellStart"/>
      <w:r w:rsidRPr="003E7BC2">
        <w:rPr>
          <w:lang w:val="en-US"/>
        </w:rPr>
        <w:t>Muzata</w:t>
      </w:r>
      <w:proofErr w:type="spellEnd"/>
      <w:r w:rsidRPr="003E7BC2">
        <w:rPr>
          <w:lang w:val="en-US"/>
        </w:rPr>
        <w:t xml:space="preserve">, K. K. (2021). Lecturers and student teachers with hearing impairments’ own perceptions on academic performance: a case study of Kitwe College of education Zambia. </w:t>
      </w:r>
      <w:r w:rsidRPr="003E7BC2">
        <w:rPr>
          <w:i/>
          <w:iCs/>
          <w:lang w:val="en-US"/>
        </w:rPr>
        <w:t>Isagoge, 1</w:t>
      </w:r>
      <w:r w:rsidRPr="003E7BC2">
        <w:rPr>
          <w:lang w:val="en-US"/>
        </w:rPr>
        <w:t>(1), 47-66.</w:t>
      </w:r>
    </w:p>
    <w:p w14:paraId="61F77DBB" w14:textId="77777777" w:rsidR="00A102E1" w:rsidRPr="003E7BC2" w:rsidRDefault="00A102E1" w:rsidP="00A102E1">
      <w:pPr>
        <w:pStyle w:val="Tabletitle"/>
        <w:spacing w:before="0" w:line="480" w:lineRule="auto"/>
        <w:ind w:left="720" w:hanging="720"/>
        <w:rPr>
          <w:lang w:val="en-US"/>
        </w:rPr>
      </w:pPr>
      <w:r w:rsidRPr="003E7BC2">
        <w:rPr>
          <w:lang w:val="en-US"/>
        </w:rPr>
        <w:t>Kurz, K. B., Hauser, P. C., &amp; Listman, J. D. (2016). Work-related resilience: Deaf professionals’ perspectives. </w:t>
      </w:r>
      <w:r w:rsidRPr="003E7BC2">
        <w:rPr>
          <w:i/>
          <w:iCs/>
          <w:lang w:val="en-US"/>
        </w:rPr>
        <w:t>JADARA</w:t>
      </w:r>
      <w:r w:rsidRPr="003E7BC2">
        <w:rPr>
          <w:lang w:val="en-US"/>
        </w:rPr>
        <w:t>, </w:t>
      </w:r>
      <w:r w:rsidRPr="003E7BC2">
        <w:rPr>
          <w:i/>
          <w:iCs/>
          <w:lang w:val="en-US"/>
        </w:rPr>
        <w:t>50</w:t>
      </w:r>
      <w:r w:rsidRPr="003E7BC2">
        <w:rPr>
          <w:lang w:val="en-US"/>
        </w:rPr>
        <w:t>(3), 88-109.</w:t>
      </w:r>
    </w:p>
    <w:p w14:paraId="6E9F5C07" w14:textId="77777777" w:rsidR="00A102E1" w:rsidRPr="003E7BC2" w:rsidRDefault="00A102E1" w:rsidP="00A102E1">
      <w:pPr>
        <w:pStyle w:val="Tabletitle"/>
        <w:spacing w:before="0" w:line="480" w:lineRule="auto"/>
        <w:ind w:left="720" w:hanging="720"/>
        <w:rPr>
          <w:lang w:val="en-US"/>
        </w:rPr>
      </w:pPr>
      <w:r w:rsidRPr="003E7BC2">
        <w:rPr>
          <w:lang w:val="en-US"/>
        </w:rPr>
        <w:lastRenderedPageBreak/>
        <w:t xml:space="preserve">Langston, S. W. (2012). </w:t>
      </w:r>
      <w:r w:rsidRPr="003E7BC2">
        <w:rPr>
          <w:i/>
          <w:iCs/>
          <w:lang w:val="en-US"/>
        </w:rPr>
        <w:t>A phenomenological case study on Super’s theory and the negative impacts of The Americans with Disabilities Act on the employability of the deaf</w:t>
      </w:r>
      <w:r w:rsidRPr="003E7BC2">
        <w:rPr>
          <w:lang w:val="en-US"/>
        </w:rPr>
        <w:t xml:space="preserve"> [Doctoral dissertation, Capella University].</w:t>
      </w:r>
    </w:p>
    <w:p w14:paraId="729A645D" w14:textId="77777777" w:rsidR="00A102E1" w:rsidRPr="003E7BC2" w:rsidRDefault="00A102E1" w:rsidP="00A102E1">
      <w:pPr>
        <w:pStyle w:val="Tabletitle"/>
        <w:spacing w:before="0" w:line="480" w:lineRule="auto"/>
        <w:ind w:left="720" w:hanging="720"/>
        <w:rPr>
          <w:lang w:val="en-US"/>
        </w:rPr>
      </w:pPr>
      <w:r w:rsidRPr="003E7BC2">
        <w:rPr>
          <w:lang w:val="en-US"/>
        </w:rPr>
        <w:t>Liu, C. F. (2013). </w:t>
      </w:r>
      <w:r w:rsidRPr="003E7BC2">
        <w:rPr>
          <w:i/>
          <w:iCs/>
          <w:lang w:val="en-US"/>
        </w:rPr>
        <w:t>Academic and social adjustment among deaf and hard of hearing college students in Taiwan</w:t>
      </w:r>
      <w:r w:rsidRPr="003E7BC2">
        <w:rPr>
          <w:lang w:val="en-US"/>
        </w:rPr>
        <w:t> [Doctoral dissertation, University of Kansas].</w:t>
      </w:r>
    </w:p>
    <w:p w14:paraId="28092C50" w14:textId="77777777" w:rsidR="00A102E1" w:rsidRPr="003E7BC2" w:rsidRDefault="00A102E1" w:rsidP="00A102E1">
      <w:pPr>
        <w:pStyle w:val="Tabletitle"/>
        <w:spacing w:before="0" w:line="480" w:lineRule="auto"/>
        <w:ind w:left="720" w:hanging="720"/>
        <w:rPr>
          <w:lang w:val="en-US"/>
        </w:rPr>
      </w:pPr>
      <w:r w:rsidRPr="003E7BC2">
        <w:rPr>
          <w:lang w:val="en-US"/>
        </w:rPr>
        <w:t>Liversidge, A. G. (2003). </w:t>
      </w:r>
      <w:r w:rsidRPr="003E7BC2">
        <w:rPr>
          <w:i/>
          <w:iCs/>
          <w:lang w:val="en-US"/>
        </w:rPr>
        <w:t>Academic and social integration of deaf and hard-of-hearing students in a Carnegie Research-I University</w:t>
      </w:r>
      <w:r w:rsidRPr="003E7BC2">
        <w:rPr>
          <w:lang w:val="en-US"/>
        </w:rPr>
        <w:t xml:space="preserve"> [Doctoral dissertation, University of Maryland, College Park].</w:t>
      </w:r>
    </w:p>
    <w:p w14:paraId="02F5BB87" w14:textId="77777777" w:rsidR="00A102E1" w:rsidRPr="003E7BC2" w:rsidRDefault="00A102E1" w:rsidP="00A102E1">
      <w:pPr>
        <w:pStyle w:val="Tabletitle"/>
        <w:spacing w:before="0" w:line="480" w:lineRule="auto"/>
        <w:ind w:left="720" w:hanging="720"/>
        <w:rPr>
          <w:lang w:val="en-US"/>
        </w:rPr>
      </w:pPr>
      <w:r w:rsidRPr="003E7BC2">
        <w:rPr>
          <w:lang w:val="en-US"/>
        </w:rPr>
        <w:t>Luckner, J. L., &amp; Stewart, J. (2003). Self-assessments and other perceptions of successful adults who are deaf: An initial investigation. </w:t>
      </w:r>
      <w:r w:rsidRPr="003E7BC2">
        <w:rPr>
          <w:i/>
          <w:iCs/>
          <w:lang w:val="en-US"/>
        </w:rPr>
        <w:t>American Annals of the Deaf</w:t>
      </w:r>
      <w:r w:rsidRPr="003E7BC2">
        <w:rPr>
          <w:lang w:val="en-US"/>
        </w:rPr>
        <w:t>, </w:t>
      </w:r>
      <w:r w:rsidRPr="003E7BC2">
        <w:rPr>
          <w:i/>
          <w:iCs/>
          <w:lang w:val="en-US"/>
        </w:rPr>
        <w:t>148</w:t>
      </w:r>
      <w:r w:rsidRPr="003E7BC2">
        <w:rPr>
          <w:lang w:val="en-US"/>
        </w:rPr>
        <w:t xml:space="preserve">(3), 243-250. </w:t>
      </w:r>
      <w:hyperlink r:id="rId28" w:history="1">
        <w:r w:rsidRPr="003E7BC2">
          <w:rPr>
            <w:rStyle w:val="Hipervnculo"/>
            <w:color w:val="auto"/>
            <w:lang w:val="en-US"/>
          </w:rPr>
          <w:t>https://doi.org/10.1353/aad.2003.0020</w:t>
        </w:r>
      </w:hyperlink>
    </w:p>
    <w:p w14:paraId="2A57A519" w14:textId="77777777" w:rsidR="00BE5406" w:rsidRPr="003E7BC2" w:rsidRDefault="00BE5406" w:rsidP="00BE5406">
      <w:pPr>
        <w:pStyle w:val="Tabletitle"/>
        <w:spacing w:before="0" w:line="480" w:lineRule="auto"/>
        <w:ind w:left="720" w:hanging="720"/>
        <w:rPr>
          <w:lang w:val="en-US"/>
        </w:rPr>
      </w:pPr>
      <w:r w:rsidRPr="003E7BC2">
        <w:rPr>
          <w:lang w:val="en-US"/>
        </w:rPr>
        <w:t>Macleod-Gallinger, J. (2019). Employment attainments of deaf adults one and ten years after graduation from high school. </w:t>
      </w:r>
      <w:r w:rsidRPr="003E7BC2">
        <w:rPr>
          <w:i/>
          <w:iCs/>
          <w:lang w:val="en-US"/>
        </w:rPr>
        <w:t>JADARA</w:t>
      </w:r>
      <w:r w:rsidRPr="003E7BC2">
        <w:rPr>
          <w:lang w:val="en-US"/>
        </w:rPr>
        <w:t>, </w:t>
      </w:r>
      <w:r w:rsidRPr="003E7BC2">
        <w:rPr>
          <w:i/>
          <w:iCs/>
          <w:lang w:val="en-US"/>
        </w:rPr>
        <w:t>25</w:t>
      </w:r>
      <w:r w:rsidRPr="003E7BC2">
        <w:rPr>
          <w:lang w:val="en-US"/>
        </w:rPr>
        <w:t>(4), 6. (Original work published 1992)</w:t>
      </w:r>
    </w:p>
    <w:p w14:paraId="7F658B57" w14:textId="77777777" w:rsidR="00BE5406" w:rsidRPr="003E7BC2" w:rsidRDefault="00BE5406" w:rsidP="00BE5406">
      <w:pPr>
        <w:pStyle w:val="Tabletitle"/>
        <w:spacing w:before="0" w:line="480" w:lineRule="auto"/>
        <w:ind w:left="720" w:hanging="720"/>
        <w:rPr>
          <w:rStyle w:val="Hipervnculo"/>
          <w:color w:val="auto"/>
          <w:lang w:val="en-US"/>
        </w:rPr>
      </w:pPr>
      <w:r w:rsidRPr="003E7BC2">
        <w:rPr>
          <w:lang w:val="en-US"/>
        </w:rPr>
        <w:t>MacLeod-Gallinger, J. E. (1992). The career status of deaf women: A comparative look. </w:t>
      </w:r>
      <w:r w:rsidRPr="003E7BC2">
        <w:rPr>
          <w:i/>
          <w:iCs/>
          <w:lang w:val="en-US"/>
        </w:rPr>
        <w:t>American Annals of the Deaf</w:t>
      </w:r>
      <w:r w:rsidRPr="003E7BC2">
        <w:rPr>
          <w:lang w:val="en-US"/>
        </w:rPr>
        <w:t>, </w:t>
      </w:r>
      <w:r w:rsidRPr="003E7BC2">
        <w:rPr>
          <w:i/>
          <w:iCs/>
          <w:lang w:val="en-US"/>
        </w:rPr>
        <w:t>137</w:t>
      </w:r>
      <w:r w:rsidRPr="003E7BC2">
        <w:rPr>
          <w:lang w:val="en-US"/>
        </w:rPr>
        <w:t xml:space="preserve">(4), 315-325. </w:t>
      </w:r>
      <w:hyperlink r:id="rId29" w:history="1">
        <w:r w:rsidRPr="003E7BC2">
          <w:rPr>
            <w:rStyle w:val="Hipervnculo"/>
            <w:color w:val="auto"/>
            <w:lang w:val="en-US"/>
          </w:rPr>
          <w:t>https://doi.org/10.1353/aad.2012.0471</w:t>
        </w:r>
      </w:hyperlink>
    </w:p>
    <w:p w14:paraId="6394663B" w14:textId="77777777" w:rsidR="00D10F2E" w:rsidRPr="003E7BC2" w:rsidRDefault="00D10F2E" w:rsidP="00D10F2E">
      <w:pPr>
        <w:pStyle w:val="Tabletitle"/>
        <w:spacing w:before="0" w:line="480" w:lineRule="auto"/>
        <w:ind w:left="720" w:hanging="720"/>
        <w:rPr>
          <w:lang w:val="en-US"/>
        </w:rPr>
      </w:pPr>
      <w:r w:rsidRPr="003E7BC2">
        <w:rPr>
          <w:lang w:val="en-US"/>
        </w:rPr>
        <w:t>Mousley, V. L., &amp; Chaudoir, S. R. (2018). Deaf stigma: Links between stigma and well-being among deaf emerging adults. </w:t>
      </w:r>
      <w:r w:rsidRPr="003E7BC2">
        <w:rPr>
          <w:i/>
          <w:iCs/>
          <w:lang w:val="en-US"/>
        </w:rPr>
        <w:t>The Journal of Deaf Studies and Deaf Education</w:t>
      </w:r>
      <w:r w:rsidRPr="003E7BC2">
        <w:rPr>
          <w:lang w:val="en-US"/>
        </w:rPr>
        <w:t>, </w:t>
      </w:r>
      <w:r w:rsidRPr="003E7BC2">
        <w:rPr>
          <w:i/>
          <w:iCs/>
          <w:lang w:val="en-US"/>
        </w:rPr>
        <w:t>23</w:t>
      </w:r>
      <w:r w:rsidRPr="003E7BC2">
        <w:rPr>
          <w:lang w:val="en-US"/>
        </w:rPr>
        <w:t xml:space="preserve">(4), 341-350. </w:t>
      </w:r>
      <w:hyperlink r:id="rId30" w:history="1">
        <w:r w:rsidRPr="003E7BC2">
          <w:rPr>
            <w:rStyle w:val="Hipervnculo"/>
            <w:color w:val="auto"/>
            <w:lang w:val="en-US"/>
          </w:rPr>
          <w:t>https://doi.org/10.1093/deafed/eny018</w:t>
        </w:r>
      </w:hyperlink>
    </w:p>
    <w:p w14:paraId="14590C98" w14:textId="77777777" w:rsidR="00BF7400" w:rsidRPr="003E7BC2" w:rsidRDefault="00BF7400" w:rsidP="00BF7400">
      <w:pPr>
        <w:pStyle w:val="Tabletitle"/>
        <w:spacing w:before="0" w:line="480" w:lineRule="auto"/>
        <w:ind w:left="720" w:hanging="720"/>
        <w:rPr>
          <w:lang w:val="en-US"/>
        </w:rPr>
      </w:pPr>
      <w:r w:rsidRPr="003E7BC2">
        <w:rPr>
          <w:lang w:val="en-US"/>
        </w:rPr>
        <w:t>Omar, H. (2014). </w:t>
      </w:r>
      <w:r w:rsidRPr="003E7BC2">
        <w:rPr>
          <w:i/>
          <w:iCs/>
          <w:lang w:val="en-US"/>
        </w:rPr>
        <w:t>A grounded theory study to evaluate the use of community-based technologies to enhance the educational experience for deaf and hard of hearing students in higher education</w:t>
      </w:r>
      <w:r w:rsidRPr="003E7BC2">
        <w:rPr>
          <w:lang w:val="en-US"/>
        </w:rPr>
        <w:t> [Doctoral dissertation, University of Hawai'i at Manoa].</w:t>
      </w:r>
    </w:p>
    <w:p w14:paraId="7DC49CCD" w14:textId="77777777" w:rsidR="00A61DE4" w:rsidRPr="003E7BC2" w:rsidRDefault="00A61DE4" w:rsidP="00A61DE4">
      <w:pPr>
        <w:pStyle w:val="Tabletitle"/>
        <w:spacing w:before="0" w:line="480" w:lineRule="auto"/>
        <w:ind w:left="720" w:hanging="720"/>
        <w:rPr>
          <w:lang w:val="en-US"/>
        </w:rPr>
      </w:pPr>
      <w:r w:rsidRPr="003E7BC2">
        <w:rPr>
          <w:lang w:val="en-US"/>
        </w:rPr>
        <w:lastRenderedPageBreak/>
        <w:t>Palmer, J. L., Newman, L. A., Davidson, S., &amp; Cawthon, S. W. (2020). Life After College. </w:t>
      </w:r>
      <w:r w:rsidRPr="003E7BC2">
        <w:rPr>
          <w:i/>
          <w:iCs/>
          <w:lang w:val="en-US"/>
        </w:rPr>
        <w:t>American Annals of the Deaf</w:t>
      </w:r>
      <w:r w:rsidRPr="003E7BC2">
        <w:rPr>
          <w:lang w:val="en-US"/>
        </w:rPr>
        <w:t>, </w:t>
      </w:r>
      <w:r w:rsidRPr="003E7BC2">
        <w:rPr>
          <w:i/>
          <w:iCs/>
          <w:lang w:val="en-US"/>
        </w:rPr>
        <w:t>165</w:t>
      </w:r>
      <w:r w:rsidRPr="003E7BC2">
        <w:rPr>
          <w:lang w:val="en-US"/>
        </w:rPr>
        <w:t xml:space="preserve">(4), 401-417. </w:t>
      </w:r>
      <w:hyperlink r:id="rId31" w:history="1">
        <w:r w:rsidRPr="003E7BC2">
          <w:rPr>
            <w:rStyle w:val="Hipervnculo"/>
            <w:color w:val="auto"/>
            <w:lang w:val="en-US"/>
          </w:rPr>
          <w:t>https://doi.org/10.1353/aad.2020.0027</w:t>
        </w:r>
      </w:hyperlink>
    </w:p>
    <w:p w14:paraId="7AC06F16" w14:textId="77777777" w:rsidR="00A61DE4" w:rsidRPr="003E7BC2" w:rsidRDefault="00A61DE4" w:rsidP="00A61DE4">
      <w:pPr>
        <w:pStyle w:val="Tabletitle"/>
        <w:spacing w:before="0" w:line="480" w:lineRule="auto"/>
        <w:ind w:left="720" w:hanging="720"/>
        <w:rPr>
          <w:lang w:val="en-US"/>
        </w:rPr>
      </w:pPr>
      <w:r w:rsidRPr="003E7BC2">
        <w:rPr>
          <w:lang w:val="en-US"/>
        </w:rPr>
        <w:t>Parving, A., &amp; Christensen, B. (1993). Training and employment in hearing-impaired subjects at 20–35 years of age. </w:t>
      </w:r>
      <w:r w:rsidRPr="003E7BC2">
        <w:rPr>
          <w:i/>
          <w:iCs/>
          <w:lang w:val="en-US"/>
        </w:rPr>
        <w:t>Scandinavian Audiology</w:t>
      </w:r>
      <w:r w:rsidRPr="003E7BC2">
        <w:rPr>
          <w:lang w:val="en-US"/>
        </w:rPr>
        <w:t>, </w:t>
      </w:r>
      <w:r w:rsidRPr="003E7BC2">
        <w:rPr>
          <w:i/>
          <w:iCs/>
          <w:lang w:val="en-US"/>
        </w:rPr>
        <w:t>22</w:t>
      </w:r>
      <w:r w:rsidRPr="003E7BC2">
        <w:rPr>
          <w:lang w:val="en-US"/>
        </w:rPr>
        <w:t xml:space="preserve">(2), 133-139. </w:t>
      </w:r>
      <w:hyperlink r:id="rId32" w:history="1">
        <w:r w:rsidRPr="003E7BC2">
          <w:rPr>
            <w:rStyle w:val="Hipervnculo"/>
            <w:color w:val="auto"/>
            <w:lang w:val="en-US"/>
          </w:rPr>
          <w:t>https://doi.org/10.3109/01050399309046029</w:t>
        </w:r>
      </w:hyperlink>
    </w:p>
    <w:p w14:paraId="4372A0B1" w14:textId="77777777" w:rsidR="00A61DE4" w:rsidRPr="003E7BC2" w:rsidRDefault="00A61DE4" w:rsidP="00A61DE4">
      <w:pPr>
        <w:pStyle w:val="Tabletitle"/>
        <w:spacing w:before="0" w:line="480" w:lineRule="auto"/>
        <w:ind w:left="720" w:hanging="720"/>
        <w:rPr>
          <w:lang w:val="en-US"/>
        </w:rPr>
      </w:pPr>
      <w:r w:rsidRPr="003E7BC2">
        <w:rPr>
          <w:lang w:val="en-US"/>
        </w:rPr>
        <w:t>Perkins-Dock Ph D, R. E., Battle MS, T. R., Edgerton MS, J. M., &amp; McNeill MS, J. N. (2015). A survey of barriers to employment for individuals who are deaf. </w:t>
      </w:r>
      <w:proofErr w:type="spellStart"/>
      <w:r w:rsidRPr="003E7BC2">
        <w:rPr>
          <w:i/>
          <w:iCs/>
          <w:lang w:val="en-US"/>
        </w:rPr>
        <w:t>Jadara</w:t>
      </w:r>
      <w:proofErr w:type="spellEnd"/>
      <w:r w:rsidRPr="003E7BC2">
        <w:rPr>
          <w:lang w:val="en-US"/>
        </w:rPr>
        <w:t>, </w:t>
      </w:r>
      <w:r w:rsidRPr="003E7BC2">
        <w:rPr>
          <w:i/>
          <w:iCs/>
          <w:lang w:val="en-US"/>
        </w:rPr>
        <w:t>49</w:t>
      </w:r>
      <w:r w:rsidRPr="003E7BC2">
        <w:rPr>
          <w:lang w:val="en-US"/>
        </w:rPr>
        <w:t>(2), 3.</w:t>
      </w:r>
    </w:p>
    <w:p w14:paraId="4E3C8B58" w14:textId="77777777" w:rsidR="005E54BA" w:rsidRPr="003E7BC2" w:rsidRDefault="005E54BA" w:rsidP="005E54BA">
      <w:pPr>
        <w:pStyle w:val="Tabletitle"/>
        <w:spacing w:before="0" w:line="480" w:lineRule="auto"/>
        <w:ind w:left="720" w:hanging="720"/>
        <w:rPr>
          <w:lang w:val="en-US"/>
        </w:rPr>
      </w:pPr>
      <w:r w:rsidRPr="003E7BC2">
        <w:rPr>
          <w:lang w:val="en-US"/>
        </w:rPr>
        <w:t xml:space="preserve">Punch, R. (2016). Employment and adults who are deaf or hard of hearing: </w:t>
      </w:r>
      <w:proofErr w:type="gramStart"/>
      <w:r w:rsidRPr="003E7BC2">
        <w:rPr>
          <w:lang w:val="en-US"/>
        </w:rPr>
        <w:t>Current status</w:t>
      </w:r>
      <w:proofErr w:type="gramEnd"/>
      <w:r w:rsidRPr="003E7BC2">
        <w:rPr>
          <w:lang w:val="en-US"/>
        </w:rPr>
        <w:t xml:space="preserve"> and experiences of barriers, accommodations, and stress in the workplace. </w:t>
      </w:r>
      <w:r w:rsidRPr="003E7BC2">
        <w:rPr>
          <w:i/>
          <w:iCs/>
          <w:lang w:val="en-US"/>
        </w:rPr>
        <w:t>American annals of the deaf</w:t>
      </w:r>
      <w:r w:rsidRPr="003E7BC2">
        <w:rPr>
          <w:lang w:val="en-US"/>
        </w:rPr>
        <w:t>, </w:t>
      </w:r>
      <w:r w:rsidRPr="003E7BC2">
        <w:rPr>
          <w:i/>
          <w:iCs/>
          <w:lang w:val="en-US"/>
        </w:rPr>
        <w:t>161</w:t>
      </w:r>
      <w:r w:rsidRPr="003E7BC2">
        <w:rPr>
          <w:lang w:val="en-US"/>
        </w:rPr>
        <w:t xml:space="preserve">(3), 384-397. </w:t>
      </w:r>
      <w:hyperlink r:id="rId33" w:history="1">
        <w:r w:rsidRPr="003E7BC2">
          <w:rPr>
            <w:rStyle w:val="Hipervnculo"/>
            <w:color w:val="auto"/>
            <w:lang w:val="en-US"/>
          </w:rPr>
          <w:t>https://doi.org/10.1353/aad.2016.0028</w:t>
        </w:r>
      </w:hyperlink>
    </w:p>
    <w:p w14:paraId="03BA7EC5" w14:textId="77777777" w:rsidR="005E54BA" w:rsidRPr="003E7BC2" w:rsidRDefault="005E54BA" w:rsidP="005E54BA">
      <w:pPr>
        <w:pStyle w:val="Tabletitle"/>
        <w:spacing w:before="0" w:line="480" w:lineRule="auto"/>
        <w:ind w:left="720" w:hanging="720"/>
        <w:rPr>
          <w:lang w:val="en-US"/>
        </w:rPr>
      </w:pPr>
      <w:r w:rsidRPr="003E7BC2">
        <w:rPr>
          <w:lang w:val="en-US"/>
        </w:rPr>
        <w:t>Punch, R., &amp; Duncan, J. (2022). The role of social capital in the transition to postsecondary education of students who are deaf or hard of hearing. </w:t>
      </w:r>
      <w:r w:rsidRPr="003E7BC2">
        <w:rPr>
          <w:i/>
          <w:iCs/>
          <w:lang w:val="en-US"/>
        </w:rPr>
        <w:t>American Annals of the Deaf</w:t>
      </w:r>
      <w:r w:rsidRPr="003E7BC2">
        <w:rPr>
          <w:lang w:val="en-US"/>
        </w:rPr>
        <w:t>, </w:t>
      </w:r>
      <w:r w:rsidRPr="003E7BC2">
        <w:rPr>
          <w:i/>
          <w:iCs/>
          <w:lang w:val="en-US"/>
        </w:rPr>
        <w:t>167</w:t>
      </w:r>
      <w:r w:rsidRPr="003E7BC2">
        <w:rPr>
          <w:lang w:val="en-US"/>
        </w:rPr>
        <w:t xml:space="preserve">(3), 334-354. </w:t>
      </w:r>
      <w:hyperlink r:id="rId34" w:history="1">
        <w:r w:rsidRPr="003E7BC2">
          <w:rPr>
            <w:rStyle w:val="Hipervnculo"/>
            <w:color w:val="auto"/>
            <w:lang w:val="en-US"/>
          </w:rPr>
          <w:t>https://doi.org/10.1353/aad.2022.0031</w:t>
        </w:r>
      </w:hyperlink>
      <w:r w:rsidRPr="003E7BC2">
        <w:rPr>
          <w:lang w:val="en-US"/>
        </w:rPr>
        <w:t xml:space="preserve"> </w:t>
      </w:r>
    </w:p>
    <w:p w14:paraId="249E1034" w14:textId="77777777" w:rsidR="005E54BA" w:rsidRPr="003E7BC2" w:rsidRDefault="005E54BA" w:rsidP="005E54BA">
      <w:pPr>
        <w:pStyle w:val="Tabletitle"/>
        <w:spacing w:before="0" w:line="480" w:lineRule="auto"/>
        <w:ind w:left="720" w:hanging="720"/>
        <w:rPr>
          <w:lang w:val="en-US"/>
        </w:rPr>
      </w:pPr>
      <w:r w:rsidRPr="003E7BC2">
        <w:rPr>
          <w:lang w:val="en-US"/>
        </w:rPr>
        <w:t>Punch, R., Hyde, M., &amp; Power, D. (2007). Career and workplace experiences of Australian university graduates who are deaf or hard of hearing. </w:t>
      </w:r>
      <w:r w:rsidRPr="003E7BC2">
        <w:rPr>
          <w:i/>
          <w:iCs/>
          <w:lang w:val="en-US"/>
        </w:rPr>
        <w:t>Journal of deaf studies and deaf education</w:t>
      </w:r>
      <w:r w:rsidRPr="003E7BC2">
        <w:rPr>
          <w:lang w:val="en-US"/>
        </w:rPr>
        <w:t>, </w:t>
      </w:r>
      <w:r w:rsidRPr="003E7BC2">
        <w:rPr>
          <w:i/>
          <w:iCs/>
          <w:lang w:val="en-US"/>
        </w:rPr>
        <w:t>12</w:t>
      </w:r>
      <w:r w:rsidRPr="003E7BC2">
        <w:rPr>
          <w:lang w:val="en-US"/>
        </w:rPr>
        <w:t xml:space="preserve">(4), 504-517. </w:t>
      </w:r>
      <w:hyperlink r:id="rId35" w:history="1">
        <w:r w:rsidRPr="003E7BC2">
          <w:rPr>
            <w:rStyle w:val="Hipervnculo"/>
            <w:color w:val="auto"/>
            <w:lang w:val="en-US"/>
          </w:rPr>
          <w:t>https://doi.org/10.1093/deafed/enm011</w:t>
        </w:r>
      </w:hyperlink>
    </w:p>
    <w:p w14:paraId="5EE05D0D" w14:textId="77777777" w:rsidR="005E54BA" w:rsidRPr="003E7BC2" w:rsidRDefault="005E54BA" w:rsidP="005E54BA">
      <w:pPr>
        <w:pStyle w:val="Tabletitle"/>
        <w:spacing w:before="0" w:line="480" w:lineRule="auto"/>
        <w:ind w:left="720" w:hanging="720"/>
        <w:rPr>
          <w:lang w:val="en-US"/>
        </w:rPr>
      </w:pPr>
      <w:r w:rsidRPr="003E7BC2">
        <w:rPr>
          <w:lang w:val="en-US"/>
        </w:rPr>
        <w:t>Richardson, J. T., &amp; Woodley, A. (2001). Perceptions of academic quality among students with a hearing loss in distance education. </w:t>
      </w:r>
      <w:r w:rsidRPr="003E7BC2">
        <w:rPr>
          <w:i/>
          <w:iCs/>
          <w:lang w:val="en-US"/>
        </w:rPr>
        <w:t>Journal of Educational Psychology</w:t>
      </w:r>
      <w:r w:rsidRPr="003E7BC2">
        <w:rPr>
          <w:lang w:val="en-US"/>
        </w:rPr>
        <w:t>, </w:t>
      </w:r>
      <w:r w:rsidRPr="003E7BC2">
        <w:rPr>
          <w:i/>
          <w:iCs/>
          <w:lang w:val="en-US"/>
        </w:rPr>
        <w:t>93</w:t>
      </w:r>
      <w:r w:rsidRPr="003E7BC2">
        <w:rPr>
          <w:lang w:val="en-US"/>
        </w:rPr>
        <w:t xml:space="preserve">(3), 563. </w:t>
      </w:r>
      <w:hyperlink r:id="rId36" w:history="1">
        <w:r w:rsidRPr="003E7BC2">
          <w:rPr>
            <w:rStyle w:val="Hipervnculo"/>
            <w:color w:val="auto"/>
            <w:lang w:val="en-US"/>
          </w:rPr>
          <w:t>https://psycnet.apa.org/doi/10.1037/0022-0663.93.3.563</w:t>
        </w:r>
      </w:hyperlink>
    </w:p>
    <w:p w14:paraId="63EF8391" w14:textId="77777777" w:rsidR="00130EE0" w:rsidRPr="003E7BC2" w:rsidRDefault="00130EE0" w:rsidP="00130EE0">
      <w:pPr>
        <w:pStyle w:val="Tabletitle"/>
        <w:spacing w:before="0" w:line="480" w:lineRule="auto"/>
        <w:ind w:left="720" w:hanging="720"/>
        <w:rPr>
          <w:lang w:val="en-US"/>
        </w:rPr>
      </w:pPr>
      <w:r w:rsidRPr="003E7BC2">
        <w:rPr>
          <w:lang w:val="en-US"/>
        </w:rPr>
        <w:lastRenderedPageBreak/>
        <w:t>Rogers, S., Muir, K., &amp; Evenson, C. R. (2003). Signs of resilience: Assets that support deaf adults’ success in bridging the deaf and hearing worlds. </w:t>
      </w:r>
      <w:r w:rsidRPr="003E7BC2">
        <w:rPr>
          <w:i/>
          <w:iCs/>
          <w:lang w:val="en-US"/>
        </w:rPr>
        <w:t>American Annals of the Deaf</w:t>
      </w:r>
      <w:r w:rsidRPr="003E7BC2">
        <w:rPr>
          <w:lang w:val="en-US"/>
        </w:rPr>
        <w:t>, </w:t>
      </w:r>
      <w:r w:rsidRPr="003E7BC2">
        <w:rPr>
          <w:i/>
          <w:iCs/>
          <w:lang w:val="en-US"/>
        </w:rPr>
        <w:t>148</w:t>
      </w:r>
      <w:r w:rsidRPr="003E7BC2">
        <w:rPr>
          <w:lang w:val="en-US"/>
        </w:rPr>
        <w:t xml:space="preserve">(3), 222-232. </w:t>
      </w:r>
      <w:hyperlink r:id="rId37" w:history="1">
        <w:r w:rsidRPr="003E7BC2">
          <w:rPr>
            <w:rStyle w:val="Hipervnculo"/>
            <w:color w:val="auto"/>
            <w:lang w:val="en-US"/>
          </w:rPr>
          <w:t>https://doi.org/10.1353/aad.2003.0023</w:t>
        </w:r>
      </w:hyperlink>
    </w:p>
    <w:p w14:paraId="76974357" w14:textId="77777777" w:rsidR="00130EE0" w:rsidRPr="003E7BC2" w:rsidRDefault="00130EE0" w:rsidP="00130EE0">
      <w:pPr>
        <w:pStyle w:val="Tabletitle"/>
        <w:spacing w:before="0" w:line="480" w:lineRule="auto"/>
        <w:ind w:left="720" w:hanging="720"/>
        <w:rPr>
          <w:lang w:val="en-US"/>
        </w:rPr>
      </w:pPr>
      <w:r w:rsidRPr="003E7BC2">
        <w:rPr>
          <w:lang w:val="en-US"/>
        </w:rPr>
        <w:t>Rosengreen, K. M., &amp; Saladin, S. P. (2010). Deaf Workers Prioritized Workplace Expectations: A Qualitative Study. </w:t>
      </w:r>
      <w:r w:rsidRPr="003E7BC2">
        <w:rPr>
          <w:i/>
          <w:iCs/>
          <w:lang w:val="en-US"/>
        </w:rPr>
        <w:t>Journal of the American Deafness &amp; Rehabilitation Association (JADARA)</w:t>
      </w:r>
      <w:r w:rsidRPr="003E7BC2">
        <w:rPr>
          <w:lang w:val="en-US"/>
        </w:rPr>
        <w:t>, </w:t>
      </w:r>
      <w:r w:rsidRPr="003E7BC2">
        <w:rPr>
          <w:i/>
          <w:iCs/>
          <w:lang w:val="en-US"/>
        </w:rPr>
        <w:t>43</w:t>
      </w:r>
      <w:r w:rsidRPr="003E7BC2">
        <w:rPr>
          <w:lang w:val="en-US"/>
        </w:rPr>
        <w:t>(3).</w:t>
      </w:r>
    </w:p>
    <w:p w14:paraId="23FF4F80" w14:textId="77777777" w:rsidR="00130EE0" w:rsidRPr="003E7BC2" w:rsidRDefault="00130EE0" w:rsidP="00130EE0">
      <w:pPr>
        <w:pStyle w:val="Tabletitle"/>
        <w:spacing w:before="0" w:line="480" w:lineRule="auto"/>
        <w:ind w:left="720" w:hanging="720"/>
        <w:rPr>
          <w:lang w:val="en-US"/>
        </w:rPr>
      </w:pPr>
      <w:r w:rsidRPr="003E7BC2">
        <w:rPr>
          <w:lang w:val="en-US"/>
        </w:rPr>
        <w:t xml:space="preserve">Rydberg, E., Gellerstedt, L. C., &amp; </w:t>
      </w:r>
      <w:proofErr w:type="spellStart"/>
      <w:r w:rsidRPr="003E7BC2">
        <w:rPr>
          <w:lang w:val="en-US"/>
        </w:rPr>
        <w:t>Danermark</w:t>
      </w:r>
      <w:proofErr w:type="spellEnd"/>
      <w:r w:rsidRPr="003E7BC2">
        <w:rPr>
          <w:lang w:val="en-US"/>
        </w:rPr>
        <w:t>, B. (2011). Deaf people's employment and workplaces–similarities and differences in comparison with a reference population. </w:t>
      </w:r>
      <w:r w:rsidRPr="003E7BC2">
        <w:rPr>
          <w:i/>
          <w:iCs/>
          <w:lang w:val="en-US"/>
        </w:rPr>
        <w:t>Scandinavian Journal of Disability Research</w:t>
      </w:r>
      <w:r w:rsidRPr="003E7BC2">
        <w:rPr>
          <w:lang w:val="en-US"/>
        </w:rPr>
        <w:t>, </w:t>
      </w:r>
      <w:r w:rsidRPr="003E7BC2">
        <w:rPr>
          <w:i/>
          <w:iCs/>
          <w:lang w:val="en-US"/>
        </w:rPr>
        <w:t>13</w:t>
      </w:r>
      <w:r w:rsidRPr="003E7BC2">
        <w:rPr>
          <w:lang w:val="en-US"/>
        </w:rPr>
        <w:t xml:space="preserve">(4), 327-345. </w:t>
      </w:r>
      <w:hyperlink r:id="rId38" w:history="1">
        <w:r w:rsidRPr="003E7BC2">
          <w:rPr>
            <w:rStyle w:val="Hipervnculo"/>
            <w:color w:val="auto"/>
            <w:lang w:val="en-US"/>
          </w:rPr>
          <w:t>https://doi.org/10.1080/15017419.2010.507375</w:t>
        </w:r>
      </w:hyperlink>
    </w:p>
    <w:p w14:paraId="4B86EFBA" w14:textId="77777777" w:rsidR="004E43DA" w:rsidRPr="003E7BC2" w:rsidRDefault="004E43DA" w:rsidP="004E43DA">
      <w:pPr>
        <w:pStyle w:val="Tabletitle"/>
        <w:spacing w:before="0" w:line="480" w:lineRule="auto"/>
        <w:ind w:left="720" w:hanging="720"/>
        <w:rPr>
          <w:lang w:val="en-US"/>
        </w:rPr>
      </w:pPr>
      <w:r w:rsidRPr="003E7BC2">
        <w:rPr>
          <w:lang w:val="en-US"/>
        </w:rPr>
        <w:t xml:space="preserve">Rydberg, E., Gellerstedt, L. C., &amp; </w:t>
      </w:r>
      <w:proofErr w:type="spellStart"/>
      <w:r w:rsidRPr="003E7BC2">
        <w:rPr>
          <w:lang w:val="en-US"/>
        </w:rPr>
        <w:t>Danermark</w:t>
      </w:r>
      <w:proofErr w:type="spellEnd"/>
      <w:r w:rsidRPr="003E7BC2">
        <w:rPr>
          <w:lang w:val="en-US"/>
        </w:rPr>
        <w:t>, B. (2009). Toward an equal level of educational attainment between deaf and hearing people in Sweden? </w:t>
      </w:r>
      <w:r w:rsidRPr="003E7BC2">
        <w:rPr>
          <w:i/>
          <w:iCs/>
          <w:lang w:val="en-US"/>
        </w:rPr>
        <w:t>Journal of Deaf Studies and Deaf Education</w:t>
      </w:r>
      <w:r w:rsidRPr="003E7BC2">
        <w:rPr>
          <w:lang w:val="en-US"/>
        </w:rPr>
        <w:t>, </w:t>
      </w:r>
      <w:r w:rsidRPr="003E7BC2">
        <w:rPr>
          <w:i/>
          <w:iCs/>
          <w:lang w:val="en-US"/>
        </w:rPr>
        <w:t>14</w:t>
      </w:r>
      <w:r w:rsidRPr="003E7BC2">
        <w:rPr>
          <w:lang w:val="en-US"/>
        </w:rPr>
        <w:t xml:space="preserve">(3), 312-323. </w:t>
      </w:r>
      <w:hyperlink r:id="rId39" w:history="1">
        <w:r w:rsidRPr="003E7BC2">
          <w:rPr>
            <w:rStyle w:val="Hipervnculo"/>
            <w:color w:val="auto"/>
            <w:lang w:val="en-US"/>
          </w:rPr>
          <w:t>https://doi.org/10.1093/deafed/enp001</w:t>
        </w:r>
      </w:hyperlink>
    </w:p>
    <w:p w14:paraId="12A78153" w14:textId="77777777" w:rsidR="004E43DA" w:rsidRPr="003E7BC2" w:rsidRDefault="004E43DA" w:rsidP="004E43DA">
      <w:pPr>
        <w:pStyle w:val="Tabletitle"/>
        <w:spacing w:before="0" w:line="480" w:lineRule="auto"/>
        <w:ind w:left="720" w:hanging="720"/>
        <w:rPr>
          <w:lang w:val="en-US"/>
        </w:rPr>
      </w:pPr>
      <w:r w:rsidRPr="003E7BC2">
        <w:rPr>
          <w:lang w:val="en-US"/>
        </w:rPr>
        <w:t xml:space="preserve">Schley, S., Walter, G. G., Weathers, R. R., Hemmeter, J., Hennessey, J. C., &amp; </w:t>
      </w:r>
      <w:proofErr w:type="spellStart"/>
      <w:r w:rsidRPr="003E7BC2">
        <w:rPr>
          <w:lang w:val="en-US"/>
        </w:rPr>
        <w:t>Burkhauser</w:t>
      </w:r>
      <w:proofErr w:type="spellEnd"/>
      <w:r w:rsidRPr="003E7BC2">
        <w:rPr>
          <w:lang w:val="en-US"/>
        </w:rPr>
        <w:t xml:space="preserve">, R. V. (2011). Effect of postsecondary education on the economic status of </w:t>
      </w:r>
      <w:proofErr w:type="gramStart"/>
      <w:r w:rsidRPr="003E7BC2">
        <w:rPr>
          <w:lang w:val="en-US"/>
        </w:rPr>
        <w:t>persons</w:t>
      </w:r>
      <w:proofErr w:type="gramEnd"/>
      <w:r w:rsidRPr="003E7BC2">
        <w:rPr>
          <w:lang w:val="en-US"/>
        </w:rPr>
        <w:t xml:space="preserve"> who are deaf or hard of hearing. </w:t>
      </w:r>
      <w:r w:rsidRPr="003E7BC2">
        <w:rPr>
          <w:i/>
          <w:iCs/>
          <w:lang w:val="en-US"/>
        </w:rPr>
        <w:t>Journal of Deaf Studies and Deaf Education</w:t>
      </w:r>
      <w:r w:rsidRPr="003E7BC2">
        <w:rPr>
          <w:lang w:val="en-US"/>
        </w:rPr>
        <w:t>, </w:t>
      </w:r>
      <w:r w:rsidRPr="003E7BC2">
        <w:rPr>
          <w:i/>
          <w:iCs/>
          <w:lang w:val="en-US"/>
        </w:rPr>
        <w:t>16</w:t>
      </w:r>
      <w:r w:rsidRPr="003E7BC2">
        <w:rPr>
          <w:lang w:val="en-US"/>
        </w:rPr>
        <w:t xml:space="preserve">(4), 524-536. </w:t>
      </w:r>
      <w:hyperlink r:id="rId40" w:history="1">
        <w:r w:rsidRPr="003E7BC2">
          <w:rPr>
            <w:rStyle w:val="Hipervnculo"/>
            <w:color w:val="auto"/>
            <w:lang w:val="en-US"/>
          </w:rPr>
          <w:t>https://doi.org/10.1093/deafed/enq060</w:t>
        </w:r>
      </w:hyperlink>
      <w:r w:rsidRPr="003E7BC2">
        <w:rPr>
          <w:lang w:val="en-US"/>
        </w:rPr>
        <w:t xml:space="preserve"> </w:t>
      </w:r>
    </w:p>
    <w:p w14:paraId="3F18FCF5" w14:textId="77777777" w:rsidR="004E43DA" w:rsidRPr="003E7BC2" w:rsidRDefault="004E43DA" w:rsidP="004E43DA">
      <w:pPr>
        <w:pStyle w:val="Tabletitle"/>
        <w:spacing w:before="0" w:line="480" w:lineRule="auto"/>
        <w:ind w:left="720" w:hanging="720"/>
        <w:rPr>
          <w:lang w:val="en-US"/>
        </w:rPr>
      </w:pPr>
      <w:r w:rsidRPr="003E7BC2">
        <w:rPr>
          <w:lang w:val="en-US"/>
        </w:rPr>
        <w:t>Schroedel, J. G., &amp; Geyer, P. D. (2001). Enhancing the career advancement of workers with hearing loss: Results from a national follow-up survey. </w:t>
      </w:r>
      <w:r w:rsidRPr="003E7BC2">
        <w:rPr>
          <w:i/>
          <w:iCs/>
          <w:lang w:val="en-US"/>
        </w:rPr>
        <w:t>Journal of Applied Rehabilitation Counseling</w:t>
      </w:r>
      <w:r w:rsidRPr="003E7BC2">
        <w:rPr>
          <w:lang w:val="en-US"/>
        </w:rPr>
        <w:t>, </w:t>
      </w:r>
      <w:r w:rsidRPr="003E7BC2">
        <w:rPr>
          <w:i/>
          <w:iCs/>
          <w:lang w:val="en-US"/>
        </w:rPr>
        <w:t>32</w:t>
      </w:r>
      <w:r w:rsidRPr="003E7BC2">
        <w:rPr>
          <w:lang w:val="en-US"/>
        </w:rPr>
        <w:t xml:space="preserve">(3), 35-44. </w:t>
      </w:r>
      <w:hyperlink r:id="rId41" w:history="1">
        <w:r w:rsidRPr="003E7BC2">
          <w:rPr>
            <w:rStyle w:val="Hipervnculo"/>
            <w:color w:val="auto"/>
            <w:lang w:val="en-US"/>
          </w:rPr>
          <w:t>http://doi.org/10.1891/0047-2220.32.3.35</w:t>
        </w:r>
      </w:hyperlink>
    </w:p>
    <w:p w14:paraId="3CAD187F" w14:textId="77777777" w:rsidR="004E43DA" w:rsidRPr="003E7BC2" w:rsidRDefault="004E43DA" w:rsidP="004E43DA">
      <w:pPr>
        <w:pStyle w:val="Tabletitle"/>
        <w:spacing w:before="0" w:line="480" w:lineRule="auto"/>
        <w:ind w:left="720" w:hanging="720"/>
        <w:rPr>
          <w:lang w:val="en-US"/>
        </w:rPr>
      </w:pPr>
      <w:r w:rsidRPr="003E7BC2">
        <w:rPr>
          <w:lang w:val="en-US"/>
        </w:rPr>
        <w:t xml:space="preserve">Schroedel, J. G., &amp; Geyer, P. D. (2000). Long-term career attainments of deaf and hard of hearing college graduates: Results from a 15-year follow-up </w:t>
      </w:r>
      <w:r w:rsidRPr="003E7BC2">
        <w:rPr>
          <w:lang w:val="en-US"/>
        </w:rPr>
        <w:lastRenderedPageBreak/>
        <w:t>survey. </w:t>
      </w:r>
      <w:r w:rsidRPr="003E7BC2">
        <w:rPr>
          <w:i/>
          <w:iCs/>
          <w:lang w:val="en-US"/>
        </w:rPr>
        <w:t>American Annals of the Deaf</w:t>
      </w:r>
      <w:r w:rsidRPr="003E7BC2">
        <w:rPr>
          <w:lang w:val="en-US"/>
        </w:rPr>
        <w:t>, </w:t>
      </w:r>
      <w:r w:rsidRPr="003E7BC2">
        <w:rPr>
          <w:i/>
          <w:iCs/>
          <w:lang w:val="en-US"/>
        </w:rPr>
        <w:t>145</w:t>
      </w:r>
      <w:r w:rsidRPr="003E7BC2">
        <w:rPr>
          <w:lang w:val="en-US"/>
        </w:rPr>
        <w:t xml:space="preserve">(4), 303-314. </w:t>
      </w:r>
      <w:hyperlink r:id="rId42" w:history="1">
        <w:r w:rsidRPr="003E7BC2">
          <w:rPr>
            <w:rStyle w:val="Hipervnculo"/>
            <w:color w:val="auto"/>
            <w:lang w:val="en-US"/>
          </w:rPr>
          <w:t>https://doi.org/10.1353/aad.2012.0099</w:t>
        </w:r>
      </w:hyperlink>
    </w:p>
    <w:p w14:paraId="5791A3A4" w14:textId="77777777" w:rsidR="004E43DA" w:rsidRPr="003E7BC2" w:rsidRDefault="004E43DA" w:rsidP="004E43DA">
      <w:pPr>
        <w:pStyle w:val="Tabletitle"/>
        <w:spacing w:before="0" w:line="480" w:lineRule="auto"/>
        <w:ind w:left="720" w:hanging="720"/>
        <w:rPr>
          <w:lang w:val="en-US"/>
        </w:rPr>
      </w:pPr>
      <w:r w:rsidRPr="003E7BC2">
        <w:rPr>
          <w:lang w:val="en-US"/>
        </w:rPr>
        <w:t>Schroedel, J. G., Geyer, P. D., &amp; Mc Gee, S. K. (1996). Career success of deaf and hard of hearing graduates: Preliminary findings of a ten-year study. In </w:t>
      </w:r>
      <w:proofErr w:type="gramStart"/>
      <w:r w:rsidRPr="003E7BC2">
        <w:rPr>
          <w:i/>
          <w:iCs/>
          <w:lang w:val="en-US"/>
        </w:rPr>
        <w:t>Biennial</w:t>
      </w:r>
      <w:proofErr w:type="gramEnd"/>
      <w:r w:rsidRPr="003E7BC2">
        <w:rPr>
          <w:i/>
          <w:iCs/>
          <w:lang w:val="en-US"/>
        </w:rPr>
        <w:t xml:space="preserve"> Conference on Postsecondary Education for Persons Who Are Deaf or Hard of Hearing (7th, Knoxville, Tennessee</w:t>
      </w:r>
      <w:r w:rsidRPr="003E7BC2">
        <w:rPr>
          <w:lang w:val="en-US"/>
        </w:rPr>
        <w:t> (Vol. 948, p. 285)).</w:t>
      </w:r>
    </w:p>
    <w:p w14:paraId="6E0D5C52" w14:textId="77777777" w:rsidR="008C361B" w:rsidRPr="003E7BC2" w:rsidRDefault="008C361B" w:rsidP="008C361B">
      <w:pPr>
        <w:pStyle w:val="Tabletitle"/>
        <w:spacing w:before="0" w:line="480" w:lineRule="auto"/>
        <w:ind w:left="720" w:hanging="720"/>
        <w:rPr>
          <w:lang w:val="en-US"/>
        </w:rPr>
      </w:pPr>
      <w:r w:rsidRPr="003E7BC2">
        <w:rPr>
          <w:lang w:val="en-US"/>
        </w:rPr>
        <w:t>Scruggs, A. T. (2017). </w:t>
      </w:r>
      <w:r w:rsidRPr="003E7BC2">
        <w:rPr>
          <w:i/>
          <w:iCs/>
          <w:lang w:val="en-US"/>
        </w:rPr>
        <w:t>Deaf Experiences: An Exploration of Psychological and Emotional Well-Being Among Deaf American Adults</w:t>
      </w:r>
      <w:r w:rsidRPr="003E7BC2">
        <w:rPr>
          <w:lang w:val="en-US"/>
        </w:rPr>
        <w:t xml:space="preserve"> [Doctoral dissertation, Middle Tennessee State University].</w:t>
      </w:r>
    </w:p>
    <w:p w14:paraId="21144B2F" w14:textId="77777777" w:rsidR="00D647BF" w:rsidRPr="003E7BC2" w:rsidRDefault="00D647BF" w:rsidP="00D647BF">
      <w:pPr>
        <w:pStyle w:val="Tabletitle"/>
        <w:spacing w:before="0" w:line="480" w:lineRule="auto"/>
        <w:ind w:left="720" w:hanging="720"/>
        <w:rPr>
          <w:lang w:val="en-US"/>
        </w:rPr>
      </w:pPr>
      <w:r w:rsidRPr="003E7BC2">
        <w:rPr>
          <w:lang w:val="en-US"/>
        </w:rPr>
        <w:t>Tanner, K. K. (2018). </w:t>
      </w:r>
      <w:r w:rsidRPr="003E7BC2">
        <w:rPr>
          <w:i/>
          <w:iCs/>
          <w:lang w:val="en-US"/>
        </w:rPr>
        <w:t>An Examination of Home, School, and Community Experiences of High-Achieving Deaf Adults</w:t>
      </w:r>
      <w:r w:rsidRPr="003E7BC2">
        <w:rPr>
          <w:lang w:val="en-US"/>
        </w:rPr>
        <w:t> [Doctoral dissertation, Western Connecticut State University].</w:t>
      </w:r>
    </w:p>
    <w:p w14:paraId="22950951" w14:textId="77777777" w:rsidR="00D647BF" w:rsidRPr="003E7BC2" w:rsidRDefault="00D647BF" w:rsidP="00D647BF">
      <w:pPr>
        <w:pStyle w:val="Tabletitle"/>
        <w:spacing w:before="0" w:line="480" w:lineRule="auto"/>
        <w:ind w:left="720" w:hanging="720"/>
        <w:rPr>
          <w:lang w:val="en-US"/>
        </w:rPr>
      </w:pPr>
      <w:r w:rsidRPr="003E7BC2">
        <w:rPr>
          <w:lang w:val="en-US"/>
        </w:rPr>
        <w:t>Thompson, S., &amp; Easterbrooks, S. R. (2019). Employment and Quality of Life in Adults who are Deaf. </w:t>
      </w:r>
      <w:r w:rsidRPr="003E7BC2">
        <w:rPr>
          <w:i/>
          <w:iCs/>
          <w:lang w:val="en-US"/>
        </w:rPr>
        <w:t>JADARA</w:t>
      </w:r>
      <w:r w:rsidRPr="003E7BC2">
        <w:rPr>
          <w:lang w:val="en-US"/>
        </w:rPr>
        <w:t>, </w:t>
      </w:r>
      <w:r w:rsidRPr="003E7BC2">
        <w:rPr>
          <w:i/>
          <w:iCs/>
          <w:lang w:val="en-US"/>
        </w:rPr>
        <w:t>40</w:t>
      </w:r>
      <w:r w:rsidRPr="003E7BC2">
        <w:rPr>
          <w:lang w:val="en-US"/>
        </w:rPr>
        <w:t>(1), 5.</w:t>
      </w:r>
    </w:p>
    <w:p w14:paraId="4A932797" w14:textId="77777777" w:rsidR="00D647BF" w:rsidRPr="003E7BC2" w:rsidRDefault="00D647BF" w:rsidP="00D647BF">
      <w:pPr>
        <w:pStyle w:val="Tabletitle"/>
        <w:spacing w:before="0" w:line="480" w:lineRule="auto"/>
        <w:ind w:left="720" w:hanging="720"/>
      </w:pPr>
      <w:r w:rsidRPr="003E7BC2">
        <w:rPr>
          <w:lang w:val="en-US"/>
        </w:rPr>
        <w:t>Torres, F. C. (2019). Facing and Overcoming Academic Challenges. </w:t>
      </w:r>
      <w:r w:rsidRPr="003E7BC2">
        <w:rPr>
          <w:i/>
          <w:iCs/>
          <w:lang w:val="en-US"/>
        </w:rPr>
        <w:t>American annals of the deaf</w:t>
      </w:r>
      <w:r w:rsidRPr="003E7BC2">
        <w:rPr>
          <w:lang w:val="en-US"/>
        </w:rPr>
        <w:t>, </w:t>
      </w:r>
      <w:r w:rsidRPr="003E7BC2">
        <w:rPr>
          <w:i/>
          <w:iCs/>
          <w:lang w:val="en-US"/>
        </w:rPr>
        <w:t>164</w:t>
      </w:r>
      <w:r w:rsidRPr="003E7BC2">
        <w:rPr>
          <w:lang w:val="en-US"/>
        </w:rPr>
        <w:t xml:space="preserve">(1), 10-36. </w:t>
      </w:r>
      <w:hyperlink r:id="rId43" w:history="1">
        <w:r w:rsidRPr="003E7BC2">
          <w:rPr>
            <w:rStyle w:val="Hipervnculo"/>
            <w:color w:val="auto"/>
            <w:lang w:val="en-US"/>
          </w:rPr>
          <w:t>https://doi.org/10.1353/aad.2019.0008</w:t>
        </w:r>
      </w:hyperlink>
    </w:p>
    <w:p w14:paraId="3F6DF3BE" w14:textId="77777777" w:rsidR="00EF0C80" w:rsidRPr="003E7BC2" w:rsidRDefault="00EF0C80" w:rsidP="00EF0C80">
      <w:pPr>
        <w:pStyle w:val="Tabletitle"/>
        <w:spacing w:before="0" w:line="480" w:lineRule="auto"/>
        <w:ind w:left="720" w:hanging="720"/>
        <w:rPr>
          <w:lang w:val="en-US"/>
        </w:rPr>
      </w:pPr>
      <w:proofErr w:type="spellStart"/>
      <w:r w:rsidRPr="003E7BC2">
        <w:rPr>
          <w:lang w:val="en-US"/>
        </w:rPr>
        <w:t>Tsimpida</w:t>
      </w:r>
      <w:proofErr w:type="spellEnd"/>
      <w:r w:rsidRPr="003E7BC2">
        <w:rPr>
          <w:lang w:val="en-US"/>
        </w:rPr>
        <w:t xml:space="preserve">, D., </w:t>
      </w:r>
      <w:proofErr w:type="spellStart"/>
      <w:r w:rsidRPr="003E7BC2">
        <w:rPr>
          <w:lang w:val="en-US"/>
        </w:rPr>
        <w:t>Kaitelidou</w:t>
      </w:r>
      <w:proofErr w:type="spellEnd"/>
      <w:r w:rsidRPr="003E7BC2">
        <w:rPr>
          <w:lang w:val="en-US"/>
        </w:rPr>
        <w:t>, D., &amp; Galanis, P. (2018). Determinants of health-related quality of life (</w:t>
      </w:r>
      <w:proofErr w:type="spellStart"/>
      <w:r w:rsidRPr="003E7BC2">
        <w:rPr>
          <w:lang w:val="en-US"/>
        </w:rPr>
        <w:t>HRQoL</w:t>
      </w:r>
      <w:proofErr w:type="spellEnd"/>
      <w:r w:rsidRPr="003E7BC2">
        <w:rPr>
          <w:lang w:val="en-US"/>
        </w:rPr>
        <w:t>) among deaf and hard of hearing adults in Greece: a cross-sectional study. </w:t>
      </w:r>
      <w:r w:rsidRPr="003E7BC2">
        <w:rPr>
          <w:i/>
          <w:iCs/>
          <w:lang w:val="en-US"/>
        </w:rPr>
        <w:t>Archives of Public Health</w:t>
      </w:r>
      <w:r w:rsidRPr="003E7BC2">
        <w:rPr>
          <w:lang w:val="en-US"/>
        </w:rPr>
        <w:t>, </w:t>
      </w:r>
      <w:r w:rsidRPr="003E7BC2">
        <w:rPr>
          <w:i/>
          <w:iCs/>
          <w:lang w:val="en-US"/>
        </w:rPr>
        <w:t>76</w:t>
      </w:r>
      <w:r w:rsidRPr="003E7BC2">
        <w:rPr>
          <w:lang w:val="en-US"/>
        </w:rPr>
        <w:t xml:space="preserve">(1), 1-11. </w:t>
      </w:r>
      <w:hyperlink r:id="rId44" w:history="1">
        <w:r w:rsidRPr="003E7BC2">
          <w:rPr>
            <w:rStyle w:val="Hipervnculo"/>
            <w:color w:val="auto"/>
            <w:lang w:val="en-US"/>
          </w:rPr>
          <w:t>https://doi.org/10.1186/s13690-018-0304-2</w:t>
        </w:r>
      </w:hyperlink>
    </w:p>
    <w:p w14:paraId="3BAF08E6" w14:textId="2A2CF77B" w:rsidR="00903D80" w:rsidRPr="003E7BC2" w:rsidRDefault="0018642A" w:rsidP="004F6BEB">
      <w:pPr>
        <w:pStyle w:val="Tabletitle"/>
        <w:spacing w:before="0" w:line="480" w:lineRule="auto"/>
        <w:ind w:left="720" w:hanging="720"/>
        <w:rPr>
          <w:lang w:val="en-US"/>
        </w:rPr>
      </w:pPr>
      <w:r w:rsidRPr="003E7BC2">
        <w:rPr>
          <w:lang w:val="en-US"/>
        </w:rPr>
        <w:t xml:space="preserve">Walter, G. G., </w:t>
      </w:r>
      <w:proofErr w:type="spellStart"/>
      <w:r w:rsidRPr="003E7BC2">
        <w:rPr>
          <w:lang w:val="en-US"/>
        </w:rPr>
        <w:t>Clarcq</w:t>
      </w:r>
      <w:proofErr w:type="spellEnd"/>
      <w:r w:rsidRPr="003E7BC2">
        <w:rPr>
          <w:lang w:val="en-US"/>
        </w:rPr>
        <w:t>, J. R., &amp; Thompson, W. S. (2002). Effect of degree attainment on improving the economic status of individuals who are deaf. </w:t>
      </w:r>
      <w:r w:rsidRPr="003E7BC2">
        <w:rPr>
          <w:i/>
          <w:iCs/>
          <w:lang w:val="en-US"/>
        </w:rPr>
        <w:t>JADARA-ROCHESTER NY-</w:t>
      </w:r>
      <w:r w:rsidRPr="003E7BC2">
        <w:rPr>
          <w:lang w:val="en-US"/>
        </w:rPr>
        <w:t>, </w:t>
      </w:r>
      <w:r w:rsidRPr="003E7BC2">
        <w:rPr>
          <w:i/>
          <w:iCs/>
          <w:lang w:val="en-US"/>
        </w:rPr>
        <w:t>35</w:t>
      </w:r>
      <w:r w:rsidRPr="003E7BC2">
        <w:rPr>
          <w:lang w:val="en-US"/>
        </w:rPr>
        <w:t>(3), 30-46.</w:t>
      </w:r>
    </w:p>
    <w:sectPr w:rsidR="00903D80" w:rsidRPr="003E7BC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AC75F" w14:textId="77777777" w:rsidR="00104F45" w:rsidRDefault="00104F45" w:rsidP="00104F45">
      <w:pPr>
        <w:spacing w:line="240" w:lineRule="auto"/>
      </w:pPr>
      <w:r>
        <w:separator/>
      </w:r>
    </w:p>
  </w:endnote>
  <w:endnote w:type="continuationSeparator" w:id="0">
    <w:p w14:paraId="3A5FF665" w14:textId="77777777" w:rsidR="00104F45" w:rsidRDefault="00104F45" w:rsidP="00104F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94F1" w14:textId="77777777" w:rsidR="00104F45" w:rsidRDefault="00104F45" w:rsidP="00104F45">
      <w:pPr>
        <w:spacing w:line="240" w:lineRule="auto"/>
      </w:pPr>
      <w:r>
        <w:separator/>
      </w:r>
    </w:p>
  </w:footnote>
  <w:footnote w:type="continuationSeparator" w:id="0">
    <w:p w14:paraId="4803D8B8" w14:textId="77777777" w:rsidR="00104F45" w:rsidRDefault="00104F45" w:rsidP="00104F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015121"/>
    <w:multiLevelType w:val="hybridMultilevel"/>
    <w:tmpl w:val="DA46705C"/>
    <w:lvl w:ilvl="0" w:tplc="42E4B82A">
      <w:numFmt w:val="bullet"/>
      <w:lvlText w:val=""/>
      <w:lvlJc w:val="left"/>
      <w:pPr>
        <w:ind w:left="1080" w:hanging="360"/>
      </w:pPr>
      <w:rPr>
        <w:rFonts w:ascii="Symbol" w:eastAsia="Times New Roman" w:hAnsi="Symbo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563E86"/>
    <w:multiLevelType w:val="multilevel"/>
    <w:tmpl w:val="ADDC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B213D7"/>
    <w:multiLevelType w:val="multilevel"/>
    <w:tmpl w:val="A91AE6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58E48EE"/>
    <w:multiLevelType w:val="multilevel"/>
    <w:tmpl w:val="27F0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43757D"/>
    <w:multiLevelType w:val="hybridMultilevel"/>
    <w:tmpl w:val="2C4CED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6345AB"/>
    <w:multiLevelType w:val="multilevel"/>
    <w:tmpl w:val="C720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573026">
    <w:abstractNumId w:val="27"/>
  </w:num>
  <w:num w:numId="2" w16cid:durableId="482552912">
    <w:abstractNumId w:val="18"/>
  </w:num>
  <w:num w:numId="3" w16cid:durableId="1762339375">
    <w:abstractNumId w:val="23"/>
  </w:num>
  <w:num w:numId="4" w16cid:durableId="1872186873">
    <w:abstractNumId w:val="1"/>
  </w:num>
  <w:num w:numId="5" w16cid:durableId="1906599337">
    <w:abstractNumId w:val="2"/>
  </w:num>
  <w:num w:numId="6" w16cid:durableId="1736513872">
    <w:abstractNumId w:val="3"/>
  </w:num>
  <w:num w:numId="7" w16cid:durableId="2072923375">
    <w:abstractNumId w:val="4"/>
  </w:num>
  <w:num w:numId="8" w16cid:durableId="383605144">
    <w:abstractNumId w:val="9"/>
  </w:num>
  <w:num w:numId="9" w16cid:durableId="394621421">
    <w:abstractNumId w:val="5"/>
  </w:num>
  <w:num w:numId="10" w16cid:durableId="1643390576">
    <w:abstractNumId w:val="7"/>
  </w:num>
  <w:num w:numId="11" w16cid:durableId="1014764453">
    <w:abstractNumId w:val="6"/>
  </w:num>
  <w:num w:numId="12" w16cid:durableId="973875077">
    <w:abstractNumId w:val="10"/>
  </w:num>
  <w:num w:numId="13" w16cid:durableId="1681195917">
    <w:abstractNumId w:val="8"/>
  </w:num>
  <w:num w:numId="14" w16cid:durableId="1136067460">
    <w:abstractNumId w:val="21"/>
  </w:num>
  <w:num w:numId="15" w16cid:durableId="1595934447">
    <w:abstractNumId w:val="24"/>
  </w:num>
  <w:num w:numId="16" w16cid:durableId="342629208">
    <w:abstractNumId w:val="15"/>
  </w:num>
  <w:num w:numId="17" w16cid:durableId="1241594616">
    <w:abstractNumId w:val="20"/>
  </w:num>
  <w:num w:numId="18" w16cid:durableId="985668347">
    <w:abstractNumId w:val="11"/>
  </w:num>
  <w:num w:numId="19" w16cid:durableId="1696881582">
    <w:abstractNumId w:val="0"/>
  </w:num>
  <w:num w:numId="20" w16cid:durableId="518549145">
    <w:abstractNumId w:val="13"/>
  </w:num>
  <w:num w:numId="21" w16cid:durableId="272059618">
    <w:abstractNumId w:val="22"/>
  </w:num>
  <w:num w:numId="22" w16cid:durableId="1484588766">
    <w:abstractNumId w:val="25"/>
  </w:num>
  <w:num w:numId="23" w16cid:durableId="1677465531">
    <w:abstractNumId w:val="26"/>
  </w:num>
  <w:num w:numId="24" w16cid:durableId="576476021">
    <w:abstractNumId w:val="14"/>
  </w:num>
  <w:num w:numId="25" w16cid:durableId="991638391">
    <w:abstractNumId w:val="28"/>
  </w:num>
  <w:num w:numId="26" w16cid:durableId="1088504446">
    <w:abstractNumId w:val="12"/>
  </w:num>
  <w:num w:numId="27" w16cid:durableId="1689330680">
    <w:abstractNumId w:val="19"/>
  </w:num>
  <w:num w:numId="28" w16cid:durableId="1352685444">
    <w:abstractNumId w:val="16"/>
  </w:num>
  <w:num w:numId="29" w16cid:durableId="1245383249">
    <w:abstractNumId w:val="17"/>
  </w:num>
  <w:num w:numId="30" w16cid:durableId="1090571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F1"/>
    <w:rsid w:val="00091C47"/>
    <w:rsid w:val="000C12F1"/>
    <w:rsid w:val="000C2930"/>
    <w:rsid w:val="000E4227"/>
    <w:rsid w:val="00104F45"/>
    <w:rsid w:val="00130EE0"/>
    <w:rsid w:val="0018642A"/>
    <w:rsid w:val="003E7BC2"/>
    <w:rsid w:val="004360AB"/>
    <w:rsid w:val="00462BB7"/>
    <w:rsid w:val="004E43DA"/>
    <w:rsid w:val="004F6BEB"/>
    <w:rsid w:val="005E54BA"/>
    <w:rsid w:val="00681DD6"/>
    <w:rsid w:val="006E09C7"/>
    <w:rsid w:val="007D4842"/>
    <w:rsid w:val="008C361B"/>
    <w:rsid w:val="00903D80"/>
    <w:rsid w:val="009D3288"/>
    <w:rsid w:val="00A102E1"/>
    <w:rsid w:val="00A61DE4"/>
    <w:rsid w:val="00A76B86"/>
    <w:rsid w:val="00A8654F"/>
    <w:rsid w:val="00A96EEA"/>
    <w:rsid w:val="00B06808"/>
    <w:rsid w:val="00B41108"/>
    <w:rsid w:val="00BE5406"/>
    <w:rsid w:val="00BF7400"/>
    <w:rsid w:val="00C524CD"/>
    <w:rsid w:val="00D05BB6"/>
    <w:rsid w:val="00D10F2E"/>
    <w:rsid w:val="00D647BF"/>
    <w:rsid w:val="00DE03C2"/>
    <w:rsid w:val="00DE5A12"/>
    <w:rsid w:val="00EC18BB"/>
    <w:rsid w:val="00ED5241"/>
    <w:rsid w:val="00EF0C80"/>
    <w:rsid w:val="00F34FB1"/>
    <w:rsid w:val="00FF06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B2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2F1"/>
    <w:pPr>
      <w:spacing w:after="0" w:line="480" w:lineRule="auto"/>
    </w:pPr>
    <w:rPr>
      <w:rFonts w:ascii="Times New Roman" w:eastAsia="Times New Roman" w:hAnsi="Times New Roman" w:cs="Times New Roman"/>
      <w:kern w:val="0"/>
      <w:sz w:val="24"/>
      <w:szCs w:val="24"/>
      <w:lang w:val="en-GB" w:eastAsia="en-GB"/>
      <w14:ligatures w14:val="none"/>
    </w:rPr>
  </w:style>
  <w:style w:type="paragraph" w:styleId="Ttulo1">
    <w:name w:val="heading 1"/>
    <w:basedOn w:val="Normal"/>
    <w:next w:val="Normal"/>
    <w:link w:val="Ttulo1Car"/>
    <w:qFormat/>
    <w:rsid w:val="000C1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0C1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0C12F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0C12F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12F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12F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12F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12F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12F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C12F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0C12F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0C12F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rsid w:val="000C12F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12F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12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12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12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12F1"/>
    <w:rPr>
      <w:rFonts w:eastAsiaTheme="majorEastAsia" w:cstheme="majorBidi"/>
      <w:color w:val="272727" w:themeColor="text1" w:themeTint="D8"/>
    </w:rPr>
  </w:style>
  <w:style w:type="paragraph" w:styleId="Ttulo">
    <w:name w:val="Title"/>
    <w:basedOn w:val="Normal"/>
    <w:next w:val="Normal"/>
    <w:link w:val="TtuloCar"/>
    <w:uiPriority w:val="10"/>
    <w:qFormat/>
    <w:rsid w:val="000C1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12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12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12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12F1"/>
    <w:pPr>
      <w:spacing w:before="160"/>
      <w:jc w:val="center"/>
    </w:pPr>
    <w:rPr>
      <w:i/>
      <w:iCs/>
      <w:color w:val="404040" w:themeColor="text1" w:themeTint="BF"/>
    </w:rPr>
  </w:style>
  <w:style w:type="character" w:customStyle="1" w:styleId="CitaCar">
    <w:name w:val="Cita Car"/>
    <w:basedOn w:val="Fuentedeprrafopredeter"/>
    <w:link w:val="Cita"/>
    <w:uiPriority w:val="29"/>
    <w:rsid w:val="000C12F1"/>
    <w:rPr>
      <w:i/>
      <w:iCs/>
      <w:color w:val="404040" w:themeColor="text1" w:themeTint="BF"/>
    </w:rPr>
  </w:style>
  <w:style w:type="paragraph" w:styleId="Prrafodelista">
    <w:name w:val="List Paragraph"/>
    <w:basedOn w:val="Normal"/>
    <w:uiPriority w:val="34"/>
    <w:qFormat/>
    <w:rsid w:val="000C12F1"/>
    <w:pPr>
      <w:ind w:left="720"/>
      <w:contextualSpacing/>
    </w:pPr>
  </w:style>
  <w:style w:type="character" w:styleId="nfasisintenso">
    <w:name w:val="Intense Emphasis"/>
    <w:basedOn w:val="Fuentedeprrafopredeter"/>
    <w:uiPriority w:val="21"/>
    <w:qFormat/>
    <w:rsid w:val="000C12F1"/>
    <w:rPr>
      <w:i/>
      <w:iCs/>
      <w:color w:val="0F4761" w:themeColor="accent1" w:themeShade="BF"/>
    </w:rPr>
  </w:style>
  <w:style w:type="paragraph" w:styleId="Citadestacada">
    <w:name w:val="Intense Quote"/>
    <w:basedOn w:val="Normal"/>
    <w:next w:val="Normal"/>
    <w:link w:val="CitadestacadaCar"/>
    <w:uiPriority w:val="30"/>
    <w:qFormat/>
    <w:rsid w:val="000C1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12F1"/>
    <w:rPr>
      <w:i/>
      <w:iCs/>
      <w:color w:val="0F4761" w:themeColor="accent1" w:themeShade="BF"/>
    </w:rPr>
  </w:style>
  <w:style w:type="character" w:styleId="Referenciaintensa">
    <w:name w:val="Intense Reference"/>
    <w:basedOn w:val="Fuentedeprrafopredeter"/>
    <w:uiPriority w:val="32"/>
    <w:qFormat/>
    <w:rsid w:val="000C12F1"/>
    <w:rPr>
      <w:b/>
      <w:bCs/>
      <w:smallCaps/>
      <w:color w:val="0F4761" w:themeColor="accent1" w:themeShade="BF"/>
      <w:spacing w:val="5"/>
    </w:rPr>
  </w:style>
  <w:style w:type="paragraph" w:customStyle="1" w:styleId="Articletitle">
    <w:name w:val="Article title"/>
    <w:basedOn w:val="Normal"/>
    <w:next w:val="Normal"/>
    <w:qFormat/>
    <w:rsid w:val="000C12F1"/>
    <w:pPr>
      <w:spacing w:after="120" w:line="360" w:lineRule="auto"/>
    </w:pPr>
    <w:rPr>
      <w:b/>
      <w:sz w:val="28"/>
    </w:rPr>
  </w:style>
  <w:style w:type="paragraph" w:customStyle="1" w:styleId="Authornames">
    <w:name w:val="Author names"/>
    <w:basedOn w:val="Normal"/>
    <w:next w:val="Normal"/>
    <w:qFormat/>
    <w:rsid w:val="000C12F1"/>
    <w:pPr>
      <w:spacing w:before="240" w:line="360" w:lineRule="auto"/>
    </w:pPr>
    <w:rPr>
      <w:sz w:val="28"/>
    </w:rPr>
  </w:style>
  <w:style w:type="paragraph" w:customStyle="1" w:styleId="Affiliation">
    <w:name w:val="Affiliation"/>
    <w:basedOn w:val="Normal"/>
    <w:qFormat/>
    <w:rsid w:val="000C12F1"/>
    <w:pPr>
      <w:spacing w:before="240" w:line="360" w:lineRule="auto"/>
    </w:pPr>
    <w:rPr>
      <w:i/>
    </w:rPr>
  </w:style>
  <w:style w:type="paragraph" w:customStyle="1" w:styleId="Correspondencedetails">
    <w:name w:val="Correspondence details"/>
    <w:basedOn w:val="Normal"/>
    <w:qFormat/>
    <w:rsid w:val="000C12F1"/>
    <w:pPr>
      <w:spacing w:before="240" w:line="360" w:lineRule="auto"/>
    </w:pPr>
  </w:style>
  <w:style w:type="character" w:styleId="Hipervnculo">
    <w:name w:val="Hyperlink"/>
    <w:basedOn w:val="Fuentedeprrafopredeter"/>
    <w:unhideWhenUsed/>
    <w:rsid w:val="000C12F1"/>
    <w:rPr>
      <w:color w:val="467886" w:themeColor="hyperlink"/>
      <w:u w:val="single"/>
    </w:rPr>
  </w:style>
  <w:style w:type="character" w:styleId="Mencinsinresolver">
    <w:name w:val="Unresolved Mention"/>
    <w:basedOn w:val="Fuentedeprrafopredeter"/>
    <w:uiPriority w:val="99"/>
    <w:semiHidden/>
    <w:unhideWhenUsed/>
    <w:rsid w:val="00FF0640"/>
    <w:rPr>
      <w:color w:val="605E5C"/>
      <w:shd w:val="clear" w:color="auto" w:fill="E1DFDD"/>
    </w:rPr>
  </w:style>
  <w:style w:type="paragraph" w:customStyle="1" w:styleId="Tabletitle">
    <w:name w:val="Table title"/>
    <w:basedOn w:val="Normal"/>
    <w:next w:val="Normal"/>
    <w:qFormat/>
    <w:rsid w:val="00903D80"/>
    <w:pPr>
      <w:spacing w:before="240" w:line="360" w:lineRule="auto"/>
    </w:pPr>
  </w:style>
  <w:style w:type="paragraph" w:customStyle="1" w:styleId="Receiveddates">
    <w:name w:val="Received dates"/>
    <w:basedOn w:val="Affiliation"/>
    <w:next w:val="Normal"/>
    <w:qFormat/>
    <w:rsid w:val="00104F45"/>
  </w:style>
  <w:style w:type="paragraph" w:customStyle="1" w:styleId="Abstract">
    <w:name w:val="Abstract"/>
    <w:basedOn w:val="Normal"/>
    <w:next w:val="Keywords"/>
    <w:qFormat/>
    <w:rsid w:val="00104F45"/>
    <w:pPr>
      <w:spacing w:before="360" w:after="300" w:line="360" w:lineRule="auto"/>
      <w:ind w:left="720" w:right="567"/>
    </w:pPr>
    <w:rPr>
      <w:sz w:val="22"/>
    </w:rPr>
  </w:style>
  <w:style w:type="paragraph" w:customStyle="1" w:styleId="Keywords">
    <w:name w:val="Keywords"/>
    <w:basedOn w:val="Normal"/>
    <w:next w:val="Paragraph"/>
    <w:qFormat/>
    <w:rsid w:val="00104F45"/>
    <w:pPr>
      <w:spacing w:before="240" w:after="240" w:line="360" w:lineRule="auto"/>
      <w:ind w:left="720" w:right="567"/>
    </w:pPr>
    <w:rPr>
      <w:sz w:val="22"/>
    </w:rPr>
  </w:style>
  <w:style w:type="paragraph" w:customStyle="1" w:styleId="Displayedquotation">
    <w:name w:val="Displayed quotation"/>
    <w:basedOn w:val="Normal"/>
    <w:qFormat/>
    <w:rsid w:val="00104F4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104F45"/>
    <w:pPr>
      <w:widowControl/>
      <w:numPr>
        <w:numId w:val="14"/>
      </w:numPr>
      <w:spacing w:after="240"/>
      <w:contextualSpacing/>
    </w:pPr>
  </w:style>
  <w:style w:type="paragraph" w:customStyle="1" w:styleId="Displayedequation">
    <w:name w:val="Displayed equation"/>
    <w:basedOn w:val="Normal"/>
    <w:next w:val="Paragraph"/>
    <w:qFormat/>
    <w:rsid w:val="00104F45"/>
    <w:pPr>
      <w:tabs>
        <w:tab w:val="center" w:pos="4253"/>
        <w:tab w:val="right" w:pos="8222"/>
      </w:tabs>
      <w:spacing w:before="240" w:after="240"/>
      <w:jc w:val="center"/>
    </w:pPr>
  </w:style>
  <w:style w:type="paragraph" w:customStyle="1" w:styleId="Acknowledgements">
    <w:name w:val="Acknowledgements"/>
    <w:basedOn w:val="Normal"/>
    <w:next w:val="Normal"/>
    <w:qFormat/>
    <w:rsid w:val="00104F45"/>
    <w:pPr>
      <w:spacing w:before="120" w:line="360" w:lineRule="auto"/>
    </w:pPr>
    <w:rPr>
      <w:sz w:val="22"/>
    </w:rPr>
  </w:style>
  <w:style w:type="paragraph" w:customStyle="1" w:styleId="Figurecaption">
    <w:name w:val="Figure caption"/>
    <w:basedOn w:val="Normal"/>
    <w:next w:val="Normal"/>
    <w:qFormat/>
    <w:rsid w:val="00104F45"/>
    <w:pPr>
      <w:spacing w:before="240" w:line="360" w:lineRule="auto"/>
    </w:pPr>
  </w:style>
  <w:style w:type="paragraph" w:customStyle="1" w:styleId="Footnotes">
    <w:name w:val="Footnotes"/>
    <w:basedOn w:val="Normal"/>
    <w:qFormat/>
    <w:rsid w:val="00104F45"/>
    <w:pPr>
      <w:spacing w:before="120" w:line="360" w:lineRule="auto"/>
      <w:ind w:left="482" w:hanging="482"/>
      <w:contextualSpacing/>
    </w:pPr>
    <w:rPr>
      <w:sz w:val="22"/>
    </w:rPr>
  </w:style>
  <w:style w:type="paragraph" w:customStyle="1" w:styleId="Notesoncontributors">
    <w:name w:val="Notes on contributors"/>
    <w:basedOn w:val="Normal"/>
    <w:qFormat/>
    <w:rsid w:val="00104F45"/>
    <w:pPr>
      <w:spacing w:before="240" w:line="360" w:lineRule="auto"/>
    </w:pPr>
    <w:rPr>
      <w:sz w:val="22"/>
    </w:rPr>
  </w:style>
  <w:style w:type="paragraph" w:customStyle="1" w:styleId="Normalparagraphstyle">
    <w:name w:val="Normal paragraph style"/>
    <w:basedOn w:val="Normal"/>
    <w:next w:val="Normal"/>
    <w:rsid w:val="00104F45"/>
  </w:style>
  <w:style w:type="paragraph" w:customStyle="1" w:styleId="Paragraph">
    <w:name w:val="Paragraph"/>
    <w:basedOn w:val="Normal"/>
    <w:next w:val="Newparagraph"/>
    <w:qFormat/>
    <w:rsid w:val="00104F45"/>
    <w:pPr>
      <w:widowControl w:val="0"/>
      <w:spacing w:before="240"/>
    </w:pPr>
  </w:style>
  <w:style w:type="paragraph" w:customStyle="1" w:styleId="Newparagraph">
    <w:name w:val="New paragraph"/>
    <w:basedOn w:val="Normal"/>
    <w:qFormat/>
    <w:rsid w:val="00104F45"/>
    <w:pPr>
      <w:ind w:firstLine="720"/>
    </w:pPr>
  </w:style>
  <w:style w:type="paragraph" w:styleId="Sangranormal">
    <w:name w:val="Normal Indent"/>
    <w:basedOn w:val="Normal"/>
    <w:rsid w:val="00104F45"/>
    <w:pPr>
      <w:ind w:left="720"/>
    </w:pPr>
  </w:style>
  <w:style w:type="paragraph" w:customStyle="1" w:styleId="References">
    <w:name w:val="References"/>
    <w:basedOn w:val="Normal"/>
    <w:qFormat/>
    <w:rsid w:val="00104F45"/>
    <w:pPr>
      <w:spacing w:before="120" w:line="360" w:lineRule="auto"/>
      <w:ind w:left="720" w:hanging="720"/>
      <w:contextualSpacing/>
    </w:pPr>
  </w:style>
  <w:style w:type="paragraph" w:customStyle="1" w:styleId="Subjectcodes">
    <w:name w:val="Subject codes"/>
    <w:basedOn w:val="Keywords"/>
    <w:next w:val="Paragraph"/>
    <w:qFormat/>
    <w:rsid w:val="00104F45"/>
  </w:style>
  <w:style w:type="paragraph" w:customStyle="1" w:styleId="Bulletedlist">
    <w:name w:val="Bulleted list"/>
    <w:basedOn w:val="Paragraph"/>
    <w:next w:val="Paragraph"/>
    <w:qFormat/>
    <w:rsid w:val="00104F45"/>
    <w:pPr>
      <w:widowControl/>
      <w:numPr>
        <w:numId w:val="15"/>
      </w:numPr>
      <w:spacing w:after="240"/>
      <w:contextualSpacing/>
    </w:pPr>
  </w:style>
  <w:style w:type="paragraph" w:styleId="Textonotapie">
    <w:name w:val="footnote text"/>
    <w:basedOn w:val="Normal"/>
    <w:link w:val="TextonotapieCar"/>
    <w:autoRedefine/>
    <w:rsid w:val="00104F45"/>
    <w:pPr>
      <w:spacing w:line="240" w:lineRule="auto"/>
      <w:ind w:left="284" w:hanging="284"/>
    </w:pPr>
    <w:rPr>
      <w:sz w:val="22"/>
      <w:szCs w:val="20"/>
    </w:rPr>
  </w:style>
  <w:style w:type="character" w:customStyle="1" w:styleId="TextonotapieCar">
    <w:name w:val="Texto nota pie Car"/>
    <w:basedOn w:val="Fuentedeprrafopredeter"/>
    <w:link w:val="Textonotapie"/>
    <w:rsid w:val="00104F45"/>
    <w:rPr>
      <w:rFonts w:ascii="Times New Roman" w:eastAsia="Times New Roman" w:hAnsi="Times New Roman" w:cs="Times New Roman"/>
      <w:kern w:val="0"/>
      <w:szCs w:val="20"/>
      <w:lang w:val="en-GB" w:eastAsia="en-GB"/>
      <w14:ligatures w14:val="none"/>
    </w:rPr>
  </w:style>
  <w:style w:type="character" w:styleId="Refdenotaalpie">
    <w:name w:val="footnote reference"/>
    <w:basedOn w:val="Fuentedeprrafopredeter"/>
    <w:rsid w:val="00104F45"/>
    <w:rPr>
      <w:vertAlign w:val="superscript"/>
    </w:rPr>
  </w:style>
  <w:style w:type="paragraph" w:styleId="Textonotaalfinal">
    <w:name w:val="endnote text"/>
    <w:basedOn w:val="Normal"/>
    <w:link w:val="TextonotaalfinalCar"/>
    <w:autoRedefine/>
    <w:rsid w:val="00104F45"/>
    <w:pPr>
      <w:ind w:left="284" w:hanging="284"/>
    </w:pPr>
    <w:rPr>
      <w:sz w:val="22"/>
      <w:szCs w:val="20"/>
    </w:rPr>
  </w:style>
  <w:style w:type="character" w:customStyle="1" w:styleId="TextonotaalfinalCar">
    <w:name w:val="Texto nota al final Car"/>
    <w:basedOn w:val="Fuentedeprrafopredeter"/>
    <w:link w:val="Textonotaalfinal"/>
    <w:rsid w:val="00104F45"/>
    <w:rPr>
      <w:rFonts w:ascii="Times New Roman" w:eastAsia="Times New Roman" w:hAnsi="Times New Roman" w:cs="Times New Roman"/>
      <w:kern w:val="0"/>
      <w:szCs w:val="20"/>
      <w:lang w:val="en-GB" w:eastAsia="en-GB"/>
      <w14:ligatures w14:val="none"/>
    </w:rPr>
  </w:style>
  <w:style w:type="character" w:styleId="Refdenotaalfinal">
    <w:name w:val="endnote reference"/>
    <w:basedOn w:val="Fuentedeprrafopredeter"/>
    <w:rsid w:val="00104F45"/>
    <w:rPr>
      <w:vertAlign w:val="superscript"/>
    </w:rPr>
  </w:style>
  <w:style w:type="paragraph" w:styleId="Encabezado">
    <w:name w:val="header"/>
    <w:basedOn w:val="Normal"/>
    <w:link w:val="EncabezadoCar"/>
    <w:uiPriority w:val="99"/>
    <w:rsid w:val="00104F45"/>
    <w:pPr>
      <w:tabs>
        <w:tab w:val="center" w:pos="4320"/>
        <w:tab w:val="right" w:pos="8640"/>
      </w:tabs>
      <w:spacing w:after="120" w:line="240" w:lineRule="auto"/>
      <w:contextualSpacing/>
    </w:pPr>
  </w:style>
  <w:style w:type="character" w:customStyle="1" w:styleId="EncabezadoCar">
    <w:name w:val="Encabezado Car"/>
    <w:basedOn w:val="Fuentedeprrafopredeter"/>
    <w:link w:val="Encabezado"/>
    <w:uiPriority w:val="99"/>
    <w:rsid w:val="00104F45"/>
    <w:rPr>
      <w:rFonts w:ascii="Times New Roman" w:eastAsia="Times New Roman" w:hAnsi="Times New Roman" w:cs="Times New Roman"/>
      <w:kern w:val="0"/>
      <w:sz w:val="24"/>
      <w:szCs w:val="24"/>
      <w:lang w:val="en-GB" w:eastAsia="en-GB"/>
      <w14:ligatures w14:val="none"/>
    </w:rPr>
  </w:style>
  <w:style w:type="paragraph" w:styleId="Piedepgina">
    <w:name w:val="footer"/>
    <w:basedOn w:val="Normal"/>
    <w:link w:val="PiedepginaCar"/>
    <w:rsid w:val="00104F45"/>
    <w:pPr>
      <w:tabs>
        <w:tab w:val="center" w:pos="4320"/>
        <w:tab w:val="right" w:pos="8640"/>
      </w:tabs>
      <w:spacing w:before="240" w:line="240" w:lineRule="auto"/>
      <w:contextualSpacing/>
    </w:pPr>
  </w:style>
  <w:style w:type="character" w:customStyle="1" w:styleId="PiedepginaCar">
    <w:name w:val="Pie de página Car"/>
    <w:basedOn w:val="Fuentedeprrafopredeter"/>
    <w:link w:val="Piedepgina"/>
    <w:rsid w:val="00104F45"/>
    <w:rPr>
      <w:rFonts w:ascii="Times New Roman" w:eastAsia="Times New Roman" w:hAnsi="Times New Roman" w:cs="Times New Roman"/>
      <w:kern w:val="0"/>
      <w:sz w:val="24"/>
      <w:szCs w:val="24"/>
      <w:lang w:val="en-GB" w:eastAsia="en-GB"/>
      <w14:ligatures w14:val="none"/>
    </w:rPr>
  </w:style>
  <w:style w:type="paragraph" w:customStyle="1" w:styleId="Heading4Paragraph">
    <w:name w:val="Heading 4 + Paragraph"/>
    <w:basedOn w:val="Paragraph"/>
    <w:next w:val="Newparagraph"/>
    <w:qFormat/>
    <w:rsid w:val="00104F45"/>
    <w:pPr>
      <w:widowControl/>
      <w:spacing w:before="360"/>
    </w:pPr>
  </w:style>
  <w:style w:type="table" w:styleId="Tablanormal5">
    <w:name w:val="Plain Table 5"/>
    <w:basedOn w:val="Tablanormal"/>
    <w:uiPriority w:val="45"/>
    <w:rsid w:val="00104F45"/>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2">
    <w:name w:val="Plain Table 2"/>
    <w:basedOn w:val="Tablanormal"/>
    <w:uiPriority w:val="42"/>
    <w:rsid w:val="00104F45"/>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104F45"/>
    <w:pPr>
      <w:spacing w:before="100" w:beforeAutospacing="1" w:after="100" w:afterAutospacing="1" w:line="240" w:lineRule="auto"/>
    </w:pPr>
    <w:rPr>
      <w:lang w:val="es-ES" w:eastAsia="es-ES"/>
    </w:rPr>
  </w:style>
  <w:style w:type="character" w:styleId="Textodelmarcadordeposicin">
    <w:name w:val="Placeholder Text"/>
    <w:basedOn w:val="Fuentedeprrafopredeter"/>
    <w:rsid w:val="00104F45"/>
    <w:rPr>
      <w:color w:val="666666"/>
    </w:rPr>
  </w:style>
  <w:style w:type="paragraph" w:styleId="Revisin">
    <w:name w:val="Revision"/>
    <w:hidden/>
    <w:semiHidden/>
    <w:rsid w:val="00104F45"/>
    <w:pPr>
      <w:spacing w:after="0" w:line="240" w:lineRule="auto"/>
    </w:pPr>
    <w:rPr>
      <w:rFonts w:ascii="Times New Roman" w:eastAsia="Times New Roman" w:hAnsi="Times New Roman" w:cs="Times New Roman"/>
      <w:kern w:val="0"/>
      <w:sz w:val="24"/>
      <w:szCs w:val="24"/>
      <w:lang w:val="en-GB" w:eastAsia="en-GB"/>
      <w14:ligatures w14:val="none"/>
    </w:rPr>
  </w:style>
  <w:style w:type="table" w:styleId="Tabladelista1clara">
    <w:name w:val="List Table 1 Light"/>
    <w:basedOn w:val="Tablanormal"/>
    <w:uiPriority w:val="46"/>
    <w:rsid w:val="00104F45"/>
    <w:pPr>
      <w:spacing w:after="0" w:line="240" w:lineRule="auto"/>
    </w:pPr>
    <w:rPr>
      <w:rFonts w:ascii="Times New Roman" w:eastAsia="Times New Roman" w:hAnsi="Times New Roman"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Refdecomentario">
    <w:name w:val="annotation reference"/>
    <w:basedOn w:val="Fuentedeprrafopredeter"/>
    <w:semiHidden/>
    <w:unhideWhenUsed/>
    <w:rsid w:val="00104F45"/>
    <w:rPr>
      <w:sz w:val="16"/>
      <w:szCs w:val="16"/>
    </w:rPr>
  </w:style>
  <w:style w:type="paragraph" w:styleId="Textocomentario">
    <w:name w:val="annotation text"/>
    <w:basedOn w:val="Normal"/>
    <w:link w:val="TextocomentarioCar"/>
    <w:unhideWhenUsed/>
    <w:rsid w:val="00104F45"/>
    <w:pPr>
      <w:spacing w:line="240" w:lineRule="auto"/>
    </w:pPr>
    <w:rPr>
      <w:sz w:val="20"/>
      <w:szCs w:val="20"/>
    </w:rPr>
  </w:style>
  <w:style w:type="character" w:customStyle="1" w:styleId="TextocomentarioCar">
    <w:name w:val="Texto comentario Car"/>
    <w:basedOn w:val="Fuentedeprrafopredeter"/>
    <w:link w:val="Textocomentario"/>
    <w:rsid w:val="00104F45"/>
    <w:rPr>
      <w:rFonts w:ascii="Times New Roman" w:eastAsia="Times New Roman" w:hAnsi="Times New Roman" w:cs="Times New Roman"/>
      <w:kern w:val="0"/>
      <w:sz w:val="20"/>
      <w:szCs w:val="20"/>
      <w:lang w:val="en-GB" w:eastAsia="en-GB"/>
      <w14:ligatures w14:val="none"/>
    </w:rPr>
  </w:style>
  <w:style w:type="paragraph" w:styleId="Asuntodelcomentario">
    <w:name w:val="annotation subject"/>
    <w:basedOn w:val="Textocomentario"/>
    <w:next w:val="Textocomentario"/>
    <w:link w:val="AsuntodelcomentarioCar"/>
    <w:semiHidden/>
    <w:unhideWhenUsed/>
    <w:rsid w:val="00104F45"/>
    <w:rPr>
      <w:b/>
      <w:bCs/>
    </w:rPr>
  </w:style>
  <w:style w:type="character" w:customStyle="1" w:styleId="AsuntodelcomentarioCar">
    <w:name w:val="Asunto del comentario Car"/>
    <w:basedOn w:val="TextocomentarioCar"/>
    <w:link w:val="Asuntodelcomentario"/>
    <w:semiHidden/>
    <w:rsid w:val="00104F45"/>
    <w:rPr>
      <w:rFonts w:ascii="Times New Roman" w:eastAsia="Times New Roman" w:hAnsi="Times New Roman" w:cs="Times New Roman"/>
      <w:b/>
      <w:bCs/>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882-018-9639-4" TargetMode="External"/><Relationship Id="rId18" Type="http://schemas.openxmlformats.org/officeDocument/2006/relationships/hyperlink" Target="https://doi.org/10.1093/deafed/enh053" TargetMode="External"/><Relationship Id="rId26" Type="http://schemas.openxmlformats.org/officeDocument/2006/relationships/hyperlink" Target="https://doi.org/10.1080/09687599.2017.1420631" TargetMode="External"/><Relationship Id="rId39" Type="http://schemas.openxmlformats.org/officeDocument/2006/relationships/hyperlink" Target="https://doi.org/10.1093/deafed/enp001" TargetMode="External"/><Relationship Id="rId21" Type="http://schemas.openxmlformats.org/officeDocument/2006/relationships/hyperlink" Target="https://doi.org/10.1016/j.puhe.2016.09.013" TargetMode="External"/><Relationship Id="rId34" Type="http://schemas.openxmlformats.org/officeDocument/2006/relationships/hyperlink" Target="https://doi.org/10.1353/aad.2022.0031" TargetMode="External"/><Relationship Id="rId42" Type="http://schemas.openxmlformats.org/officeDocument/2006/relationships/hyperlink" Target="https://doi.org/10.1353/aad.2012.0099" TargetMode="External"/><Relationship Id="rId7" Type="http://schemas.openxmlformats.org/officeDocument/2006/relationships/hyperlink" Target="https://doi.org/10.1093/deafed/enr016" TargetMode="External"/><Relationship Id="rId2" Type="http://schemas.openxmlformats.org/officeDocument/2006/relationships/styles" Target="styles.xml"/><Relationship Id="rId16" Type="http://schemas.openxmlformats.org/officeDocument/2006/relationships/hyperlink" Target="https://doi.org/10.1080/010503901750166880" TargetMode="External"/><Relationship Id="rId29" Type="http://schemas.openxmlformats.org/officeDocument/2006/relationships/hyperlink" Target="https://doi.org/10.1353/aad.2012.047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0888691.2014.948157" TargetMode="External"/><Relationship Id="rId24" Type="http://schemas.openxmlformats.org/officeDocument/2006/relationships/hyperlink" Target="https://doi.org/10.17955/tvr.112.1.693" TargetMode="External"/><Relationship Id="rId32" Type="http://schemas.openxmlformats.org/officeDocument/2006/relationships/hyperlink" Target="https://doi.org/10.3109/01050399309046029" TargetMode="External"/><Relationship Id="rId37" Type="http://schemas.openxmlformats.org/officeDocument/2006/relationships/hyperlink" Target="https://doi.org/10.1353/aad.2003.0023" TargetMode="External"/><Relationship Id="rId40" Type="http://schemas.openxmlformats.org/officeDocument/2006/relationships/hyperlink" Target="https://doi.org/10.1093/deafed/enq060"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93/deafed/enw036" TargetMode="External"/><Relationship Id="rId23" Type="http://schemas.openxmlformats.org/officeDocument/2006/relationships/hyperlink" Target="https://doi.org/10.1097/AUD.0000000000000716" TargetMode="External"/><Relationship Id="rId28" Type="http://schemas.openxmlformats.org/officeDocument/2006/relationships/hyperlink" Target="https://doi.org/10.1353/aad.2003.0020" TargetMode="External"/><Relationship Id="rId36" Type="http://schemas.openxmlformats.org/officeDocument/2006/relationships/hyperlink" Target="https://psycnet.apa.org/doi/10.1037/0022-0663.93.3.563" TargetMode="External"/><Relationship Id="rId10" Type="http://schemas.openxmlformats.org/officeDocument/2006/relationships/hyperlink" Target="https://doi.org/10.1080/17483107.2020.1775317" TargetMode="External"/><Relationship Id="rId19" Type="http://schemas.openxmlformats.org/officeDocument/2006/relationships/hyperlink" Target="https://doi.org/10.1093/deafed/4.3.225" TargetMode="External"/><Relationship Id="rId31" Type="http://schemas.openxmlformats.org/officeDocument/2006/relationships/hyperlink" Target="https://doi.org/10.1353/aad.2020.0027" TargetMode="External"/><Relationship Id="rId44" Type="http://schemas.openxmlformats.org/officeDocument/2006/relationships/hyperlink" Target="https://doi.org/10.1186/s13690-018-0304-2" TargetMode="External"/><Relationship Id="rId4" Type="http://schemas.openxmlformats.org/officeDocument/2006/relationships/webSettings" Target="webSettings.xml"/><Relationship Id="rId9" Type="http://schemas.openxmlformats.org/officeDocument/2006/relationships/hyperlink" Target="https://doi.org/10.2224/sbp.2003.31.2.191" TargetMode="External"/><Relationship Id="rId14" Type="http://schemas.openxmlformats.org/officeDocument/2006/relationships/hyperlink" Target="https://doi.org/10.1093/deafed/enz018" TargetMode="External"/><Relationship Id="rId22" Type="http://schemas.openxmlformats.org/officeDocument/2006/relationships/hyperlink" Target="https://doi.org/10.1080/14992020802449008" TargetMode="External"/><Relationship Id="rId27" Type="http://schemas.openxmlformats.org/officeDocument/2006/relationships/hyperlink" Target="https://doi.org/10.1017/S0022215106003641" TargetMode="External"/><Relationship Id="rId30" Type="http://schemas.openxmlformats.org/officeDocument/2006/relationships/hyperlink" Target="https://doi.org/10.1093/deafed/eny018" TargetMode="External"/><Relationship Id="rId35" Type="http://schemas.openxmlformats.org/officeDocument/2006/relationships/hyperlink" Target="https://doi.org/10.1093/deafed/enm011" TargetMode="External"/><Relationship Id="rId43" Type="http://schemas.openxmlformats.org/officeDocument/2006/relationships/hyperlink" Target="https://doi.org/10.1353/aad.2019.0008" TargetMode="External"/><Relationship Id="rId8" Type="http://schemas.openxmlformats.org/officeDocument/2006/relationships/hyperlink" Target="https://doi.org/10.18488/61.v10i2.2978" TargetMode="External"/><Relationship Id="rId3" Type="http://schemas.openxmlformats.org/officeDocument/2006/relationships/settings" Target="settings.xml"/><Relationship Id="rId12" Type="http://schemas.openxmlformats.org/officeDocument/2006/relationships/hyperlink" Target="https://doi.org/10.1093/deafed/enp005" TargetMode="External"/><Relationship Id="rId17" Type="http://schemas.openxmlformats.org/officeDocument/2006/relationships/hyperlink" Target="https://doi.org/10.3233/JVR-191064" TargetMode="External"/><Relationship Id="rId25" Type="http://schemas.openxmlformats.org/officeDocument/2006/relationships/hyperlink" Target="https://doi.org/10.1177/000348941212101201" TargetMode="External"/><Relationship Id="rId33" Type="http://schemas.openxmlformats.org/officeDocument/2006/relationships/hyperlink" Target="https://doi.org/10.1353/aad.2016.0028" TargetMode="External"/><Relationship Id="rId38" Type="http://schemas.openxmlformats.org/officeDocument/2006/relationships/hyperlink" Target="https://doi.org/10.1080/15017419.2010.507375" TargetMode="External"/><Relationship Id="rId46" Type="http://schemas.openxmlformats.org/officeDocument/2006/relationships/theme" Target="theme/theme1.xml"/><Relationship Id="rId20" Type="http://schemas.openxmlformats.org/officeDocument/2006/relationships/hyperlink" Target="https://doi.org/10.1007/s10882-014-9388-y" TargetMode="External"/><Relationship Id="rId41" Type="http://schemas.openxmlformats.org/officeDocument/2006/relationships/hyperlink" Target="http://doi.org/10.1891/0047-2220.32.3.3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5359</Words>
  <Characters>29476</Characters>
  <Application>Microsoft Office Word</Application>
  <DocSecurity>0</DocSecurity>
  <Lines>245</Lines>
  <Paragraphs>69</Paragraphs>
  <ScaleCrop>false</ScaleCrop>
  <Company/>
  <LinksUpToDate>false</LinksUpToDate>
  <CharactersWithSpaces>34766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2025-01-24T12:55:00Z</dcterms:created>
  <dcterms:modified xsi:type="dcterms:W3CDTF">2025-01-24T12:56:00Z</dcterms:modified>
</cp:coreProperties>
</file>