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CC7B1" w14:textId="77777777" w:rsidR="00315C1B"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Appendix 1: Gender differences in birding based on a systematic review </w:t>
      </w:r>
    </w:p>
    <w:p w14:paraId="02D5A347" w14:textId="77777777" w:rsidR="00315C1B" w:rsidRDefault="00315C1B">
      <w:pPr>
        <w:spacing w:line="480" w:lineRule="auto"/>
        <w:rPr>
          <w:rFonts w:ascii="Times New Roman" w:eastAsia="Times New Roman" w:hAnsi="Times New Roman" w:cs="Times New Roman"/>
          <w:sz w:val="24"/>
          <w:szCs w:val="24"/>
        </w:rPr>
      </w:pPr>
    </w:p>
    <w:p w14:paraId="58E58354" w14:textId="77777777" w:rsidR="00315C1B" w:rsidRDefault="00315C1B">
      <w:pPr>
        <w:spacing w:after="0" w:line="480" w:lineRule="auto"/>
        <w:rPr>
          <w:rFonts w:ascii="Times New Roman" w:eastAsia="Times New Roman" w:hAnsi="Times New Roman" w:cs="Times New Roman"/>
          <w:sz w:val="24"/>
          <w:szCs w:val="24"/>
        </w:rPr>
      </w:pPr>
    </w:p>
    <w:p w14:paraId="77EC119E" w14:textId="77777777" w:rsidR="00315C1B"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Methods</w:t>
      </w:r>
    </w:p>
    <w:p w14:paraId="366CE504"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Different databases were used to collect studies about gender differences in birding. On December 12, 2021, a total of 473 results were obtained from Web of Science (</w:t>
      </w:r>
      <w:proofErr w:type="spellStart"/>
      <w:r>
        <w:rPr>
          <w:rFonts w:ascii="Times New Roman" w:eastAsia="Times New Roman" w:hAnsi="Times New Roman" w:cs="Times New Roman"/>
          <w:sz w:val="24"/>
          <w:szCs w:val="24"/>
        </w:rPr>
        <w:t>WoS</w:t>
      </w:r>
      <w:proofErr w:type="spellEnd"/>
      <w:r>
        <w:rPr>
          <w:rFonts w:ascii="Times New Roman" w:eastAsia="Times New Roman" w:hAnsi="Times New Roman" w:cs="Times New Roman"/>
          <w:sz w:val="24"/>
          <w:szCs w:val="24"/>
        </w:rPr>
        <w:t xml:space="preserve">) and 173 from Scopus, when combining “gender differences” and “birding OR birdwatching”. In addition, 64 articles were retrieved from </w:t>
      </w:r>
      <w:proofErr w:type="spellStart"/>
      <w:r>
        <w:rPr>
          <w:rFonts w:ascii="Times New Roman" w:eastAsia="Times New Roman" w:hAnsi="Times New Roman" w:cs="Times New Roman"/>
          <w:sz w:val="24"/>
          <w:szCs w:val="24"/>
        </w:rPr>
        <w:t>PsycInfo</w:t>
      </w:r>
      <w:proofErr w:type="spellEnd"/>
      <w:r>
        <w:rPr>
          <w:rFonts w:ascii="Times New Roman" w:eastAsia="Times New Roman" w:hAnsi="Times New Roman" w:cs="Times New Roman"/>
          <w:sz w:val="24"/>
          <w:szCs w:val="24"/>
        </w:rPr>
        <w:t xml:space="preserve"> (using only birding OR birdwatching) and the first 200 hits in Google Scholar were also saved on December 18, 2021. The number of Google Scholar hits was chosen in accordance with the previous amount of data from </w:t>
      </w:r>
      <w:proofErr w:type="spellStart"/>
      <w:r>
        <w:rPr>
          <w:rFonts w:ascii="Times New Roman" w:eastAsia="Times New Roman" w:hAnsi="Times New Roman" w:cs="Times New Roman"/>
          <w:sz w:val="24"/>
          <w:szCs w:val="24"/>
        </w:rPr>
        <w:t>WoS</w:t>
      </w:r>
      <w:proofErr w:type="spellEnd"/>
      <w:r>
        <w:rPr>
          <w:rFonts w:ascii="Times New Roman" w:eastAsia="Times New Roman" w:hAnsi="Times New Roman" w:cs="Times New Roman"/>
          <w:sz w:val="24"/>
          <w:szCs w:val="24"/>
        </w:rPr>
        <w:t xml:space="preserve"> and Scopus. Google Scholar was used to locate grey literature, such as government reports. Following that, a total of 910 paper was collected. After identifying 45 duplicates, 865 articles remained for screening. From these, all article abstracts were reviewed simultaneously but independently by CR, JV, TH and 754 records were excluded, and the 111 articles were screened. We excluded the following number of articles:</w:t>
      </w:r>
    </w:p>
    <w:p w14:paraId="0A9AA5CB" w14:textId="77777777" w:rsidR="00315C1B" w:rsidRDefault="00000000">
      <w:pPr>
        <w:numPr>
          <w:ilvl w:val="0"/>
          <w:numId w:val="1"/>
        </w:numPr>
        <w:pBdr>
          <w:top w:val="nil"/>
          <w:left w:val="nil"/>
          <w:bottom w:val="nil"/>
          <w:right w:val="nil"/>
          <w:between w:val="nil"/>
        </w:pBdr>
        <w:spacing w:after="0" w:line="480" w:lineRule="auto"/>
        <w:rPr>
          <w:color w:val="000000"/>
          <w:sz w:val="24"/>
          <w:szCs w:val="24"/>
        </w:rPr>
      </w:pPr>
      <w:r>
        <w:rPr>
          <w:rFonts w:ascii="Times New Roman" w:eastAsia="Times New Roman" w:hAnsi="Times New Roman" w:cs="Times New Roman"/>
          <w:color w:val="000000"/>
          <w:sz w:val="24"/>
          <w:szCs w:val="24"/>
        </w:rPr>
        <w:t>Lab duplicates (data identical between different studies of the same team of authors) (N=11)</w:t>
      </w:r>
    </w:p>
    <w:p w14:paraId="69D72054" w14:textId="77777777" w:rsidR="00315C1B" w:rsidRDefault="00000000">
      <w:pPr>
        <w:numPr>
          <w:ilvl w:val="0"/>
          <w:numId w:val="1"/>
        </w:numPr>
        <w:pBdr>
          <w:top w:val="nil"/>
          <w:left w:val="nil"/>
          <w:bottom w:val="nil"/>
          <w:right w:val="nil"/>
          <w:between w:val="nil"/>
        </w:pBdr>
        <w:spacing w:after="0" w:line="480" w:lineRule="auto"/>
        <w:rPr>
          <w:color w:val="000000"/>
          <w:sz w:val="24"/>
          <w:szCs w:val="24"/>
        </w:rPr>
      </w:pPr>
      <w:r>
        <w:rPr>
          <w:rFonts w:ascii="Times New Roman" w:eastAsia="Times New Roman" w:hAnsi="Times New Roman" w:cs="Times New Roman"/>
          <w:color w:val="000000"/>
          <w:sz w:val="24"/>
          <w:szCs w:val="24"/>
        </w:rPr>
        <w:t>No data/measures/scales/items or analysis related to birding or birdwatching (N=4)</w:t>
      </w:r>
    </w:p>
    <w:p w14:paraId="7D003092" w14:textId="77777777" w:rsidR="00315C1B" w:rsidRDefault="00000000">
      <w:pPr>
        <w:numPr>
          <w:ilvl w:val="0"/>
          <w:numId w:val="1"/>
        </w:numPr>
        <w:pBdr>
          <w:top w:val="nil"/>
          <w:left w:val="nil"/>
          <w:bottom w:val="nil"/>
          <w:right w:val="nil"/>
          <w:between w:val="nil"/>
        </w:pBdr>
        <w:spacing w:after="0" w:line="480" w:lineRule="auto"/>
        <w:rPr>
          <w:color w:val="000000"/>
          <w:sz w:val="24"/>
          <w:szCs w:val="24"/>
        </w:rPr>
      </w:pPr>
      <w:r>
        <w:rPr>
          <w:rFonts w:ascii="Times New Roman" w:eastAsia="Times New Roman" w:hAnsi="Times New Roman" w:cs="Times New Roman"/>
          <w:color w:val="000000"/>
          <w:sz w:val="24"/>
          <w:szCs w:val="24"/>
        </w:rPr>
        <w:t>Studies on school pupils/students (N=10)</w:t>
      </w:r>
    </w:p>
    <w:p w14:paraId="0B544D20" w14:textId="77777777" w:rsidR="00315C1B" w:rsidRDefault="00000000">
      <w:pPr>
        <w:numPr>
          <w:ilvl w:val="0"/>
          <w:numId w:val="1"/>
        </w:numPr>
        <w:pBdr>
          <w:top w:val="nil"/>
          <w:left w:val="nil"/>
          <w:bottom w:val="nil"/>
          <w:right w:val="nil"/>
          <w:between w:val="nil"/>
        </w:pBdr>
        <w:spacing w:after="0" w:line="480" w:lineRule="auto"/>
        <w:rPr>
          <w:color w:val="000000"/>
          <w:sz w:val="24"/>
          <w:szCs w:val="24"/>
        </w:rPr>
      </w:pPr>
      <w:r>
        <w:rPr>
          <w:rFonts w:ascii="Times New Roman" w:eastAsia="Times New Roman" w:hAnsi="Times New Roman" w:cs="Times New Roman"/>
          <w:color w:val="000000"/>
          <w:sz w:val="24"/>
          <w:szCs w:val="24"/>
        </w:rPr>
        <w:t>Learning interventions at school (N=3)</w:t>
      </w:r>
    </w:p>
    <w:p w14:paraId="3C1F704F" w14:textId="77777777" w:rsidR="00315C1B" w:rsidRDefault="00000000">
      <w:pPr>
        <w:numPr>
          <w:ilvl w:val="0"/>
          <w:numId w:val="1"/>
        </w:numPr>
        <w:pBdr>
          <w:top w:val="nil"/>
          <w:left w:val="nil"/>
          <w:bottom w:val="nil"/>
          <w:right w:val="nil"/>
          <w:between w:val="nil"/>
        </w:pBdr>
        <w:spacing w:after="0" w:line="480" w:lineRule="auto"/>
        <w:rPr>
          <w:color w:val="000000"/>
          <w:sz w:val="24"/>
          <w:szCs w:val="24"/>
        </w:rPr>
      </w:pPr>
      <w:r>
        <w:rPr>
          <w:rFonts w:ascii="Times New Roman" w:eastAsia="Times New Roman" w:hAnsi="Times New Roman" w:cs="Times New Roman"/>
          <w:color w:val="000000"/>
          <w:sz w:val="24"/>
          <w:szCs w:val="24"/>
        </w:rPr>
        <w:t>Identical dataset to the current study (N=1)</w:t>
      </w:r>
    </w:p>
    <w:p w14:paraId="1D245C92" w14:textId="77777777" w:rsidR="00315C1B" w:rsidRDefault="00000000">
      <w:pPr>
        <w:numPr>
          <w:ilvl w:val="0"/>
          <w:numId w:val="1"/>
        </w:numPr>
        <w:pBdr>
          <w:top w:val="nil"/>
          <w:left w:val="nil"/>
          <w:bottom w:val="nil"/>
          <w:right w:val="nil"/>
          <w:between w:val="nil"/>
        </w:pBdr>
        <w:spacing w:after="0" w:line="480" w:lineRule="auto"/>
        <w:rPr>
          <w:color w:val="000000"/>
          <w:sz w:val="24"/>
          <w:szCs w:val="24"/>
        </w:rPr>
      </w:pPr>
      <w:r>
        <w:rPr>
          <w:rFonts w:ascii="Times New Roman" w:eastAsia="Times New Roman" w:hAnsi="Times New Roman" w:cs="Times New Roman"/>
          <w:color w:val="000000"/>
          <w:sz w:val="24"/>
          <w:szCs w:val="24"/>
        </w:rPr>
        <w:t>Not available (N=2)</w:t>
      </w:r>
    </w:p>
    <w:p w14:paraId="170006A9" w14:textId="77777777" w:rsidR="00315C1B" w:rsidRDefault="00000000">
      <w:pPr>
        <w:numPr>
          <w:ilvl w:val="0"/>
          <w:numId w:val="1"/>
        </w:numPr>
        <w:pBdr>
          <w:top w:val="nil"/>
          <w:left w:val="nil"/>
          <w:bottom w:val="nil"/>
          <w:right w:val="nil"/>
          <w:between w:val="nil"/>
        </w:pBdr>
        <w:spacing w:after="0" w:line="480" w:lineRule="auto"/>
        <w:rPr>
          <w:color w:val="000000"/>
          <w:sz w:val="24"/>
          <w:szCs w:val="24"/>
        </w:rPr>
      </w:pPr>
      <w:r>
        <w:rPr>
          <w:rFonts w:ascii="Times New Roman" w:eastAsia="Times New Roman" w:hAnsi="Times New Roman" w:cs="Times New Roman"/>
          <w:color w:val="000000"/>
          <w:sz w:val="24"/>
          <w:szCs w:val="24"/>
        </w:rPr>
        <w:t>Dissertation abstract (N=2)</w:t>
      </w:r>
    </w:p>
    <w:p w14:paraId="770C4F04" w14:textId="77777777" w:rsidR="00315C1B" w:rsidRDefault="00000000">
      <w:pPr>
        <w:numPr>
          <w:ilvl w:val="0"/>
          <w:numId w:val="1"/>
        </w:numPr>
        <w:pBdr>
          <w:top w:val="nil"/>
          <w:left w:val="nil"/>
          <w:bottom w:val="nil"/>
          <w:right w:val="nil"/>
          <w:between w:val="nil"/>
        </w:pBdr>
        <w:spacing w:after="0" w:line="480" w:lineRule="auto"/>
        <w:rPr>
          <w:color w:val="000000"/>
          <w:sz w:val="24"/>
          <w:szCs w:val="24"/>
        </w:rPr>
      </w:pPr>
      <w:r>
        <w:rPr>
          <w:rFonts w:ascii="Times New Roman" w:eastAsia="Times New Roman" w:hAnsi="Times New Roman" w:cs="Times New Roman"/>
          <w:color w:val="000000"/>
          <w:sz w:val="24"/>
          <w:szCs w:val="24"/>
        </w:rPr>
        <w:t>Only found as citation (not the source N=1)</w:t>
      </w:r>
    </w:p>
    <w:p w14:paraId="2E40538D" w14:textId="77777777" w:rsidR="00315C1B" w:rsidRDefault="00000000">
      <w:pPr>
        <w:numPr>
          <w:ilvl w:val="0"/>
          <w:numId w:val="1"/>
        </w:numPr>
        <w:pBdr>
          <w:top w:val="nil"/>
          <w:left w:val="nil"/>
          <w:bottom w:val="nil"/>
          <w:right w:val="nil"/>
          <w:between w:val="nil"/>
        </w:pBdr>
        <w:spacing w:line="480" w:lineRule="auto"/>
        <w:rPr>
          <w:color w:val="000000"/>
          <w:sz w:val="24"/>
          <w:szCs w:val="24"/>
        </w:rPr>
      </w:pPr>
      <w:r>
        <w:rPr>
          <w:rFonts w:ascii="Times New Roman" w:eastAsia="Times New Roman" w:hAnsi="Times New Roman" w:cs="Times New Roman"/>
          <w:color w:val="000000"/>
          <w:sz w:val="24"/>
          <w:szCs w:val="24"/>
        </w:rPr>
        <w:lastRenderedPageBreak/>
        <w:t>Only a book review (N=1)</w:t>
      </w:r>
    </w:p>
    <w:p w14:paraId="74D20EE1"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left N=76 articles that have been scrutinized for the full text. Of those, N=36 </w:t>
      </w:r>
      <w:proofErr w:type="gramStart"/>
      <w:r>
        <w:rPr>
          <w:rFonts w:ascii="Times New Roman" w:eastAsia="Times New Roman" w:hAnsi="Times New Roman" w:cs="Times New Roman"/>
          <w:sz w:val="24"/>
          <w:szCs w:val="24"/>
        </w:rPr>
        <w:t>were</w:t>
      </w:r>
      <w:proofErr w:type="gramEnd"/>
      <w:r>
        <w:rPr>
          <w:rFonts w:ascii="Times New Roman" w:eastAsia="Times New Roman" w:hAnsi="Times New Roman" w:cs="Times New Roman"/>
          <w:sz w:val="24"/>
          <w:szCs w:val="24"/>
        </w:rPr>
        <w:t xml:space="preserve"> related to birders, and N=40 to nonbirders. Studies about non-birders were excluded because they were out of the scope of the current study. Of the 36 studies related to birders, 15 contained at least basic statistics or data to assess gender differences which could be used for the following systematic review. The studies were from Canada (N=1), USA (N=8), Germany (N=2), Israel (N=1), Poland (N=2), and in a combination of UK and USA (N=1).</w:t>
      </w:r>
    </w:p>
    <w:p w14:paraId="3991B298" w14:textId="77777777" w:rsidR="00315C1B" w:rsidRDefault="00315C1B">
      <w:pPr>
        <w:spacing w:line="480" w:lineRule="auto"/>
        <w:rPr>
          <w:rFonts w:ascii="Times New Roman" w:eastAsia="Times New Roman" w:hAnsi="Times New Roman" w:cs="Times New Roman"/>
          <w:b/>
          <w:sz w:val="24"/>
          <w:szCs w:val="24"/>
          <w:highlight w:val="yellow"/>
        </w:rPr>
      </w:pPr>
    </w:p>
    <w:p w14:paraId="257D3794" w14:textId="77777777" w:rsidR="00315C1B"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Review results</w:t>
      </w:r>
    </w:p>
    <w:p w14:paraId="4FC9F1BF"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15 studies used for this systematic review are depicted in Table 1.</w:t>
      </w:r>
    </w:p>
    <w:p w14:paraId="114C0315" w14:textId="77777777" w:rsidR="00315C1B" w:rsidRDefault="00315C1B">
      <w:pPr>
        <w:spacing w:line="480" w:lineRule="auto"/>
        <w:rPr>
          <w:rFonts w:ascii="Times New Roman" w:eastAsia="Times New Roman" w:hAnsi="Times New Roman" w:cs="Times New Roman"/>
          <w:sz w:val="24"/>
          <w:szCs w:val="24"/>
        </w:rPr>
      </w:pPr>
    </w:p>
    <w:p w14:paraId="2C1EF62D" w14:textId="77777777" w:rsidR="00315C1B"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Gender differences in the general categorization of birders</w:t>
      </w:r>
    </w:p>
    <w:p w14:paraId="3AD6E301"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studies categorized birders into groups, most often into three or four, ranging from novice, casual, intermediate to advanced birders. Men are more often committed or advanced birders compared to women (Boxall &amp; McFarlane, 1993, Kacal 2018; Kellert, 1985, Miller et al. 2014; Randler, 2021; Schneider &amp; Salk, 2002). In the same line of evidence, Goodfellow (2017) reported that men more often identified themselves as birders and women as more often as birdwatchers. Following Goodfellow (2017) birders are more competitive and listing oriented, while birdwatching is more related to observation of birds. Similarly, birders are usually perceived as a subset of birdwatchers who are not merely looking with pleasure (Connell, 2009). No study reported that women were in a higher advanced specialization category than men.</w:t>
      </w:r>
    </w:p>
    <w:p w14:paraId="60CF8237" w14:textId="77777777" w:rsidR="00315C1B" w:rsidRDefault="00315C1B">
      <w:pPr>
        <w:spacing w:line="480" w:lineRule="auto"/>
        <w:rPr>
          <w:rFonts w:ascii="Times New Roman" w:eastAsia="Times New Roman" w:hAnsi="Times New Roman" w:cs="Times New Roman"/>
          <w:sz w:val="24"/>
          <w:szCs w:val="24"/>
        </w:rPr>
      </w:pPr>
    </w:p>
    <w:p w14:paraId="13C3648E" w14:textId="77777777" w:rsidR="00315C1B"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Gender differences in skill/knowledge</w:t>
      </w:r>
    </w:p>
    <w:p w14:paraId="49F556A1"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 reported being able to identify more species by visual cues and traits compared to women (Kacal 2018; Schneider &amp; Salk, 2002), and similarly, men reported to be able to identify more species by sound than women (Kacal 2018; Schneider &amp; Salk, 2002). Studies that summed up visual and acoustic identification skills with a self-assessment on the novice- expert scale showed higher levels of skill/knowledge in men (Lee et al., 2015; Moore et al., 2008; Randler, 2021; Randler et al., 2022; Randler &amp; </w:t>
      </w:r>
      <w:proofErr w:type="spellStart"/>
      <w:r>
        <w:rPr>
          <w:rFonts w:ascii="Times New Roman" w:eastAsia="Times New Roman" w:hAnsi="Times New Roman" w:cs="Times New Roman"/>
          <w:sz w:val="24"/>
          <w:szCs w:val="24"/>
        </w:rPr>
        <w:t>Großmann</w:t>
      </w:r>
      <w:proofErr w:type="spellEnd"/>
      <w:r>
        <w:rPr>
          <w:rFonts w:ascii="Times New Roman" w:eastAsia="Times New Roman" w:hAnsi="Times New Roman" w:cs="Times New Roman"/>
          <w:sz w:val="24"/>
          <w:szCs w:val="24"/>
        </w:rPr>
        <w:t>, 2022; Rutter et al., 2021). Concerning skill/knowledge the studies show a clear pattern with men scoring higher in skill/knowledge compared to women. No study reported women scoring higher than men.</w:t>
      </w:r>
    </w:p>
    <w:p w14:paraId="64093D6C" w14:textId="77777777" w:rsidR="00315C1B" w:rsidRDefault="00315C1B">
      <w:pPr>
        <w:spacing w:line="480" w:lineRule="auto"/>
        <w:rPr>
          <w:rFonts w:ascii="Times New Roman" w:eastAsia="Times New Roman" w:hAnsi="Times New Roman" w:cs="Times New Roman"/>
          <w:sz w:val="24"/>
          <w:szCs w:val="24"/>
        </w:rPr>
      </w:pPr>
    </w:p>
    <w:p w14:paraId="51863764" w14:textId="77777777" w:rsidR="00315C1B"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Gender differences in behavior</w:t>
      </w:r>
    </w:p>
    <w:p w14:paraId="2507EB65"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general scales on behavior showed that men score higher on the engagement level (Randler 2021, Rutter et al., 2021). The behavior scales contain different items that are related to birding. Usually, men reported more </w:t>
      </w:r>
      <w:proofErr w:type="gramStart"/>
      <w:r>
        <w:rPr>
          <w:rFonts w:ascii="Times New Roman" w:eastAsia="Times New Roman" w:hAnsi="Times New Roman" w:cs="Times New Roman"/>
          <w:sz w:val="24"/>
          <w:szCs w:val="24"/>
        </w:rPr>
        <w:t>trips</w:t>
      </w:r>
      <w:proofErr w:type="gramEnd"/>
      <w:r>
        <w:rPr>
          <w:rFonts w:ascii="Times New Roman" w:eastAsia="Times New Roman" w:hAnsi="Times New Roman" w:cs="Times New Roman"/>
          <w:sz w:val="24"/>
          <w:szCs w:val="24"/>
        </w:rPr>
        <w:t xml:space="preserve"> and more days spent birding (Lee et al., 2015; Kacal, 2018; Randler et al., 2022; Randler &amp; </w:t>
      </w:r>
      <w:proofErr w:type="spellStart"/>
      <w:r>
        <w:rPr>
          <w:rFonts w:ascii="Times New Roman" w:eastAsia="Times New Roman" w:hAnsi="Times New Roman" w:cs="Times New Roman"/>
          <w:sz w:val="24"/>
          <w:szCs w:val="24"/>
        </w:rPr>
        <w:t>Großmann</w:t>
      </w:r>
      <w:proofErr w:type="spellEnd"/>
      <w:r>
        <w:rPr>
          <w:rFonts w:ascii="Times New Roman" w:eastAsia="Times New Roman" w:hAnsi="Times New Roman" w:cs="Times New Roman"/>
          <w:sz w:val="24"/>
          <w:szCs w:val="24"/>
        </w:rPr>
        <w:t>, 2022; Sali et al., 2008</w:t>
      </w:r>
      <w:proofErr w:type="gramStart"/>
      <w:r>
        <w:rPr>
          <w:rFonts w:ascii="Times New Roman" w:eastAsia="Times New Roman" w:hAnsi="Times New Roman" w:cs="Times New Roman"/>
          <w:sz w:val="24"/>
          <w:szCs w:val="24"/>
        </w:rPr>
        <w:t>a,b</w:t>
      </w:r>
      <w:proofErr w:type="gramEnd"/>
      <w:r>
        <w:rPr>
          <w:rFonts w:ascii="Times New Roman" w:eastAsia="Times New Roman" w:hAnsi="Times New Roman" w:cs="Times New Roman"/>
          <w:sz w:val="24"/>
          <w:szCs w:val="24"/>
        </w:rPr>
        <w:t>; Schneider &amp; Salk, 2002), but not all studies reported differences (Moore et al., 2008). Concerning international birding trips, there were no differences between men and women (Sali et al., 2008</w:t>
      </w:r>
      <w:proofErr w:type="gramStart"/>
      <w:r>
        <w:rPr>
          <w:rFonts w:ascii="Times New Roman" w:eastAsia="Times New Roman" w:hAnsi="Times New Roman" w:cs="Times New Roman"/>
          <w:sz w:val="24"/>
          <w:szCs w:val="24"/>
        </w:rPr>
        <w:t>a,b</w:t>
      </w:r>
      <w:proofErr w:type="gramEnd"/>
      <w:r>
        <w:rPr>
          <w:rFonts w:ascii="Times New Roman" w:eastAsia="Times New Roman" w:hAnsi="Times New Roman" w:cs="Times New Roman"/>
          <w:sz w:val="24"/>
          <w:szCs w:val="24"/>
        </w:rPr>
        <w:t xml:space="preserve">) but male Israeli birders reported more overseas trips (Kacal 2018). Concerning equipment costs, there were no differences between men and women (Lee et al., 2015), while Moore et al. (2008) and Kacal (2018) reported higher replacement values of the equipment in men. Men reported more years spending in watching wildlife (Schneider &amp; Salk, 2002) or birding (Boxall &amp; McFarlane, 1993; Moore et al. 2008). Men were more often listers than women (Goodfellow 2018; Kacal 2018), meaning that they systematically record the bird species they have observed and keep lists about the number of species they have seen </w:t>
      </w:r>
      <w:r>
        <w:rPr>
          <w:rFonts w:ascii="Times New Roman" w:eastAsia="Times New Roman" w:hAnsi="Times New Roman" w:cs="Times New Roman"/>
          <w:sz w:val="24"/>
          <w:szCs w:val="24"/>
        </w:rPr>
        <w:lastRenderedPageBreak/>
        <w:t>at a special place, during a given time or in their lifetime (Kaufmann 2011). The studies concerning behavior tend to assign more behavioral components to men, but studies are equivocal.</w:t>
      </w:r>
    </w:p>
    <w:p w14:paraId="3BDE4308" w14:textId="77777777" w:rsidR="00315C1B" w:rsidRDefault="00315C1B">
      <w:pPr>
        <w:spacing w:line="480" w:lineRule="auto"/>
        <w:rPr>
          <w:rFonts w:ascii="Times New Roman" w:eastAsia="Times New Roman" w:hAnsi="Times New Roman" w:cs="Times New Roman"/>
          <w:i/>
          <w:sz w:val="24"/>
          <w:szCs w:val="24"/>
        </w:rPr>
      </w:pPr>
    </w:p>
    <w:p w14:paraId="58BE4C5E" w14:textId="77777777" w:rsidR="00315C1B"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Gender differences in psychological commitment &amp; involvement</w:t>
      </w:r>
    </w:p>
    <w:p w14:paraId="17849069"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Psychological commitment was measured using facets of personal commitment, behavioral commitment or involvement. Men showed higher scores than women in psychological commitment (Kacal 2018; Randler, 2021; Randler et al., 2022; Rutter et al., 2021; Schneider &amp; Salk, 2002). Personal commitment was higher in men (Moore et al., 2008) as was behavioral commitment (Moore et al., 2008). Some studies reported an equal commitment (Randler &amp; </w:t>
      </w:r>
      <w:proofErr w:type="spellStart"/>
      <w:r>
        <w:rPr>
          <w:rFonts w:ascii="Times New Roman" w:eastAsia="Times New Roman" w:hAnsi="Times New Roman" w:cs="Times New Roman"/>
          <w:sz w:val="24"/>
          <w:szCs w:val="24"/>
        </w:rPr>
        <w:t>Großmann</w:t>
      </w:r>
      <w:proofErr w:type="spellEnd"/>
      <w:r>
        <w:rPr>
          <w:rFonts w:ascii="Times New Roman" w:eastAsia="Times New Roman" w:hAnsi="Times New Roman" w:cs="Times New Roman"/>
          <w:sz w:val="24"/>
          <w:szCs w:val="24"/>
        </w:rPr>
        <w:t xml:space="preserve"> 2022; different sample than Randler, 2021, see above), an equal score in behavioral and personal commitment in an ABA sample (Lee et al., 2015), or when using an involvement score (Janeczko et al., 2021). Men were more engaged in competitive birding, women more in birdwatching (Cooper &amp; Smith, 2010). These studies show that men and women differ least in the psychological aspect of commitment, which is supported by analyses of effect sizes. </w:t>
      </w:r>
    </w:p>
    <w:p w14:paraId="53A4D2F3" w14:textId="77777777" w:rsidR="00315C1B" w:rsidRDefault="00315C1B">
      <w:pPr>
        <w:spacing w:line="480" w:lineRule="auto"/>
        <w:rPr>
          <w:rFonts w:ascii="Times New Roman" w:eastAsia="Times New Roman" w:hAnsi="Times New Roman" w:cs="Times New Roman"/>
          <w:sz w:val="24"/>
          <w:szCs w:val="24"/>
        </w:rPr>
      </w:pPr>
    </w:p>
    <w:p w14:paraId="753DA711" w14:textId="77777777" w:rsidR="00315C1B" w:rsidRDefault="00000000">
      <w:pPr>
        <w:spacing w:line="480" w:lineRule="auto"/>
        <w:rPr>
          <w:rFonts w:ascii="Times New Roman" w:eastAsia="Times New Roman" w:hAnsi="Times New Roman" w:cs="Times New Roman"/>
          <w:i/>
          <w:color w:val="FF0000"/>
          <w:sz w:val="24"/>
          <w:szCs w:val="24"/>
        </w:rPr>
      </w:pPr>
      <w:r>
        <w:rPr>
          <w:rFonts w:ascii="Times New Roman" w:eastAsia="Times New Roman" w:hAnsi="Times New Roman" w:cs="Times New Roman"/>
          <w:i/>
          <w:sz w:val="24"/>
          <w:szCs w:val="24"/>
        </w:rPr>
        <w:t xml:space="preserve">Initiation age </w:t>
      </w:r>
      <w:r>
        <w:rPr>
          <w:rFonts w:ascii="Times New Roman" w:eastAsia="Times New Roman" w:hAnsi="Times New Roman" w:cs="Times New Roman"/>
          <w:i/>
          <w:color w:val="FF0000"/>
          <w:sz w:val="24"/>
          <w:szCs w:val="24"/>
        </w:rPr>
        <w:t xml:space="preserve">where </w:t>
      </w:r>
      <w:proofErr w:type="gramStart"/>
      <w:r>
        <w:rPr>
          <w:rFonts w:ascii="Times New Roman" w:eastAsia="Times New Roman" w:hAnsi="Times New Roman" w:cs="Times New Roman"/>
          <w:i/>
          <w:color w:val="FF0000"/>
          <w:sz w:val="24"/>
          <w:szCs w:val="24"/>
        </w:rPr>
        <w:t>are the results of this part</w:t>
      </w:r>
      <w:proofErr w:type="gramEnd"/>
    </w:p>
    <w:p w14:paraId="593F1B81"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studies reported an earlier initiation age in men (Kacal, 2018; Moore et al., 2008), but others did not (Sali et al., 2008</w:t>
      </w:r>
      <w:proofErr w:type="gramStart"/>
      <w:r>
        <w:rPr>
          <w:rFonts w:ascii="Times New Roman" w:eastAsia="Times New Roman" w:hAnsi="Times New Roman" w:cs="Times New Roman"/>
          <w:sz w:val="24"/>
          <w:szCs w:val="24"/>
        </w:rPr>
        <w:t>a,b</w:t>
      </w:r>
      <w:proofErr w:type="gramEnd"/>
      <w:r>
        <w:rPr>
          <w:rFonts w:ascii="Times New Roman" w:eastAsia="Times New Roman" w:hAnsi="Times New Roman" w:cs="Times New Roman"/>
          <w:sz w:val="24"/>
          <w:szCs w:val="24"/>
        </w:rPr>
        <w:t>).</w:t>
      </w:r>
    </w:p>
    <w:p w14:paraId="650F0618" w14:textId="77777777" w:rsidR="00315C1B" w:rsidRDefault="00000000">
      <w:pPr>
        <w:spacing w:line="48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Give a short Discussion with conclusions</w:t>
      </w:r>
    </w:p>
    <w:p w14:paraId="0C69A595" w14:textId="77777777" w:rsidR="00315C1B" w:rsidRDefault="00000000">
      <w:pPr>
        <w:pageBreakBefore/>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4C01F6F5"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Boxall, P. C., &amp; McFarlane, B. L. (1993). Human dimensions of Christmas Bird Counts: Implications for nonconsumptive wildlife recreation programs. </w:t>
      </w:r>
      <w:r>
        <w:rPr>
          <w:rFonts w:ascii="Times New Roman" w:eastAsia="Times New Roman" w:hAnsi="Times New Roman" w:cs="Times New Roman"/>
          <w:i/>
          <w:sz w:val="24"/>
          <w:szCs w:val="24"/>
        </w:rPr>
        <w:t>Wildlife Society Bulletin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21</w:t>
      </w:r>
      <w:r>
        <w:rPr>
          <w:rFonts w:ascii="Times New Roman" w:eastAsia="Times New Roman" w:hAnsi="Times New Roman" w:cs="Times New Roman"/>
          <w:sz w:val="24"/>
          <w:szCs w:val="24"/>
        </w:rPr>
        <w:t>(4), 390-396.</w:t>
      </w:r>
    </w:p>
    <w:p w14:paraId="026BE6D4" w14:textId="77777777" w:rsidR="00315C1B" w:rsidRDefault="00000000">
      <w:pPr>
        <w:spacing w:line="480" w:lineRule="auto"/>
        <w:rPr>
          <w:rFonts w:ascii="Times New Roman" w:eastAsia="Times New Roman" w:hAnsi="Times New Roman" w:cs="Times New Roman"/>
          <w:color w:val="FF0000"/>
          <w:sz w:val="24"/>
          <w:szCs w:val="24"/>
        </w:rPr>
      </w:pPr>
      <w:bookmarkStart w:id="0" w:name="_gjdgxs" w:colFirst="0" w:colLast="0"/>
      <w:bookmarkEnd w:id="0"/>
      <w:r>
        <w:rPr>
          <w:rFonts w:ascii="Times New Roman" w:eastAsia="Times New Roman" w:hAnsi="Times New Roman" w:cs="Times New Roman"/>
          <w:sz w:val="24"/>
          <w:szCs w:val="24"/>
        </w:rPr>
        <w:t xml:space="preserve">Cooper, C. B., &amp; Smith, J. A. (2010). Gender patterns in bird-related recreation in the USA and UK. </w:t>
      </w:r>
      <w:r>
        <w:rPr>
          <w:rFonts w:ascii="Times New Roman" w:eastAsia="Times New Roman" w:hAnsi="Times New Roman" w:cs="Times New Roman"/>
          <w:i/>
          <w:sz w:val="24"/>
          <w:szCs w:val="24"/>
        </w:rPr>
        <w:t>Ecology and Society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4)</w:t>
      </w:r>
      <w:r>
        <w:rPr>
          <w:rFonts w:ascii="Times New Roman" w:eastAsia="Times New Roman" w:hAnsi="Times New Roman" w:cs="Times New Roman"/>
          <w:color w:val="FF0000"/>
          <w:sz w:val="24"/>
          <w:szCs w:val="24"/>
        </w:rPr>
        <w:t>pages</w:t>
      </w:r>
      <w:proofErr w:type="gramEnd"/>
      <w:r>
        <w:rPr>
          <w:rFonts w:ascii="Times New Roman" w:eastAsia="Times New Roman" w:hAnsi="Times New Roman" w:cs="Times New Roman"/>
          <w:color w:val="FF0000"/>
          <w:sz w:val="24"/>
          <w:szCs w:val="24"/>
        </w:rPr>
        <w:t xml:space="preserve"> missing </w:t>
      </w:r>
    </w:p>
    <w:p w14:paraId="008313FC"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Goodfellow, D. K. (2017). Couples and </w:t>
      </w:r>
      <w:proofErr w:type="spellStart"/>
      <w:r>
        <w:rPr>
          <w:rFonts w:ascii="Times New Roman" w:eastAsia="Times New Roman" w:hAnsi="Times New Roman" w:cs="Times New Roman"/>
          <w:sz w:val="24"/>
          <w:szCs w:val="24"/>
        </w:rPr>
        <w:t>avitourism</w:t>
      </w:r>
      <w:proofErr w:type="spellEnd"/>
      <w:r>
        <w:rPr>
          <w:rFonts w:ascii="Times New Roman" w:eastAsia="Times New Roman" w:hAnsi="Times New Roman" w:cs="Times New Roman"/>
          <w:sz w:val="24"/>
          <w:szCs w:val="24"/>
        </w:rPr>
        <w:t xml:space="preserve">: a mixed methods study of North American birdwatchers. Unpublished PhD thesis). Lismore, NSW: Southern Cross University. </w:t>
      </w:r>
    </w:p>
    <w:p w14:paraId="3FA24A2B"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Janeczko, E., Łukowski, A., </w:t>
      </w:r>
      <w:proofErr w:type="spellStart"/>
      <w:r>
        <w:rPr>
          <w:rFonts w:ascii="Times New Roman" w:eastAsia="Times New Roman" w:hAnsi="Times New Roman" w:cs="Times New Roman"/>
          <w:sz w:val="24"/>
          <w:szCs w:val="24"/>
        </w:rPr>
        <w:t>Bielinis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Woźnicka</w:t>
      </w:r>
      <w:proofErr w:type="spellEnd"/>
      <w:r>
        <w:rPr>
          <w:rFonts w:ascii="Times New Roman" w:eastAsia="Times New Roman" w:hAnsi="Times New Roman" w:cs="Times New Roman"/>
          <w:sz w:val="24"/>
          <w:szCs w:val="24"/>
        </w:rPr>
        <w:t xml:space="preserve">, M., Janeczko, K., &amp; Korcz, N. (2021). “Not just a hobby, but a lifestyle”: Characteristics, preferences and self-perception of individuals with different levels of involvement in birdwatching. </w:t>
      </w:r>
      <w:proofErr w:type="spellStart"/>
      <w:r>
        <w:rPr>
          <w:rFonts w:ascii="Times New Roman" w:eastAsia="Times New Roman" w:hAnsi="Times New Roman" w:cs="Times New Roman"/>
          <w:i/>
          <w:sz w:val="24"/>
          <w:szCs w:val="24"/>
        </w:rPr>
        <w:t>Plos</w:t>
      </w:r>
      <w:proofErr w:type="spellEnd"/>
      <w:r>
        <w:rPr>
          <w:rFonts w:ascii="Times New Roman" w:eastAsia="Times New Roman" w:hAnsi="Times New Roman" w:cs="Times New Roman"/>
          <w:i/>
          <w:sz w:val="24"/>
          <w:szCs w:val="24"/>
        </w:rPr>
        <w:t xml:space="preserve"> One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w:t>
      </w:r>
      <w:r>
        <w:rPr>
          <w:rFonts w:ascii="Times New Roman" w:eastAsia="Times New Roman" w:hAnsi="Times New Roman" w:cs="Times New Roman"/>
          <w:sz w:val="24"/>
          <w:szCs w:val="24"/>
        </w:rPr>
        <w:t>(7), e0255359.</w:t>
      </w:r>
    </w:p>
    <w:p w14:paraId="5004371F"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Kacal, A. A. (2018). </w:t>
      </w:r>
      <w:r>
        <w:rPr>
          <w:rFonts w:ascii="Times New Roman" w:eastAsia="Times New Roman" w:hAnsi="Times New Roman" w:cs="Times New Roman"/>
          <w:i/>
          <w:sz w:val="24"/>
          <w:szCs w:val="24"/>
        </w:rPr>
        <w:t>Factors Influencing Participation in Birdwatching Activities, Citizen Science and Environmental Action among Birdwatchers in Israel</w:t>
      </w:r>
      <w:r>
        <w:rPr>
          <w:rFonts w:ascii="Times New Roman" w:eastAsia="Times New Roman" w:hAnsi="Times New Roman" w:cs="Times New Roman"/>
          <w:sz w:val="24"/>
          <w:szCs w:val="24"/>
        </w:rPr>
        <w:t xml:space="preserve"> (Doctoral dissertation, University of Wisconsin-Stevens Point, College of Natural Resources).</w:t>
      </w:r>
    </w:p>
    <w:p w14:paraId="4CC36F63"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Kellert, S. R. (1985). Birdwatching in American society. </w:t>
      </w:r>
      <w:r>
        <w:rPr>
          <w:rFonts w:ascii="Times New Roman" w:eastAsia="Times New Roman" w:hAnsi="Times New Roman" w:cs="Times New Roman"/>
          <w:i/>
          <w:sz w:val="24"/>
          <w:szCs w:val="24"/>
        </w:rPr>
        <w:t>Leisure Sciences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i/>
          <w:color w:val="FF0000"/>
          <w:sz w:val="24"/>
          <w:szCs w:val="24"/>
        </w:rPr>
        <w:t>(issue missing)</w:t>
      </w:r>
      <w:r>
        <w:rPr>
          <w:rFonts w:ascii="Times New Roman" w:eastAsia="Times New Roman" w:hAnsi="Times New Roman" w:cs="Times New Roman"/>
          <w:sz w:val="24"/>
          <w:szCs w:val="24"/>
        </w:rPr>
        <w:t>, 343-360.</w:t>
      </w:r>
    </w:p>
    <w:p w14:paraId="0094FB9D"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 S., McMahan, K., &amp; Scott, D. (2015). The gendered nature of serious birdwatching. </w:t>
      </w:r>
      <w:r>
        <w:rPr>
          <w:rFonts w:ascii="Times New Roman" w:eastAsia="Times New Roman" w:hAnsi="Times New Roman" w:cs="Times New Roman"/>
          <w:i/>
          <w:sz w:val="24"/>
          <w:szCs w:val="24"/>
        </w:rPr>
        <w:t>Human Dimensions of Wildlife</w:t>
      </w:r>
      <w:r>
        <w:rPr>
          <w:rFonts w:ascii="Times New Roman" w:eastAsia="Times New Roman" w:hAnsi="Times New Roman" w:cs="Times New Roman"/>
          <w:sz w:val="24"/>
          <w:szCs w:val="24"/>
        </w:rPr>
        <w:t xml:space="preserve">, 20(1), 47-64. </w:t>
      </w:r>
    </w:p>
    <w:p w14:paraId="6E8576EC" w14:textId="77777777" w:rsidR="00315C1B" w:rsidRDefault="00000000">
      <w:pPr>
        <w:spacing w:line="480" w:lineRule="auto"/>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t xml:space="preserve">Miller, Z. D., Hallo, J. C., Sharp, J. L., Powell, R. B., &amp; Lanham, J. D. (2014). Birding by ear: a study of recreational specialization and soundscape preference. </w:t>
      </w:r>
      <w:r>
        <w:rPr>
          <w:rFonts w:ascii="Times New Roman" w:eastAsia="Times New Roman" w:hAnsi="Times New Roman" w:cs="Times New Roman"/>
          <w:i/>
          <w:sz w:val="24"/>
          <w:szCs w:val="24"/>
        </w:rPr>
        <w:t>Human Dimensions of Wildlife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19</w:t>
      </w:r>
      <w:r>
        <w:rPr>
          <w:rFonts w:ascii="Times New Roman" w:eastAsia="Times New Roman" w:hAnsi="Times New Roman" w:cs="Times New Roman"/>
          <w:sz w:val="24"/>
          <w:szCs w:val="24"/>
        </w:rPr>
        <w:t>(6), 498-511.</w:t>
      </w:r>
    </w:p>
    <w:p w14:paraId="1130211E"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Moore, R. L., Scott, D., &amp; Moore, A. (2008). Gender-based differences in birdwatchers' participation and commitment. </w:t>
      </w:r>
      <w:r>
        <w:rPr>
          <w:rFonts w:ascii="Times New Roman" w:eastAsia="Times New Roman" w:hAnsi="Times New Roman" w:cs="Times New Roman"/>
          <w:i/>
          <w:sz w:val="24"/>
          <w:szCs w:val="24"/>
        </w:rPr>
        <w:t>Human Dimensions of Wildlife, 13</w:t>
      </w:r>
      <w:r>
        <w:rPr>
          <w:rFonts w:ascii="Times New Roman" w:eastAsia="Times New Roman" w:hAnsi="Times New Roman" w:cs="Times New Roman"/>
          <w:sz w:val="24"/>
          <w:szCs w:val="24"/>
        </w:rPr>
        <w:t>(2), 89-101.</w:t>
      </w:r>
    </w:p>
    <w:p w14:paraId="7E7331C5"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Randler, C. (2021). An analysis of heterogeneity in German speaking birdwatchers reveals three distinct clusters and gender differences. </w:t>
      </w:r>
      <w:r>
        <w:rPr>
          <w:rFonts w:ascii="Times New Roman" w:eastAsia="Times New Roman" w:hAnsi="Times New Roman" w:cs="Times New Roman"/>
          <w:i/>
          <w:sz w:val="24"/>
          <w:szCs w:val="24"/>
        </w:rPr>
        <w:t>Birds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 xml:space="preserve">(3), 250-260. </w:t>
      </w:r>
    </w:p>
    <w:p w14:paraId="24494369"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Randler, C., &amp; </w:t>
      </w:r>
      <w:proofErr w:type="spellStart"/>
      <w:r>
        <w:rPr>
          <w:rFonts w:ascii="Times New Roman" w:eastAsia="Times New Roman" w:hAnsi="Times New Roman" w:cs="Times New Roman"/>
          <w:sz w:val="24"/>
          <w:szCs w:val="24"/>
        </w:rPr>
        <w:t>Großmann</w:t>
      </w:r>
      <w:proofErr w:type="spellEnd"/>
      <w:r>
        <w:rPr>
          <w:rFonts w:ascii="Times New Roman" w:eastAsia="Times New Roman" w:hAnsi="Times New Roman" w:cs="Times New Roman"/>
          <w:sz w:val="24"/>
          <w:szCs w:val="24"/>
        </w:rPr>
        <w:t xml:space="preserve">, N. (2022). Birder's characteristics for participation in a big day–social aspects are more important than competition. </w:t>
      </w:r>
      <w:r>
        <w:rPr>
          <w:rFonts w:ascii="Times New Roman" w:eastAsia="Times New Roman" w:hAnsi="Times New Roman" w:cs="Times New Roman"/>
          <w:i/>
          <w:sz w:val="24"/>
          <w:szCs w:val="24"/>
        </w:rPr>
        <w:t>Current Research in Ecological and Social Psychology</w:t>
      </w:r>
      <w:r>
        <w:rPr>
          <w:rFonts w:ascii="Times New Roman" w:eastAsia="Times New Roman" w:hAnsi="Times New Roman" w:cs="Times New Roman"/>
          <w:sz w:val="24"/>
          <w:szCs w:val="24"/>
        </w:rPr>
        <w:t>, 100050.</w:t>
      </w:r>
    </w:p>
    <w:p w14:paraId="29ABDBE7" w14:textId="77777777" w:rsidR="00315C1B" w:rsidRDefault="00000000">
      <w:pPr>
        <w:spacing w:line="480" w:lineRule="auto"/>
        <w:rPr>
          <w:rFonts w:ascii="Times New Roman" w:eastAsia="Times New Roman" w:hAnsi="Times New Roman" w:cs="Times New Roman"/>
          <w:sz w:val="24"/>
          <w:szCs w:val="24"/>
        </w:rPr>
      </w:pPr>
      <w:bookmarkStart w:id="2" w:name="_1fob9te" w:colFirst="0" w:colLast="0"/>
      <w:bookmarkEnd w:id="2"/>
      <w:r>
        <w:rPr>
          <w:rFonts w:ascii="Times New Roman" w:eastAsia="Times New Roman" w:hAnsi="Times New Roman" w:cs="Times New Roman"/>
          <w:sz w:val="24"/>
          <w:szCs w:val="24"/>
        </w:rPr>
        <w:t xml:space="preserve">Randler, C., </w:t>
      </w:r>
      <w:proofErr w:type="spellStart"/>
      <w:r>
        <w:rPr>
          <w:rFonts w:ascii="Times New Roman" w:eastAsia="Times New Roman" w:hAnsi="Times New Roman" w:cs="Times New Roman"/>
          <w:sz w:val="24"/>
          <w:szCs w:val="24"/>
        </w:rPr>
        <w:t>Murawiec</w:t>
      </w:r>
      <w:proofErr w:type="spellEnd"/>
      <w:r>
        <w:rPr>
          <w:rFonts w:ascii="Times New Roman" w:eastAsia="Times New Roman" w:hAnsi="Times New Roman" w:cs="Times New Roman"/>
          <w:sz w:val="24"/>
          <w:szCs w:val="24"/>
        </w:rPr>
        <w:t xml:space="preserve">, S., &amp; </w:t>
      </w:r>
      <w:proofErr w:type="spellStart"/>
      <w:r>
        <w:rPr>
          <w:rFonts w:ascii="Times New Roman" w:eastAsia="Times New Roman" w:hAnsi="Times New Roman" w:cs="Times New Roman"/>
          <w:sz w:val="24"/>
          <w:szCs w:val="24"/>
        </w:rPr>
        <w:t>Tryjanowski</w:t>
      </w:r>
      <w:proofErr w:type="spellEnd"/>
      <w:r>
        <w:rPr>
          <w:rFonts w:ascii="Times New Roman" w:eastAsia="Times New Roman" w:hAnsi="Times New Roman" w:cs="Times New Roman"/>
          <w:sz w:val="24"/>
          <w:szCs w:val="24"/>
        </w:rPr>
        <w:t xml:space="preserve">, P. (2022). Committed Bird-Watchers Gain Greater Psychological Restorative Benefits Compared to Those Less Committed Regardless of Expertise. </w:t>
      </w:r>
      <w:r>
        <w:rPr>
          <w:rFonts w:ascii="Times New Roman" w:eastAsia="Times New Roman" w:hAnsi="Times New Roman" w:cs="Times New Roman"/>
          <w:i/>
          <w:sz w:val="24"/>
          <w:szCs w:val="24"/>
        </w:rPr>
        <w:t>Ecopsychology, 14</w:t>
      </w:r>
      <w:r>
        <w:rPr>
          <w:rFonts w:ascii="Times New Roman" w:eastAsia="Times New Roman" w:hAnsi="Times New Roman" w:cs="Times New Roman"/>
          <w:sz w:val="24"/>
          <w:szCs w:val="24"/>
        </w:rPr>
        <w:t>(2),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101-110.</w:t>
      </w:r>
    </w:p>
    <w:p w14:paraId="411FEEB5"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Rutter, J. D., Dayer, A. A., Harshaw, H. W., Cole, N. W., Duberstein, J. N., Fulton, D. C., ... &amp; Schuster, R. M. (2021). Racial, ethnic, and social patterns in the recreation specialization of birdwatchers: An analysis of United States eBird registrants. </w:t>
      </w:r>
      <w:r>
        <w:rPr>
          <w:rFonts w:ascii="Times New Roman" w:eastAsia="Times New Roman" w:hAnsi="Times New Roman" w:cs="Times New Roman"/>
          <w:i/>
          <w:sz w:val="24"/>
          <w:szCs w:val="24"/>
        </w:rPr>
        <w:t>Journal of Outdoor Recreation and Tourism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35</w:t>
      </w:r>
      <w:r>
        <w:rPr>
          <w:rFonts w:ascii="Times New Roman" w:eastAsia="Times New Roman" w:hAnsi="Times New Roman" w:cs="Times New Roman"/>
          <w:sz w:val="24"/>
          <w:szCs w:val="24"/>
        </w:rPr>
        <w:t>, 100400.</w:t>
      </w:r>
    </w:p>
    <w:p w14:paraId="01155BAB"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Sali, M. J., Kuehn, D. M., White, D., &amp; Grant, N. S. (2008a). Birdwatching in New York State: A study of </w:t>
      </w:r>
      <w:proofErr w:type="gramStart"/>
      <w:r>
        <w:rPr>
          <w:rFonts w:ascii="Times New Roman" w:eastAsia="Times New Roman" w:hAnsi="Times New Roman" w:cs="Times New Roman"/>
          <w:sz w:val="24"/>
          <w:szCs w:val="24"/>
        </w:rPr>
        <w:t>motivations</w:t>
      </w:r>
      <w:proofErr w:type="gramEnd"/>
      <w:r>
        <w:rPr>
          <w:rFonts w:ascii="Times New Roman" w:eastAsia="Times New Roman" w:hAnsi="Times New Roman" w:cs="Times New Roman"/>
          <w:sz w:val="24"/>
          <w:szCs w:val="24"/>
        </w:rPr>
        <w:t xml:space="preserve"> and gender. </w:t>
      </w:r>
      <w:r>
        <w:rPr>
          <w:rFonts w:ascii="Times New Roman" w:eastAsia="Times New Roman" w:hAnsi="Times New Roman" w:cs="Times New Roman"/>
          <w:i/>
          <w:sz w:val="24"/>
          <w:szCs w:val="24"/>
        </w:rPr>
        <w:t>Human Dimensions of Wildlife, 13</w:t>
      </w:r>
      <w:r>
        <w:rPr>
          <w:rFonts w:ascii="Times New Roman" w:eastAsia="Times New Roman" w:hAnsi="Times New Roman" w:cs="Times New Roman"/>
          <w:sz w:val="24"/>
          <w:szCs w:val="24"/>
        </w:rPr>
        <w:t>(3), 187-200.</w:t>
      </w:r>
    </w:p>
    <w:p w14:paraId="2B6A4E4B"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Sali, M. J., &amp; Kuehn, D. (2008). The influence of gender on participation for nonresidential birdwatchers in New York State. In LeBlanc, C., &amp; Vogt, C.</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(comps)</w:t>
      </w:r>
      <w:r>
        <w:rPr>
          <w:rFonts w:ascii="Times New Roman" w:eastAsia="Times New Roman" w:hAnsi="Times New Roman" w:cs="Times New Roman"/>
          <w:i/>
          <w:sz w:val="24"/>
          <w:szCs w:val="24"/>
        </w:rPr>
        <w:t>. Proceedings of the 2007 Northeastern Recreation Research Symposium; 2007 April 15-17; Bolton Landing, NY. Gen. Tech. Rep. NRS-P-23. Newtown Square, PA: US Department of Agriculture, Forest Service, Northern Research Station: 160-167.</w:t>
      </w:r>
      <w:r>
        <w:rPr>
          <w:rFonts w:ascii="Times New Roman" w:eastAsia="Times New Roman" w:hAnsi="Times New Roman" w:cs="Times New Roman"/>
          <w:sz w:val="24"/>
          <w:szCs w:val="24"/>
        </w:rPr>
        <w:t xml:space="preserve"> (Vol. 23).</w:t>
      </w:r>
    </w:p>
    <w:p w14:paraId="284A5C4E" w14:textId="635973F6" w:rsidR="00315C1B" w:rsidRDefault="00000000">
      <w:pPr>
        <w:spacing w:line="480" w:lineRule="auto"/>
        <w:rPr>
          <w:rFonts w:ascii="Times New Roman" w:eastAsia="Times New Roman" w:hAnsi="Times New Roman" w:cs="Times New Roman"/>
          <w:color w:val="FF0000"/>
          <w:sz w:val="24"/>
          <w:szCs w:val="24"/>
        </w:rPr>
      </w:pPr>
      <w:r w:rsidRPr="00B75D71">
        <w:rPr>
          <w:rFonts w:ascii="Times New Roman" w:eastAsia="Times New Roman" w:hAnsi="Times New Roman" w:cs="Times New Roman"/>
          <w:sz w:val="24"/>
          <w:szCs w:val="24"/>
        </w:rPr>
        <w:lastRenderedPageBreak/>
        <w:t xml:space="preserve">Schneider, I. E., &amp; Salk, R. (2002). </w:t>
      </w:r>
      <w:r>
        <w:rPr>
          <w:rFonts w:ascii="Times New Roman" w:eastAsia="Times New Roman" w:hAnsi="Times New Roman" w:cs="Times New Roman"/>
          <w:i/>
          <w:sz w:val="24"/>
          <w:szCs w:val="24"/>
        </w:rPr>
        <w:t>Information Needs and Experience Preferences of Birders and Watchable Wildlife Participants</w:t>
      </w:r>
      <w:r>
        <w:rPr>
          <w:rFonts w:ascii="Times New Roman" w:eastAsia="Times New Roman" w:hAnsi="Times New Roman" w:cs="Times New Roman"/>
          <w:sz w:val="24"/>
          <w:szCs w:val="24"/>
        </w:rPr>
        <w:t>. Department of Forest Resources, College of Natural Resources and Minnesota Agricultural Experiment Station, University of Minnesota.</w:t>
      </w:r>
    </w:p>
    <w:p w14:paraId="47C3DF22" w14:textId="77777777" w:rsidR="00315C1B" w:rsidRDefault="00000000">
      <w:pPr>
        <w:pageBreakBefore/>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Table 1. Differences between men and women in birding as a leisure activity. Overview over the studies extracted by the systematic review following PRISMA guidelines. </w:t>
      </w:r>
    </w:p>
    <w:tbl>
      <w:tblPr>
        <w:tblStyle w:val="a"/>
        <w:tblW w:w="9026"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343"/>
        <w:gridCol w:w="614"/>
        <w:gridCol w:w="1030"/>
        <w:gridCol w:w="1362"/>
        <w:gridCol w:w="1468"/>
        <w:gridCol w:w="932"/>
        <w:gridCol w:w="2277"/>
      </w:tblGrid>
      <w:tr w:rsidR="00315C1B" w14:paraId="7138BF56" w14:textId="77777777">
        <w:trPr>
          <w:trHeight w:val="290"/>
        </w:trPr>
        <w:tc>
          <w:tcPr>
            <w:tcW w:w="1343" w:type="dxa"/>
            <w:tcBorders>
              <w:top w:val="single" w:sz="4" w:space="0" w:color="000000"/>
              <w:bottom w:val="single" w:sz="4" w:space="0" w:color="000000"/>
            </w:tcBorders>
          </w:tcPr>
          <w:p w14:paraId="405405CA" w14:textId="77777777" w:rsidR="00315C1B" w:rsidRDefault="00000000">
            <w:pPr>
              <w:spacing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Study</w:t>
            </w:r>
          </w:p>
        </w:tc>
        <w:tc>
          <w:tcPr>
            <w:tcW w:w="614" w:type="dxa"/>
            <w:tcBorders>
              <w:top w:val="single" w:sz="4" w:space="0" w:color="000000"/>
              <w:bottom w:val="single" w:sz="4" w:space="0" w:color="000000"/>
            </w:tcBorders>
          </w:tcPr>
          <w:p w14:paraId="726EDDDD" w14:textId="77777777" w:rsidR="00315C1B" w:rsidRDefault="00000000">
            <w:pPr>
              <w:spacing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Year</w:t>
            </w:r>
          </w:p>
        </w:tc>
        <w:tc>
          <w:tcPr>
            <w:tcW w:w="1030" w:type="dxa"/>
            <w:tcBorders>
              <w:top w:val="single" w:sz="4" w:space="0" w:color="000000"/>
              <w:bottom w:val="single" w:sz="4" w:space="0" w:color="000000"/>
            </w:tcBorders>
          </w:tcPr>
          <w:p w14:paraId="22424C11" w14:textId="77777777" w:rsidR="00315C1B" w:rsidRDefault="00000000">
            <w:pPr>
              <w:spacing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Country</w:t>
            </w:r>
          </w:p>
        </w:tc>
        <w:tc>
          <w:tcPr>
            <w:tcW w:w="1362" w:type="dxa"/>
            <w:tcBorders>
              <w:top w:val="single" w:sz="4" w:space="0" w:color="000000"/>
              <w:bottom w:val="single" w:sz="4" w:space="0" w:color="000000"/>
            </w:tcBorders>
          </w:tcPr>
          <w:p w14:paraId="646CE77D" w14:textId="77777777" w:rsidR="00315C1B" w:rsidRDefault="00000000">
            <w:pPr>
              <w:spacing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categorization</w:t>
            </w:r>
          </w:p>
        </w:tc>
        <w:tc>
          <w:tcPr>
            <w:tcW w:w="1468" w:type="dxa"/>
            <w:tcBorders>
              <w:top w:val="single" w:sz="4" w:space="0" w:color="000000"/>
              <w:bottom w:val="single" w:sz="4" w:space="0" w:color="000000"/>
            </w:tcBorders>
          </w:tcPr>
          <w:p w14:paraId="40F992E8" w14:textId="77777777" w:rsidR="00315C1B" w:rsidRDefault="00000000">
            <w:pPr>
              <w:spacing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skill/knowledge</w:t>
            </w:r>
          </w:p>
        </w:tc>
        <w:tc>
          <w:tcPr>
            <w:tcW w:w="932" w:type="dxa"/>
            <w:tcBorders>
              <w:top w:val="single" w:sz="4" w:space="0" w:color="000000"/>
              <w:bottom w:val="single" w:sz="4" w:space="0" w:color="000000"/>
            </w:tcBorders>
          </w:tcPr>
          <w:p w14:paraId="4185A8B8" w14:textId="77777777" w:rsidR="00315C1B" w:rsidRDefault="00000000">
            <w:pPr>
              <w:spacing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behavior</w:t>
            </w:r>
          </w:p>
        </w:tc>
        <w:tc>
          <w:tcPr>
            <w:tcW w:w="2277" w:type="dxa"/>
            <w:tcBorders>
              <w:top w:val="single" w:sz="4" w:space="0" w:color="000000"/>
              <w:bottom w:val="single" w:sz="4" w:space="0" w:color="000000"/>
            </w:tcBorders>
          </w:tcPr>
          <w:p w14:paraId="3FA67DE6" w14:textId="77777777" w:rsidR="00315C1B" w:rsidRDefault="00000000">
            <w:pPr>
              <w:spacing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commitment/involvement</w:t>
            </w:r>
          </w:p>
        </w:tc>
      </w:tr>
      <w:tr w:rsidR="00315C1B" w14:paraId="500D749A" w14:textId="77777777">
        <w:trPr>
          <w:trHeight w:val="290"/>
        </w:trPr>
        <w:tc>
          <w:tcPr>
            <w:tcW w:w="1343" w:type="dxa"/>
            <w:tcBorders>
              <w:top w:val="single" w:sz="4" w:space="0" w:color="000000"/>
            </w:tcBorders>
          </w:tcPr>
          <w:p w14:paraId="29113DD4"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Kellert</w:t>
            </w:r>
          </w:p>
        </w:tc>
        <w:tc>
          <w:tcPr>
            <w:tcW w:w="614" w:type="dxa"/>
            <w:tcBorders>
              <w:top w:val="single" w:sz="4" w:space="0" w:color="000000"/>
            </w:tcBorders>
          </w:tcPr>
          <w:p w14:paraId="157DC3F6"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1985</w:t>
            </w:r>
          </w:p>
        </w:tc>
        <w:tc>
          <w:tcPr>
            <w:tcW w:w="1030" w:type="dxa"/>
            <w:tcBorders>
              <w:top w:val="single" w:sz="4" w:space="0" w:color="000000"/>
            </w:tcBorders>
          </w:tcPr>
          <w:p w14:paraId="14D374F5"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USA</w:t>
            </w:r>
          </w:p>
        </w:tc>
        <w:tc>
          <w:tcPr>
            <w:tcW w:w="1362" w:type="dxa"/>
            <w:tcBorders>
              <w:top w:val="single" w:sz="4" w:space="0" w:color="000000"/>
            </w:tcBorders>
          </w:tcPr>
          <w:p w14:paraId="0F3AA483"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468" w:type="dxa"/>
            <w:tcBorders>
              <w:top w:val="single" w:sz="4" w:space="0" w:color="000000"/>
            </w:tcBorders>
          </w:tcPr>
          <w:p w14:paraId="57C5F055" w14:textId="77777777" w:rsidR="00315C1B" w:rsidRDefault="00315C1B">
            <w:pPr>
              <w:spacing w:line="480" w:lineRule="auto"/>
              <w:rPr>
                <w:rFonts w:ascii="Times New Roman" w:eastAsia="Times New Roman" w:hAnsi="Times New Roman" w:cs="Times New Roman"/>
                <w:sz w:val="20"/>
                <w:szCs w:val="20"/>
              </w:rPr>
            </w:pPr>
          </w:p>
        </w:tc>
        <w:tc>
          <w:tcPr>
            <w:tcW w:w="932" w:type="dxa"/>
            <w:tcBorders>
              <w:top w:val="single" w:sz="4" w:space="0" w:color="000000"/>
            </w:tcBorders>
          </w:tcPr>
          <w:p w14:paraId="5FA1D64D" w14:textId="77777777" w:rsidR="00315C1B" w:rsidRDefault="00315C1B">
            <w:pPr>
              <w:spacing w:line="480" w:lineRule="auto"/>
              <w:rPr>
                <w:rFonts w:ascii="Times New Roman" w:eastAsia="Times New Roman" w:hAnsi="Times New Roman" w:cs="Times New Roman"/>
                <w:sz w:val="20"/>
                <w:szCs w:val="20"/>
              </w:rPr>
            </w:pPr>
          </w:p>
        </w:tc>
        <w:tc>
          <w:tcPr>
            <w:tcW w:w="2277" w:type="dxa"/>
            <w:tcBorders>
              <w:top w:val="single" w:sz="4" w:space="0" w:color="000000"/>
            </w:tcBorders>
          </w:tcPr>
          <w:p w14:paraId="5EA7379D" w14:textId="77777777" w:rsidR="00315C1B" w:rsidRDefault="00315C1B">
            <w:pPr>
              <w:spacing w:line="480" w:lineRule="auto"/>
              <w:rPr>
                <w:rFonts w:ascii="Times New Roman" w:eastAsia="Times New Roman" w:hAnsi="Times New Roman" w:cs="Times New Roman"/>
                <w:sz w:val="20"/>
                <w:szCs w:val="20"/>
              </w:rPr>
            </w:pPr>
          </w:p>
        </w:tc>
      </w:tr>
      <w:tr w:rsidR="00315C1B" w14:paraId="0499A575" w14:textId="77777777">
        <w:trPr>
          <w:trHeight w:val="290"/>
        </w:trPr>
        <w:tc>
          <w:tcPr>
            <w:tcW w:w="1343" w:type="dxa"/>
          </w:tcPr>
          <w:p w14:paraId="2F3F075F"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Boxall &amp; McFarlane</w:t>
            </w:r>
          </w:p>
        </w:tc>
        <w:tc>
          <w:tcPr>
            <w:tcW w:w="614" w:type="dxa"/>
          </w:tcPr>
          <w:p w14:paraId="200A8FAC"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1993</w:t>
            </w:r>
          </w:p>
        </w:tc>
        <w:tc>
          <w:tcPr>
            <w:tcW w:w="1030" w:type="dxa"/>
          </w:tcPr>
          <w:p w14:paraId="503669E3"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Canada</w:t>
            </w:r>
          </w:p>
        </w:tc>
        <w:tc>
          <w:tcPr>
            <w:tcW w:w="1362" w:type="dxa"/>
          </w:tcPr>
          <w:p w14:paraId="52891057"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468" w:type="dxa"/>
          </w:tcPr>
          <w:p w14:paraId="6F44C281" w14:textId="77777777" w:rsidR="00315C1B" w:rsidRDefault="00315C1B">
            <w:pPr>
              <w:spacing w:line="480" w:lineRule="auto"/>
              <w:rPr>
                <w:rFonts w:ascii="Times New Roman" w:eastAsia="Times New Roman" w:hAnsi="Times New Roman" w:cs="Times New Roman"/>
                <w:sz w:val="20"/>
                <w:szCs w:val="20"/>
              </w:rPr>
            </w:pPr>
          </w:p>
        </w:tc>
        <w:tc>
          <w:tcPr>
            <w:tcW w:w="932" w:type="dxa"/>
          </w:tcPr>
          <w:p w14:paraId="3BE6B418"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277" w:type="dxa"/>
          </w:tcPr>
          <w:p w14:paraId="1C97BF7B" w14:textId="77777777" w:rsidR="00315C1B" w:rsidRDefault="00315C1B">
            <w:pPr>
              <w:spacing w:line="480" w:lineRule="auto"/>
              <w:rPr>
                <w:rFonts w:ascii="Times New Roman" w:eastAsia="Times New Roman" w:hAnsi="Times New Roman" w:cs="Times New Roman"/>
                <w:sz w:val="20"/>
                <w:szCs w:val="20"/>
              </w:rPr>
            </w:pPr>
          </w:p>
        </w:tc>
      </w:tr>
      <w:tr w:rsidR="00315C1B" w14:paraId="2199FE27" w14:textId="77777777">
        <w:trPr>
          <w:trHeight w:val="290"/>
        </w:trPr>
        <w:tc>
          <w:tcPr>
            <w:tcW w:w="1343" w:type="dxa"/>
          </w:tcPr>
          <w:p w14:paraId="156D2FD4"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Schneider &amp; Salk</w:t>
            </w:r>
          </w:p>
        </w:tc>
        <w:tc>
          <w:tcPr>
            <w:tcW w:w="614" w:type="dxa"/>
          </w:tcPr>
          <w:p w14:paraId="18D0A5F2"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2002</w:t>
            </w:r>
          </w:p>
        </w:tc>
        <w:tc>
          <w:tcPr>
            <w:tcW w:w="1030" w:type="dxa"/>
          </w:tcPr>
          <w:p w14:paraId="177AE4CC"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USA</w:t>
            </w:r>
          </w:p>
        </w:tc>
        <w:tc>
          <w:tcPr>
            <w:tcW w:w="1362" w:type="dxa"/>
          </w:tcPr>
          <w:p w14:paraId="60A81C35"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468" w:type="dxa"/>
          </w:tcPr>
          <w:p w14:paraId="2C4EFCA4"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932" w:type="dxa"/>
          </w:tcPr>
          <w:p w14:paraId="6D3EDBD1"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277" w:type="dxa"/>
          </w:tcPr>
          <w:p w14:paraId="1F83E2A1"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15C1B" w14:paraId="7F6F8CDF" w14:textId="77777777">
        <w:trPr>
          <w:trHeight w:val="290"/>
        </w:trPr>
        <w:tc>
          <w:tcPr>
            <w:tcW w:w="1343" w:type="dxa"/>
          </w:tcPr>
          <w:p w14:paraId="2BB7D278"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Sali &amp; Kuehn</w:t>
            </w:r>
          </w:p>
        </w:tc>
        <w:tc>
          <w:tcPr>
            <w:tcW w:w="614" w:type="dxa"/>
          </w:tcPr>
          <w:p w14:paraId="46121731"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2008</w:t>
            </w:r>
          </w:p>
        </w:tc>
        <w:tc>
          <w:tcPr>
            <w:tcW w:w="1030" w:type="dxa"/>
          </w:tcPr>
          <w:p w14:paraId="3F108539"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USA</w:t>
            </w:r>
          </w:p>
        </w:tc>
        <w:tc>
          <w:tcPr>
            <w:tcW w:w="1362" w:type="dxa"/>
          </w:tcPr>
          <w:p w14:paraId="77D3AE0D" w14:textId="77777777" w:rsidR="00315C1B" w:rsidRDefault="00315C1B">
            <w:pPr>
              <w:spacing w:line="480" w:lineRule="auto"/>
              <w:rPr>
                <w:rFonts w:ascii="Times New Roman" w:eastAsia="Times New Roman" w:hAnsi="Times New Roman" w:cs="Times New Roman"/>
                <w:sz w:val="20"/>
                <w:szCs w:val="20"/>
              </w:rPr>
            </w:pPr>
          </w:p>
        </w:tc>
        <w:tc>
          <w:tcPr>
            <w:tcW w:w="1468" w:type="dxa"/>
          </w:tcPr>
          <w:p w14:paraId="0EC91A78" w14:textId="77777777" w:rsidR="00315C1B" w:rsidRDefault="00315C1B">
            <w:pPr>
              <w:spacing w:line="480" w:lineRule="auto"/>
              <w:rPr>
                <w:rFonts w:ascii="Times New Roman" w:eastAsia="Times New Roman" w:hAnsi="Times New Roman" w:cs="Times New Roman"/>
                <w:sz w:val="20"/>
                <w:szCs w:val="20"/>
              </w:rPr>
            </w:pPr>
          </w:p>
        </w:tc>
        <w:tc>
          <w:tcPr>
            <w:tcW w:w="932" w:type="dxa"/>
          </w:tcPr>
          <w:p w14:paraId="540916E1"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277" w:type="dxa"/>
          </w:tcPr>
          <w:p w14:paraId="7BBF92CC" w14:textId="77777777" w:rsidR="00315C1B" w:rsidRDefault="00315C1B">
            <w:pPr>
              <w:spacing w:line="480" w:lineRule="auto"/>
              <w:rPr>
                <w:rFonts w:ascii="Times New Roman" w:eastAsia="Times New Roman" w:hAnsi="Times New Roman" w:cs="Times New Roman"/>
                <w:sz w:val="20"/>
                <w:szCs w:val="20"/>
              </w:rPr>
            </w:pPr>
          </w:p>
        </w:tc>
      </w:tr>
      <w:tr w:rsidR="00315C1B" w14:paraId="3AB9585E" w14:textId="77777777">
        <w:trPr>
          <w:trHeight w:val="290"/>
        </w:trPr>
        <w:tc>
          <w:tcPr>
            <w:tcW w:w="1343" w:type="dxa"/>
          </w:tcPr>
          <w:p w14:paraId="757C5573"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Moore et al.</w:t>
            </w:r>
          </w:p>
        </w:tc>
        <w:tc>
          <w:tcPr>
            <w:tcW w:w="614" w:type="dxa"/>
          </w:tcPr>
          <w:p w14:paraId="3DE70228"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2008</w:t>
            </w:r>
          </w:p>
        </w:tc>
        <w:tc>
          <w:tcPr>
            <w:tcW w:w="1030" w:type="dxa"/>
          </w:tcPr>
          <w:p w14:paraId="624A893A"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USA</w:t>
            </w:r>
          </w:p>
        </w:tc>
        <w:tc>
          <w:tcPr>
            <w:tcW w:w="1362" w:type="dxa"/>
          </w:tcPr>
          <w:p w14:paraId="607F67F6" w14:textId="77777777" w:rsidR="00315C1B" w:rsidRDefault="00315C1B">
            <w:pPr>
              <w:spacing w:line="480" w:lineRule="auto"/>
              <w:rPr>
                <w:rFonts w:ascii="Times New Roman" w:eastAsia="Times New Roman" w:hAnsi="Times New Roman" w:cs="Times New Roman"/>
                <w:sz w:val="20"/>
                <w:szCs w:val="20"/>
              </w:rPr>
            </w:pPr>
          </w:p>
        </w:tc>
        <w:tc>
          <w:tcPr>
            <w:tcW w:w="1468" w:type="dxa"/>
          </w:tcPr>
          <w:p w14:paraId="12C425CE"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932" w:type="dxa"/>
          </w:tcPr>
          <w:p w14:paraId="09EB16B9"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277" w:type="dxa"/>
          </w:tcPr>
          <w:p w14:paraId="1AD3643E"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15C1B" w14:paraId="6A0A8946" w14:textId="77777777">
        <w:trPr>
          <w:trHeight w:val="290"/>
        </w:trPr>
        <w:tc>
          <w:tcPr>
            <w:tcW w:w="1343" w:type="dxa"/>
          </w:tcPr>
          <w:p w14:paraId="737FF0AD"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Cooper &amp; Smith</w:t>
            </w:r>
          </w:p>
        </w:tc>
        <w:tc>
          <w:tcPr>
            <w:tcW w:w="614" w:type="dxa"/>
          </w:tcPr>
          <w:p w14:paraId="0E411795"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1030" w:type="dxa"/>
          </w:tcPr>
          <w:p w14:paraId="723276FB"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UK &amp; USA</w:t>
            </w:r>
          </w:p>
        </w:tc>
        <w:tc>
          <w:tcPr>
            <w:tcW w:w="1362" w:type="dxa"/>
          </w:tcPr>
          <w:p w14:paraId="150B82CF" w14:textId="77777777" w:rsidR="00315C1B" w:rsidRDefault="00315C1B">
            <w:pPr>
              <w:spacing w:line="480" w:lineRule="auto"/>
              <w:rPr>
                <w:rFonts w:ascii="Times New Roman" w:eastAsia="Times New Roman" w:hAnsi="Times New Roman" w:cs="Times New Roman"/>
                <w:sz w:val="20"/>
                <w:szCs w:val="20"/>
              </w:rPr>
            </w:pPr>
          </w:p>
        </w:tc>
        <w:tc>
          <w:tcPr>
            <w:tcW w:w="1468" w:type="dxa"/>
          </w:tcPr>
          <w:p w14:paraId="75A5E9FB" w14:textId="77777777" w:rsidR="00315C1B" w:rsidRDefault="00315C1B">
            <w:pPr>
              <w:spacing w:line="480" w:lineRule="auto"/>
              <w:rPr>
                <w:rFonts w:ascii="Times New Roman" w:eastAsia="Times New Roman" w:hAnsi="Times New Roman" w:cs="Times New Roman"/>
                <w:sz w:val="20"/>
                <w:szCs w:val="20"/>
              </w:rPr>
            </w:pPr>
          </w:p>
        </w:tc>
        <w:tc>
          <w:tcPr>
            <w:tcW w:w="932" w:type="dxa"/>
          </w:tcPr>
          <w:p w14:paraId="790E3785" w14:textId="77777777" w:rsidR="00315C1B" w:rsidRDefault="00315C1B">
            <w:pPr>
              <w:spacing w:line="480" w:lineRule="auto"/>
              <w:rPr>
                <w:rFonts w:ascii="Times New Roman" w:eastAsia="Times New Roman" w:hAnsi="Times New Roman" w:cs="Times New Roman"/>
                <w:sz w:val="20"/>
                <w:szCs w:val="20"/>
              </w:rPr>
            </w:pPr>
          </w:p>
        </w:tc>
        <w:tc>
          <w:tcPr>
            <w:tcW w:w="2277" w:type="dxa"/>
          </w:tcPr>
          <w:p w14:paraId="3174D48A"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15C1B" w14:paraId="684A733E" w14:textId="77777777">
        <w:trPr>
          <w:trHeight w:val="290"/>
        </w:trPr>
        <w:tc>
          <w:tcPr>
            <w:tcW w:w="1343" w:type="dxa"/>
          </w:tcPr>
          <w:p w14:paraId="314125C9"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Miller et al. </w:t>
            </w:r>
          </w:p>
        </w:tc>
        <w:tc>
          <w:tcPr>
            <w:tcW w:w="614" w:type="dxa"/>
          </w:tcPr>
          <w:p w14:paraId="2B536451"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2014</w:t>
            </w:r>
          </w:p>
        </w:tc>
        <w:tc>
          <w:tcPr>
            <w:tcW w:w="1030" w:type="dxa"/>
          </w:tcPr>
          <w:p w14:paraId="393C382A"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USA</w:t>
            </w:r>
          </w:p>
        </w:tc>
        <w:tc>
          <w:tcPr>
            <w:tcW w:w="1362" w:type="dxa"/>
          </w:tcPr>
          <w:p w14:paraId="56437AB3"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468" w:type="dxa"/>
          </w:tcPr>
          <w:p w14:paraId="75C6FDE4" w14:textId="77777777" w:rsidR="00315C1B" w:rsidRDefault="00315C1B">
            <w:pPr>
              <w:spacing w:line="480" w:lineRule="auto"/>
              <w:rPr>
                <w:rFonts w:ascii="Times New Roman" w:eastAsia="Times New Roman" w:hAnsi="Times New Roman" w:cs="Times New Roman"/>
                <w:sz w:val="20"/>
                <w:szCs w:val="20"/>
              </w:rPr>
            </w:pPr>
          </w:p>
        </w:tc>
        <w:tc>
          <w:tcPr>
            <w:tcW w:w="932" w:type="dxa"/>
          </w:tcPr>
          <w:p w14:paraId="6E06FE00" w14:textId="77777777" w:rsidR="00315C1B" w:rsidRDefault="00315C1B">
            <w:pPr>
              <w:spacing w:line="480" w:lineRule="auto"/>
              <w:rPr>
                <w:rFonts w:ascii="Times New Roman" w:eastAsia="Times New Roman" w:hAnsi="Times New Roman" w:cs="Times New Roman"/>
                <w:sz w:val="20"/>
                <w:szCs w:val="20"/>
              </w:rPr>
            </w:pPr>
          </w:p>
        </w:tc>
        <w:tc>
          <w:tcPr>
            <w:tcW w:w="2277" w:type="dxa"/>
          </w:tcPr>
          <w:p w14:paraId="1D4B2EAD" w14:textId="77777777" w:rsidR="00315C1B" w:rsidRDefault="00315C1B">
            <w:pPr>
              <w:spacing w:line="480" w:lineRule="auto"/>
              <w:rPr>
                <w:rFonts w:ascii="Times New Roman" w:eastAsia="Times New Roman" w:hAnsi="Times New Roman" w:cs="Times New Roman"/>
                <w:sz w:val="20"/>
                <w:szCs w:val="20"/>
              </w:rPr>
            </w:pPr>
          </w:p>
        </w:tc>
      </w:tr>
      <w:tr w:rsidR="00315C1B" w14:paraId="0CDAE4CB" w14:textId="77777777">
        <w:trPr>
          <w:trHeight w:val="290"/>
        </w:trPr>
        <w:tc>
          <w:tcPr>
            <w:tcW w:w="1343" w:type="dxa"/>
          </w:tcPr>
          <w:p w14:paraId="0B340DE8"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Lee et al.</w:t>
            </w:r>
          </w:p>
        </w:tc>
        <w:tc>
          <w:tcPr>
            <w:tcW w:w="614" w:type="dxa"/>
          </w:tcPr>
          <w:p w14:paraId="670644D6"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c>
          <w:tcPr>
            <w:tcW w:w="1030" w:type="dxa"/>
          </w:tcPr>
          <w:p w14:paraId="768BB17C"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USA</w:t>
            </w:r>
          </w:p>
        </w:tc>
        <w:tc>
          <w:tcPr>
            <w:tcW w:w="1362" w:type="dxa"/>
          </w:tcPr>
          <w:p w14:paraId="6824E9E4" w14:textId="77777777" w:rsidR="00315C1B" w:rsidRDefault="00315C1B">
            <w:pPr>
              <w:spacing w:line="480" w:lineRule="auto"/>
              <w:rPr>
                <w:rFonts w:ascii="Times New Roman" w:eastAsia="Times New Roman" w:hAnsi="Times New Roman" w:cs="Times New Roman"/>
                <w:sz w:val="20"/>
                <w:szCs w:val="20"/>
              </w:rPr>
            </w:pPr>
          </w:p>
        </w:tc>
        <w:tc>
          <w:tcPr>
            <w:tcW w:w="1468" w:type="dxa"/>
          </w:tcPr>
          <w:p w14:paraId="6B2DB5CE"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932" w:type="dxa"/>
          </w:tcPr>
          <w:p w14:paraId="53A481D7"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277" w:type="dxa"/>
          </w:tcPr>
          <w:p w14:paraId="6916056C"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15C1B" w14:paraId="5376994C" w14:textId="77777777">
        <w:trPr>
          <w:trHeight w:val="290"/>
        </w:trPr>
        <w:tc>
          <w:tcPr>
            <w:tcW w:w="1343" w:type="dxa"/>
          </w:tcPr>
          <w:p w14:paraId="4487EA15"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Goodfellow</w:t>
            </w:r>
          </w:p>
        </w:tc>
        <w:tc>
          <w:tcPr>
            <w:tcW w:w="614" w:type="dxa"/>
          </w:tcPr>
          <w:p w14:paraId="2D2BF328"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c>
          <w:tcPr>
            <w:tcW w:w="1030" w:type="dxa"/>
          </w:tcPr>
          <w:p w14:paraId="0A1C22F8"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USA</w:t>
            </w:r>
          </w:p>
        </w:tc>
        <w:tc>
          <w:tcPr>
            <w:tcW w:w="1362" w:type="dxa"/>
          </w:tcPr>
          <w:p w14:paraId="74764AF9"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468" w:type="dxa"/>
          </w:tcPr>
          <w:p w14:paraId="79272C36" w14:textId="77777777" w:rsidR="00315C1B" w:rsidRDefault="00315C1B">
            <w:pPr>
              <w:spacing w:line="480" w:lineRule="auto"/>
              <w:rPr>
                <w:rFonts w:ascii="Times New Roman" w:eastAsia="Times New Roman" w:hAnsi="Times New Roman" w:cs="Times New Roman"/>
                <w:sz w:val="20"/>
                <w:szCs w:val="20"/>
              </w:rPr>
            </w:pPr>
          </w:p>
        </w:tc>
        <w:tc>
          <w:tcPr>
            <w:tcW w:w="932" w:type="dxa"/>
          </w:tcPr>
          <w:p w14:paraId="6ED81A43" w14:textId="77777777" w:rsidR="00315C1B" w:rsidRDefault="00315C1B">
            <w:pPr>
              <w:spacing w:line="480" w:lineRule="auto"/>
              <w:rPr>
                <w:rFonts w:ascii="Times New Roman" w:eastAsia="Times New Roman" w:hAnsi="Times New Roman" w:cs="Times New Roman"/>
                <w:sz w:val="20"/>
                <w:szCs w:val="20"/>
              </w:rPr>
            </w:pPr>
          </w:p>
        </w:tc>
        <w:tc>
          <w:tcPr>
            <w:tcW w:w="2277" w:type="dxa"/>
          </w:tcPr>
          <w:p w14:paraId="737465E9" w14:textId="77777777" w:rsidR="00315C1B" w:rsidRDefault="00315C1B">
            <w:pPr>
              <w:spacing w:line="480" w:lineRule="auto"/>
              <w:rPr>
                <w:rFonts w:ascii="Times New Roman" w:eastAsia="Times New Roman" w:hAnsi="Times New Roman" w:cs="Times New Roman"/>
                <w:sz w:val="20"/>
                <w:szCs w:val="20"/>
              </w:rPr>
            </w:pPr>
          </w:p>
        </w:tc>
      </w:tr>
      <w:tr w:rsidR="00315C1B" w14:paraId="034C07B3" w14:textId="77777777">
        <w:trPr>
          <w:trHeight w:val="290"/>
        </w:trPr>
        <w:tc>
          <w:tcPr>
            <w:tcW w:w="1343" w:type="dxa"/>
          </w:tcPr>
          <w:p w14:paraId="07E3E9FB"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Kacal</w:t>
            </w:r>
          </w:p>
        </w:tc>
        <w:tc>
          <w:tcPr>
            <w:tcW w:w="614" w:type="dxa"/>
          </w:tcPr>
          <w:p w14:paraId="4D93EED7"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c>
          <w:tcPr>
            <w:tcW w:w="1030" w:type="dxa"/>
          </w:tcPr>
          <w:p w14:paraId="3F3E91D6"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Israel</w:t>
            </w:r>
          </w:p>
        </w:tc>
        <w:tc>
          <w:tcPr>
            <w:tcW w:w="1362" w:type="dxa"/>
          </w:tcPr>
          <w:p w14:paraId="5E6D8F83"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468" w:type="dxa"/>
          </w:tcPr>
          <w:p w14:paraId="2C278D73"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932" w:type="dxa"/>
          </w:tcPr>
          <w:p w14:paraId="046A4E19"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277" w:type="dxa"/>
          </w:tcPr>
          <w:p w14:paraId="7D42B5F9"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15C1B" w14:paraId="0E53FAEE" w14:textId="77777777">
        <w:trPr>
          <w:trHeight w:val="290"/>
        </w:trPr>
        <w:tc>
          <w:tcPr>
            <w:tcW w:w="1343" w:type="dxa"/>
          </w:tcPr>
          <w:p w14:paraId="16D0036B"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Rutter et al.</w:t>
            </w:r>
          </w:p>
        </w:tc>
        <w:tc>
          <w:tcPr>
            <w:tcW w:w="614" w:type="dxa"/>
          </w:tcPr>
          <w:p w14:paraId="451FEBDA"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1030" w:type="dxa"/>
          </w:tcPr>
          <w:p w14:paraId="74A7DBB7"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USA</w:t>
            </w:r>
          </w:p>
        </w:tc>
        <w:tc>
          <w:tcPr>
            <w:tcW w:w="1362" w:type="dxa"/>
          </w:tcPr>
          <w:p w14:paraId="66A4ED4B" w14:textId="77777777" w:rsidR="00315C1B" w:rsidRDefault="00315C1B">
            <w:pPr>
              <w:spacing w:line="480" w:lineRule="auto"/>
              <w:rPr>
                <w:rFonts w:ascii="Times New Roman" w:eastAsia="Times New Roman" w:hAnsi="Times New Roman" w:cs="Times New Roman"/>
                <w:sz w:val="20"/>
                <w:szCs w:val="20"/>
              </w:rPr>
            </w:pPr>
          </w:p>
        </w:tc>
        <w:tc>
          <w:tcPr>
            <w:tcW w:w="1468" w:type="dxa"/>
          </w:tcPr>
          <w:p w14:paraId="60305326"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932" w:type="dxa"/>
          </w:tcPr>
          <w:p w14:paraId="38F2D124"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277" w:type="dxa"/>
          </w:tcPr>
          <w:p w14:paraId="564E20FA"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15C1B" w14:paraId="75FC96C4" w14:textId="77777777">
        <w:trPr>
          <w:trHeight w:val="290"/>
        </w:trPr>
        <w:tc>
          <w:tcPr>
            <w:tcW w:w="1343" w:type="dxa"/>
          </w:tcPr>
          <w:p w14:paraId="46CE2359"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Janeczko et al.</w:t>
            </w:r>
          </w:p>
        </w:tc>
        <w:tc>
          <w:tcPr>
            <w:tcW w:w="614" w:type="dxa"/>
          </w:tcPr>
          <w:p w14:paraId="6D2EF195"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1030" w:type="dxa"/>
          </w:tcPr>
          <w:p w14:paraId="3CF6E2AE"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Poland</w:t>
            </w:r>
          </w:p>
        </w:tc>
        <w:tc>
          <w:tcPr>
            <w:tcW w:w="1362" w:type="dxa"/>
          </w:tcPr>
          <w:p w14:paraId="6663094C" w14:textId="77777777" w:rsidR="00315C1B" w:rsidRDefault="00315C1B">
            <w:pPr>
              <w:spacing w:line="480" w:lineRule="auto"/>
              <w:rPr>
                <w:rFonts w:ascii="Times New Roman" w:eastAsia="Times New Roman" w:hAnsi="Times New Roman" w:cs="Times New Roman"/>
                <w:sz w:val="20"/>
                <w:szCs w:val="20"/>
              </w:rPr>
            </w:pPr>
          </w:p>
        </w:tc>
        <w:tc>
          <w:tcPr>
            <w:tcW w:w="1468" w:type="dxa"/>
          </w:tcPr>
          <w:p w14:paraId="00688B85" w14:textId="77777777" w:rsidR="00315C1B" w:rsidRDefault="00315C1B">
            <w:pPr>
              <w:spacing w:line="480" w:lineRule="auto"/>
              <w:rPr>
                <w:rFonts w:ascii="Times New Roman" w:eastAsia="Times New Roman" w:hAnsi="Times New Roman" w:cs="Times New Roman"/>
                <w:sz w:val="20"/>
                <w:szCs w:val="20"/>
              </w:rPr>
            </w:pPr>
          </w:p>
        </w:tc>
        <w:tc>
          <w:tcPr>
            <w:tcW w:w="932" w:type="dxa"/>
          </w:tcPr>
          <w:p w14:paraId="45BD17CD" w14:textId="77777777" w:rsidR="00315C1B" w:rsidRDefault="00315C1B">
            <w:pPr>
              <w:spacing w:line="480" w:lineRule="auto"/>
              <w:rPr>
                <w:rFonts w:ascii="Times New Roman" w:eastAsia="Times New Roman" w:hAnsi="Times New Roman" w:cs="Times New Roman"/>
                <w:sz w:val="20"/>
                <w:szCs w:val="20"/>
              </w:rPr>
            </w:pPr>
          </w:p>
        </w:tc>
        <w:tc>
          <w:tcPr>
            <w:tcW w:w="2277" w:type="dxa"/>
          </w:tcPr>
          <w:p w14:paraId="0246ECF1"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15C1B" w14:paraId="55D68206" w14:textId="77777777">
        <w:trPr>
          <w:trHeight w:val="290"/>
        </w:trPr>
        <w:tc>
          <w:tcPr>
            <w:tcW w:w="1343" w:type="dxa"/>
          </w:tcPr>
          <w:p w14:paraId="7630C667"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Randler </w:t>
            </w:r>
          </w:p>
        </w:tc>
        <w:tc>
          <w:tcPr>
            <w:tcW w:w="614" w:type="dxa"/>
          </w:tcPr>
          <w:p w14:paraId="48384F3C"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1030" w:type="dxa"/>
          </w:tcPr>
          <w:p w14:paraId="33448757"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Germany</w:t>
            </w:r>
          </w:p>
        </w:tc>
        <w:tc>
          <w:tcPr>
            <w:tcW w:w="1362" w:type="dxa"/>
          </w:tcPr>
          <w:p w14:paraId="6708E693"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468" w:type="dxa"/>
          </w:tcPr>
          <w:p w14:paraId="5B828AAA"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932" w:type="dxa"/>
          </w:tcPr>
          <w:p w14:paraId="3A0E7FDD"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277" w:type="dxa"/>
          </w:tcPr>
          <w:p w14:paraId="594C0E89"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15C1B" w14:paraId="00CACD54" w14:textId="77777777">
        <w:trPr>
          <w:trHeight w:val="290"/>
        </w:trPr>
        <w:tc>
          <w:tcPr>
            <w:tcW w:w="1343" w:type="dxa"/>
          </w:tcPr>
          <w:p w14:paraId="2146FB5F"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Randler &amp; </w:t>
            </w:r>
            <w:proofErr w:type="spellStart"/>
            <w:r>
              <w:rPr>
                <w:rFonts w:ascii="Times New Roman" w:eastAsia="Times New Roman" w:hAnsi="Times New Roman" w:cs="Times New Roman"/>
                <w:sz w:val="20"/>
                <w:szCs w:val="20"/>
              </w:rPr>
              <w:t>Großmann</w:t>
            </w:r>
            <w:proofErr w:type="spellEnd"/>
          </w:p>
        </w:tc>
        <w:tc>
          <w:tcPr>
            <w:tcW w:w="614" w:type="dxa"/>
          </w:tcPr>
          <w:p w14:paraId="3B262129"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030" w:type="dxa"/>
          </w:tcPr>
          <w:p w14:paraId="40D2FDD5"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Germany</w:t>
            </w:r>
          </w:p>
        </w:tc>
        <w:tc>
          <w:tcPr>
            <w:tcW w:w="1362" w:type="dxa"/>
          </w:tcPr>
          <w:p w14:paraId="7960A958" w14:textId="77777777" w:rsidR="00315C1B" w:rsidRDefault="00315C1B">
            <w:pPr>
              <w:spacing w:line="480" w:lineRule="auto"/>
              <w:rPr>
                <w:rFonts w:ascii="Times New Roman" w:eastAsia="Times New Roman" w:hAnsi="Times New Roman" w:cs="Times New Roman"/>
                <w:sz w:val="20"/>
                <w:szCs w:val="20"/>
              </w:rPr>
            </w:pPr>
          </w:p>
        </w:tc>
        <w:tc>
          <w:tcPr>
            <w:tcW w:w="1468" w:type="dxa"/>
          </w:tcPr>
          <w:p w14:paraId="0C4D946D"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932" w:type="dxa"/>
          </w:tcPr>
          <w:p w14:paraId="1743CC07"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277" w:type="dxa"/>
          </w:tcPr>
          <w:p w14:paraId="1EF6E563"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315C1B" w14:paraId="44B58673" w14:textId="77777777">
        <w:trPr>
          <w:trHeight w:val="290"/>
        </w:trPr>
        <w:tc>
          <w:tcPr>
            <w:tcW w:w="1343" w:type="dxa"/>
          </w:tcPr>
          <w:p w14:paraId="7F33B221"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Randler et al. </w:t>
            </w:r>
          </w:p>
        </w:tc>
        <w:tc>
          <w:tcPr>
            <w:tcW w:w="614" w:type="dxa"/>
          </w:tcPr>
          <w:p w14:paraId="7D45990B"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1030" w:type="dxa"/>
          </w:tcPr>
          <w:p w14:paraId="720D2684"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Poland</w:t>
            </w:r>
          </w:p>
        </w:tc>
        <w:tc>
          <w:tcPr>
            <w:tcW w:w="1362" w:type="dxa"/>
          </w:tcPr>
          <w:p w14:paraId="7D8B88F7" w14:textId="77777777" w:rsidR="00315C1B" w:rsidRDefault="00315C1B">
            <w:pPr>
              <w:spacing w:line="480" w:lineRule="auto"/>
              <w:rPr>
                <w:rFonts w:ascii="Times New Roman" w:eastAsia="Times New Roman" w:hAnsi="Times New Roman" w:cs="Times New Roman"/>
                <w:sz w:val="20"/>
                <w:szCs w:val="20"/>
              </w:rPr>
            </w:pPr>
          </w:p>
        </w:tc>
        <w:tc>
          <w:tcPr>
            <w:tcW w:w="1468" w:type="dxa"/>
          </w:tcPr>
          <w:p w14:paraId="6D126509"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932" w:type="dxa"/>
          </w:tcPr>
          <w:p w14:paraId="75BB0D77"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277" w:type="dxa"/>
          </w:tcPr>
          <w:p w14:paraId="24009088" w14:textId="77777777" w:rsidR="00315C1B"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14:paraId="02F3C9D7" w14:textId="77777777" w:rsidR="00315C1B" w:rsidRDefault="00315C1B">
      <w:pPr>
        <w:spacing w:line="480" w:lineRule="auto"/>
        <w:rPr>
          <w:rFonts w:ascii="Times New Roman" w:eastAsia="Times New Roman" w:hAnsi="Times New Roman" w:cs="Times New Roman"/>
          <w:sz w:val="24"/>
          <w:szCs w:val="24"/>
        </w:rPr>
      </w:pPr>
    </w:p>
    <w:p w14:paraId="5D92EB56" w14:textId="77777777" w:rsidR="00315C1B" w:rsidRDefault="00315C1B">
      <w:pPr>
        <w:spacing w:line="480" w:lineRule="auto"/>
        <w:rPr>
          <w:rFonts w:ascii="Times New Roman" w:eastAsia="Times New Roman" w:hAnsi="Times New Roman" w:cs="Times New Roman"/>
          <w:sz w:val="24"/>
          <w:szCs w:val="24"/>
        </w:rPr>
      </w:pPr>
    </w:p>
    <w:p w14:paraId="685B1EDB" w14:textId="77777777" w:rsidR="00315C1B" w:rsidRDefault="00315C1B">
      <w:pPr>
        <w:spacing w:line="480" w:lineRule="auto"/>
        <w:rPr>
          <w:rFonts w:ascii="Times New Roman" w:eastAsia="Times New Roman" w:hAnsi="Times New Roman" w:cs="Times New Roman"/>
          <w:sz w:val="24"/>
          <w:szCs w:val="24"/>
        </w:rPr>
      </w:pPr>
    </w:p>
    <w:p w14:paraId="0ABB9586" w14:textId="30AC11C2" w:rsidR="00315C1B" w:rsidRDefault="00000000">
      <w:pPr>
        <w:pageBreakBefore/>
        <w:spacing w:line="48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lastRenderedPageBreak/>
        <w:t>Appendix 2. Distribution of the countries used in the present study.</w:t>
      </w:r>
      <w:r w:rsidR="00EB6371">
        <w:rPr>
          <w:rFonts w:ascii="Times New Roman" w:eastAsia="Times New Roman" w:hAnsi="Times New Roman" w:cs="Times New Roman"/>
          <w:b/>
          <w:sz w:val="24"/>
          <w:szCs w:val="24"/>
        </w:rPr>
        <w:t xml:space="preserve"> Darker coloration relies to a higher sample size (see Table 1).</w:t>
      </w:r>
    </w:p>
    <w:p w14:paraId="5963E09D" w14:textId="77777777" w:rsidR="00315C1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9E5FDBE" wp14:editId="37445244">
            <wp:extent cx="5731510" cy="3223895"/>
            <wp:effectExtent l="0" t="0" r="0" b="0"/>
            <wp:docPr id="1" name="image1.png" descr="Ein Bild, das Karte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1.png" descr="Ein Bild, das Karte enthält.&#10;&#10;KI-generierte Inhalte können fehlerhaft sein."/>
                    <pic:cNvPicPr preferRelativeResize="0"/>
                  </pic:nvPicPr>
                  <pic:blipFill>
                    <a:blip r:embed="rId7"/>
                    <a:srcRect/>
                    <a:stretch>
                      <a:fillRect/>
                    </a:stretch>
                  </pic:blipFill>
                  <pic:spPr>
                    <a:xfrm>
                      <a:off x="0" y="0"/>
                      <a:ext cx="5731510" cy="3223895"/>
                    </a:xfrm>
                    <a:prstGeom prst="rect">
                      <a:avLst/>
                    </a:prstGeom>
                    <a:ln/>
                  </pic:spPr>
                </pic:pic>
              </a:graphicData>
            </a:graphic>
          </wp:inline>
        </w:drawing>
      </w:r>
    </w:p>
    <w:p w14:paraId="67ACC3F2" w14:textId="77777777" w:rsidR="00315C1B" w:rsidRDefault="00315C1B">
      <w:pPr>
        <w:spacing w:line="480" w:lineRule="auto"/>
        <w:rPr>
          <w:rFonts w:ascii="Times New Roman" w:eastAsia="Times New Roman" w:hAnsi="Times New Roman" w:cs="Times New Roman"/>
          <w:sz w:val="24"/>
          <w:szCs w:val="24"/>
        </w:rPr>
      </w:pPr>
    </w:p>
    <w:sectPr w:rsidR="00315C1B">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A5B2C" w14:textId="77777777" w:rsidR="00341B3E" w:rsidRDefault="00341B3E">
      <w:pPr>
        <w:spacing w:after="0" w:line="240" w:lineRule="auto"/>
      </w:pPr>
      <w:r>
        <w:separator/>
      </w:r>
    </w:p>
  </w:endnote>
  <w:endnote w:type="continuationSeparator" w:id="0">
    <w:p w14:paraId="6DD01F2E" w14:textId="77777777" w:rsidR="00341B3E" w:rsidRDefault="00341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DE31F" w14:textId="77777777" w:rsidR="00341B3E" w:rsidRDefault="00341B3E">
      <w:pPr>
        <w:spacing w:after="0" w:line="240" w:lineRule="auto"/>
      </w:pPr>
      <w:r>
        <w:separator/>
      </w:r>
    </w:p>
  </w:footnote>
  <w:footnote w:type="continuationSeparator" w:id="0">
    <w:p w14:paraId="33423E8F" w14:textId="77777777" w:rsidR="00341B3E" w:rsidRDefault="00341B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96278"/>
    <w:multiLevelType w:val="multilevel"/>
    <w:tmpl w:val="C534D8A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8235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C1B"/>
    <w:rsid w:val="00066E0A"/>
    <w:rsid w:val="000A23CA"/>
    <w:rsid w:val="00315C1B"/>
    <w:rsid w:val="00341B3E"/>
    <w:rsid w:val="003936EF"/>
    <w:rsid w:val="00497F1B"/>
    <w:rsid w:val="006851EE"/>
    <w:rsid w:val="00B50033"/>
    <w:rsid w:val="00B75D71"/>
    <w:rsid w:val="00CD7FE3"/>
    <w:rsid w:val="00D46E57"/>
    <w:rsid w:val="00EB63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69E3C"/>
  <w15:docId w15:val="{DAED61B3-066F-4427-A599-6FB9C1EB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360" w:after="80"/>
      <w:outlineLvl w:val="0"/>
    </w:pPr>
    <w:rPr>
      <w:rFonts w:ascii="Play" w:eastAsia="Play" w:hAnsi="Play" w:cs="Play"/>
      <w:color w:val="0F4761"/>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ascii="Play" w:eastAsia="Play" w:hAnsi="Play" w:cs="Play"/>
      <w:color w:val="0F4761"/>
      <w:sz w:val="32"/>
      <w:szCs w:val="32"/>
    </w:rPr>
  </w:style>
  <w:style w:type="paragraph" w:styleId="berschrift3">
    <w:name w:val="heading 3"/>
    <w:basedOn w:val="Standard"/>
    <w:next w:val="Standard"/>
    <w:uiPriority w:val="9"/>
    <w:semiHidden/>
    <w:unhideWhenUsed/>
    <w:qFormat/>
    <w:pPr>
      <w:keepNext/>
      <w:keepLines/>
      <w:spacing w:before="160" w:after="80"/>
      <w:outlineLvl w:val="2"/>
    </w:pPr>
    <w:rPr>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i/>
      <w:color w:val="0F4761"/>
    </w:rPr>
  </w:style>
  <w:style w:type="paragraph" w:styleId="berschrift5">
    <w:name w:val="heading 5"/>
    <w:basedOn w:val="Standard"/>
    <w:next w:val="Standard"/>
    <w:uiPriority w:val="9"/>
    <w:semiHidden/>
    <w:unhideWhenUsed/>
    <w:qFormat/>
    <w:pPr>
      <w:keepNext/>
      <w:keepLines/>
      <w:spacing w:before="80" w:after="40"/>
      <w:outlineLvl w:val="4"/>
    </w:pPr>
    <w:rPr>
      <w:color w:val="0F4761"/>
    </w:rPr>
  </w:style>
  <w:style w:type="paragraph" w:styleId="berschrift6">
    <w:name w:val="heading 6"/>
    <w:basedOn w:val="Standard"/>
    <w:next w:val="Standard"/>
    <w:uiPriority w:val="9"/>
    <w:semiHidden/>
    <w:unhideWhenUsed/>
    <w:qFormat/>
    <w:pPr>
      <w:keepNext/>
      <w:keepLines/>
      <w:spacing w:before="40" w:after="0"/>
      <w:outlineLvl w:val="5"/>
    </w:pPr>
    <w:rPr>
      <w:i/>
      <w:color w:val="59595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spacing w:after="80" w:line="240" w:lineRule="auto"/>
    </w:pPr>
    <w:rPr>
      <w:rFonts w:ascii="Play" w:eastAsia="Play" w:hAnsi="Play" w:cs="Play"/>
      <w:sz w:val="56"/>
      <w:szCs w:val="56"/>
    </w:rPr>
  </w:style>
  <w:style w:type="paragraph" w:styleId="Untertitel">
    <w:name w:val="Subtitle"/>
    <w:basedOn w:val="Standard"/>
    <w:next w:val="Standard"/>
    <w:uiPriority w:val="11"/>
    <w:qFormat/>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Kopfzeile">
    <w:name w:val="header"/>
    <w:basedOn w:val="Standard"/>
    <w:link w:val="KopfzeileZchn"/>
    <w:uiPriority w:val="99"/>
    <w:unhideWhenUsed/>
    <w:rsid w:val="00B75D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5D71"/>
  </w:style>
  <w:style w:type="paragraph" w:styleId="Fuzeile">
    <w:name w:val="footer"/>
    <w:basedOn w:val="Standard"/>
    <w:link w:val="FuzeileZchn"/>
    <w:uiPriority w:val="99"/>
    <w:unhideWhenUsed/>
    <w:rsid w:val="00B75D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5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1439</Words>
  <Characters>9067</Characters>
  <Application>Microsoft Office Word</Application>
  <DocSecurity>0</DocSecurity>
  <Lines>75</Lines>
  <Paragraphs>20</Paragraphs>
  <ScaleCrop>false</ScaleCrop>
  <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Christoph Randler</cp:lastModifiedBy>
  <cp:revision>2</cp:revision>
  <dcterms:created xsi:type="dcterms:W3CDTF">2025-06-04T08:30:00Z</dcterms:created>
  <dcterms:modified xsi:type="dcterms:W3CDTF">2025-06-04T08:30:00Z</dcterms:modified>
</cp:coreProperties>
</file>