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5C94A" w14:textId="5EB9D378" w:rsidR="003F5DEF" w:rsidRPr="008264F9" w:rsidRDefault="008264F9" w:rsidP="008264F9">
      <w:pPr>
        <w:spacing w:after="0" w:line="480" w:lineRule="auto"/>
        <w:jc w:val="both"/>
        <w:rPr>
          <w:rFonts w:ascii="Times New Roman" w:hAnsi="Times New Roman" w:cs="Times New Roman"/>
          <w:i/>
          <w:iCs/>
          <w:sz w:val="22"/>
          <w:szCs w:val="22"/>
        </w:rPr>
      </w:pPr>
      <w:r w:rsidRPr="008264F9">
        <w:rPr>
          <w:rFonts w:ascii="Times New Roman" w:hAnsi="Times New Roman" w:cs="Times New Roman"/>
          <w:b/>
          <w:bCs/>
          <w:sz w:val="22"/>
          <w:szCs w:val="22"/>
        </w:rPr>
        <w:t xml:space="preserve">Supplementary </w:t>
      </w:r>
      <w:r w:rsidR="003F5DEF" w:rsidRPr="008264F9">
        <w:rPr>
          <w:rFonts w:ascii="Times New Roman" w:hAnsi="Times New Roman" w:cs="Times New Roman"/>
          <w:b/>
          <w:bCs/>
          <w:sz w:val="22"/>
          <w:szCs w:val="22"/>
        </w:rPr>
        <w:t xml:space="preserve">Table 1. </w:t>
      </w:r>
      <w:r w:rsidR="003F5DEF" w:rsidRPr="008264F9">
        <w:rPr>
          <w:rFonts w:ascii="Times New Roman" w:hAnsi="Times New Roman" w:cs="Times New Roman"/>
          <w:i/>
          <w:iCs/>
          <w:sz w:val="22"/>
          <w:szCs w:val="22"/>
        </w:rPr>
        <w:t xml:space="preserve">Search Strategies for </w:t>
      </w:r>
      <w:r w:rsidRPr="008264F9">
        <w:rPr>
          <w:rFonts w:ascii="Times New Roman" w:hAnsi="Times New Roman" w:cs="Times New Roman"/>
          <w:i/>
          <w:iCs/>
          <w:sz w:val="22"/>
          <w:szCs w:val="22"/>
        </w:rPr>
        <w:t>Specific</w:t>
      </w:r>
      <w:r w:rsidR="003F5DEF" w:rsidRPr="008264F9">
        <w:rPr>
          <w:rFonts w:ascii="Times New Roman" w:hAnsi="Times New Roman" w:cs="Times New Roman"/>
          <w:i/>
          <w:iCs/>
          <w:sz w:val="22"/>
          <w:szCs w:val="22"/>
        </w:rPr>
        <w:t xml:space="preserve"> Databases.</w:t>
      </w:r>
    </w:p>
    <w:tbl>
      <w:tblPr>
        <w:tblStyle w:val="TableGrid"/>
        <w:tblW w:w="14580" w:type="dxa"/>
        <w:tblInd w:w="-815" w:type="dxa"/>
        <w:tblBorders>
          <w:insideV w:val="none" w:sz="0" w:space="0" w:color="auto"/>
        </w:tblBorders>
        <w:tblLook w:val="04A0" w:firstRow="1" w:lastRow="0" w:firstColumn="1" w:lastColumn="0" w:noHBand="0" w:noVBand="1"/>
      </w:tblPr>
      <w:tblGrid>
        <w:gridCol w:w="1440"/>
        <w:gridCol w:w="13140"/>
      </w:tblGrid>
      <w:tr w:rsidR="003F5DEF" w14:paraId="54F410D5" w14:textId="77777777" w:rsidTr="00803EE2">
        <w:tc>
          <w:tcPr>
            <w:tcW w:w="1440" w:type="dxa"/>
          </w:tcPr>
          <w:p w14:paraId="418946B1" w14:textId="4904A0FB" w:rsidR="003F5DEF" w:rsidRDefault="003F5DEF" w:rsidP="008264F9">
            <w:pPr>
              <w:spacing w:line="480" w:lineRule="auto"/>
              <w:jc w:val="both"/>
              <w:rPr>
                <w:rFonts w:ascii="Times New Roman" w:hAnsi="Times New Roman" w:cs="Times New Roman"/>
                <w:b/>
                <w:bCs/>
                <w:sz w:val="18"/>
                <w:szCs w:val="18"/>
              </w:rPr>
            </w:pPr>
            <w:r>
              <w:rPr>
                <w:rFonts w:ascii="Times New Roman" w:hAnsi="Times New Roman" w:cs="Times New Roman"/>
                <w:b/>
                <w:bCs/>
                <w:sz w:val="18"/>
                <w:szCs w:val="18"/>
              </w:rPr>
              <w:t>Database</w:t>
            </w:r>
          </w:p>
        </w:tc>
        <w:tc>
          <w:tcPr>
            <w:tcW w:w="13140" w:type="dxa"/>
          </w:tcPr>
          <w:p w14:paraId="4A69B93C" w14:textId="6F82C8A3" w:rsidR="003F5DEF" w:rsidRDefault="003F5DEF" w:rsidP="008264F9">
            <w:pPr>
              <w:spacing w:line="480" w:lineRule="auto"/>
              <w:jc w:val="both"/>
              <w:rPr>
                <w:rFonts w:ascii="Times New Roman" w:hAnsi="Times New Roman" w:cs="Times New Roman"/>
                <w:b/>
                <w:bCs/>
                <w:sz w:val="18"/>
                <w:szCs w:val="18"/>
              </w:rPr>
            </w:pPr>
            <w:r>
              <w:rPr>
                <w:rFonts w:ascii="Times New Roman" w:hAnsi="Times New Roman" w:cs="Times New Roman"/>
                <w:b/>
                <w:bCs/>
                <w:sz w:val="18"/>
                <w:szCs w:val="18"/>
              </w:rPr>
              <w:t>Search String</w:t>
            </w:r>
          </w:p>
        </w:tc>
      </w:tr>
      <w:tr w:rsidR="003F5DEF" w:rsidRPr="003F5DEF" w14:paraId="6FDB5E23" w14:textId="77777777" w:rsidTr="00A956E3">
        <w:tc>
          <w:tcPr>
            <w:tcW w:w="1440" w:type="dxa"/>
          </w:tcPr>
          <w:p w14:paraId="323693A5" w14:textId="425A1CF2" w:rsidR="003F5DEF" w:rsidRPr="003F5DEF" w:rsidRDefault="003F5DEF" w:rsidP="008264F9">
            <w:pPr>
              <w:spacing w:line="480" w:lineRule="auto"/>
              <w:jc w:val="both"/>
              <w:rPr>
                <w:rFonts w:ascii="Times New Roman" w:hAnsi="Times New Roman" w:cs="Times New Roman"/>
                <w:b/>
                <w:bCs/>
                <w:sz w:val="18"/>
                <w:szCs w:val="18"/>
              </w:rPr>
            </w:pPr>
            <w:r w:rsidRPr="003F5DEF">
              <w:rPr>
                <w:rFonts w:ascii="Times New Roman" w:hAnsi="Times New Roman" w:cs="Times New Roman"/>
                <w:b/>
                <w:bCs/>
                <w:sz w:val="18"/>
                <w:szCs w:val="18"/>
              </w:rPr>
              <w:t>PsycINFO</w:t>
            </w:r>
          </w:p>
        </w:tc>
        <w:tc>
          <w:tcPr>
            <w:tcW w:w="13140" w:type="dxa"/>
          </w:tcPr>
          <w:p w14:paraId="72CAF9BB" w14:textId="349367D3" w:rsidR="003F5DEF" w:rsidRPr="003F5DEF" w:rsidRDefault="003F5DEF" w:rsidP="008264F9">
            <w:pPr>
              <w:spacing w:line="480" w:lineRule="auto"/>
              <w:jc w:val="both"/>
              <w:rPr>
                <w:rFonts w:ascii="Times New Roman" w:hAnsi="Times New Roman" w:cs="Times New Roman"/>
                <w:sz w:val="18"/>
                <w:szCs w:val="18"/>
              </w:rPr>
            </w:pPr>
            <w:r w:rsidRPr="003F5DEF">
              <w:rPr>
                <w:rFonts w:ascii="Times New Roman" w:hAnsi="Times New Roman" w:cs="Times New Roman"/>
                <w:sz w:val="18"/>
                <w:szCs w:val="18"/>
              </w:rPr>
              <w:t>((COVID-19 OR "2019 novel coronavirus" OR "SARS-CoV-2" OR "Coronavirus disease 2019" OR "COVID-19 pandemic" OR "COVID-19 response") AND ("psychological resilience" OR "psychological response" OR resilience OR "psychological resilient response" OR "psychological adaptation"))</w:t>
            </w:r>
          </w:p>
        </w:tc>
      </w:tr>
      <w:tr w:rsidR="003F5DEF" w:rsidRPr="003F5DEF" w14:paraId="23289CB0" w14:textId="77777777" w:rsidTr="00A956E3">
        <w:tc>
          <w:tcPr>
            <w:tcW w:w="1440" w:type="dxa"/>
          </w:tcPr>
          <w:p w14:paraId="4DB7516F" w14:textId="41F5073A" w:rsidR="003F5DEF" w:rsidRPr="003F5DEF" w:rsidRDefault="003F5DEF" w:rsidP="008264F9">
            <w:pPr>
              <w:spacing w:line="480" w:lineRule="auto"/>
              <w:jc w:val="both"/>
              <w:rPr>
                <w:rFonts w:ascii="Times New Roman" w:hAnsi="Times New Roman" w:cs="Times New Roman"/>
                <w:b/>
                <w:bCs/>
                <w:sz w:val="18"/>
                <w:szCs w:val="18"/>
              </w:rPr>
            </w:pPr>
            <w:r w:rsidRPr="003F5DEF">
              <w:rPr>
                <w:rFonts w:ascii="Times New Roman" w:hAnsi="Times New Roman" w:cs="Times New Roman"/>
                <w:b/>
                <w:bCs/>
                <w:sz w:val="18"/>
                <w:szCs w:val="18"/>
              </w:rPr>
              <w:t>PubMed</w:t>
            </w:r>
          </w:p>
        </w:tc>
        <w:tc>
          <w:tcPr>
            <w:tcW w:w="13140" w:type="dxa"/>
          </w:tcPr>
          <w:p w14:paraId="0CBBFEBF" w14:textId="33366C8B" w:rsidR="003F5DEF" w:rsidRPr="003F5DEF" w:rsidRDefault="003F5DEF" w:rsidP="008264F9">
            <w:pPr>
              <w:spacing w:line="480" w:lineRule="auto"/>
              <w:jc w:val="both"/>
              <w:rPr>
                <w:rFonts w:ascii="Times New Roman" w:hAnsi="Times New Roman" w:cs="Times New Roman"/>
                <w:sz w:val="18"/>
                <w:szCs w:val="18"/>
              </w:rPr>
            </w:pPr>
            <w:r w:rsidRPr="003F5DEF">
              <w:rPr>
                <w:rFonts w:ascii="Times New Roman" w:hAnsi="Times New Roman" w:cs="Times New Roman"/>
                <w:sz w:val="18"/>
                <w:szCs w:val="18"/>
              </w:rPr>
              <w:t>(("COVID-19"[MeSH Terms] OR "2019 novel coronavirus" OR "SARS-CoV-2" OR "Coronavirus disease 2019" OR "COVID-19 pandemic" OR "COVID-19 response") AND ("psychological resilience"[MeSH Terms] OR "psychological adaptation" OR resilience OR "psychological response" OR "psychological resilient response"))</w:t>
            </w:r>
          </w:p>
        </w:tc>
      </w:tr>
      <w:tr w:rsidR="003F5DEF" w:rsidRPr="003F5DEF" w14:paraId="3FBFDA42" w14:textId="77777777" w:rsidTr="00A956E3">
        <w:tc>
          <w:tcPr>
            <w:tcW w:w="1440" w:type="dxa"/>
          </w:tcPr>
          <w:p w14:paraId="680FC15C" w14:textId="41CC2522" w:rsidR="003F5DEF" w:rsidRPr="003F5DEF" w:rsidRDefault="003F5DEF" w:rsidP="008264F9">
            <w:pPr>
              <w:spacing w:line="480" w:lineRule="auto"/>
              <w:jc w:val="both"/>
              <w:rPr>
                <w:rFonts w:ascii="Times New Roman" w:hAnsi="Times New Roman" w:cs="Times New Roman"/>
                <w:b/>
                <w:bCs/>
                <w:sz w:val="18"/>
                <w:szCs w:val="18"/>
              </w:rPr>
            </w:pPr>
            <w:r w:rsidRPr="003F5DEF">
              <w:rPr>
                <w:rFonts w:ascii="Times New Roman" w:hAnsi="Times New Roman" w:cs="Times New Roman"/>
                <w:b/>
                <w:bCs/>
                <w:sz w:val="18"/>
                <w:szCs w:val="18"/>
              </w:rPr>
              <w:t>ScienceDirect</w:t>
            </w:r>
          </w:p>
        </w:tc>
        <w:tc>
          <w:tcPr>
            <w:tcW w:w="13140" w:type="dxa"/>
          </w:tcPr>
          <w:p w14:paraId="3F79D3D1" w14:textId="52CB1C65" w:rsidR="003F5DEF" w:rsidRPr="003F5DEF" w:rsidRDefault="003F5DEF" w:rsidP="008264F9">
            <w:pPr>
              <w:spacing w:line="480" w:lineRule="auto"/>
              <w:jc w:val="both"/>
              <w:rPr>
                <w:rFonts w:ascii="Times New Roman" w:hAnsi="Times New Roman" w:cs="Times New Roman"/>
                <w:sz w:val="18"/>
                <w:szCs w:val="18"/>
              </w:rPr>
            </w:pPr>
            <w:r w:rsidRPr="003F5DEF">
              <w:rPr>
                <w:rFonts w:ascii="Times New Roman" w:hAnsi="Times New Roman" w:cs="Times New Roman"/>
                <w:sz w:val="18"/>
                <w:szCs w:val="18"/>
              </w:rPr>
              <w:t>TITLE-ABS-KEY(("COVID-19" OR "2019 novel coronavirus" OR "SARS-CoV-2" OR "Coronavirus disease 2019" OR "COVID-19 pandemic" OR "COVID-19 response") AND ("psychological resilience" OR "psychological adaptation" OR resilience OR "psychological response" OR "psychological resilient response"))</w:t>
            </w:r>
          </w:p>
        </w:tc>
      </w:tr>
      <w:tr w:rsidR="003F5DEF" w:rsidRPr="003F5DEF" w14:paraId="22F0CDB5" w14:textId="77777777" w:rsidTr="00A956E3">
        <w:tc>
          <w:tcPr>
            <w:tcW w:w="1440" w:type="dxa"/>
          </w:tcPr>
          <w:p w14:paraId="3E24EDF1" w14:textId="1137084E" w:rsidR="003F5DEF" w:rsidRPr="003F5DEF" w:rsidRDefault="003F5DEF" w:rsidP="008264F9">
            <w:pPr>
              <w:spacing w:line="480" w:lineRule="auto"/>
              <w:jc w:val="both"/>
              <w:rPr>
                <w:rFonts w:ascii="Times New Roman" w:hAnsi="Times New Roman" w:cs="Times New Roman"/>
                <w:b/>
                <w:bCs/>
                <w:sz w:val="18"/>
                <w:szCs w:val="18"/>
              </w:rPr>
            </w:pPr>
            <w:r w:rsidRPr="003F5DEF">
              <w:rPr>
                <w:rFonts w:ascii="Times New Roman" w:hAnsi="Times New Roman" w:cs="Times New Roman"/>
                <w:b/>
                <w:bCs/>
                <w:sz w:val="18"/>
                <w:szCs w:val="18"/>
              </w:rPr>
              <w:t>Web of Science</w:t>
            </w:r>
          </w:p>
        </w:tc>
        <w:tc>
          <w:tcPr>
            <w:tcW w:w="13140" w:type="dxa"/>
          </w:tcPr>
          <w:p w14:paraId="29C919D5" w14:textId="3449EB42" w:rsidR="003F5DEF" w:rsidRPr="003F5DEF" w:rsidRDefault="003F5DEF" w:rsidP="008264F9">
            <w:pPr>
              <w:spacing w:line="480" w:lineRule="auto"/>
              <w:jc w:val="both"/>
              <w:rPr>
                <w:rFonts w:ascii="Times New Roman" w:hAnsi="Times New Roman" w:cs="Times New Roman"/>
                <w:sz w:val="18"/>
                <w:szCs w:val="18"/>
              </w:rPr>
            </w:pPr>
            <w:r w:rsidRPr="003F5DEF">
              <w:rPr>
                <w:rFonts w:ascii="Times New Roman" w:hAnsi="Times New Roman" w:cs="Times New Roman"/>
                <w:sz w:val="18"/>
                <w:szCs w:val="18"/>
              </w:rPr>
              <w:t>TS=("COVID-19" OR "2019 novel coronavirus" OR "SARS-CoV-2" OR "Coronavirus disease 2019" OR "COVID-19 pandemic" OR "COVID-19 response") AND TS=("psychological resilience" OR "psychological adaptation" OR resilience OR "psychological response" OR "psychological resilient response")</w:t>
            </w:r>
          </w:p>
        </w:tc>
      </w:tr>
    </w:tbl>
    <w:p w14:paraId="1D594F09" w14:textId="77777777" w:rsidR="00E50368" w:rsidRDefault="00E50368" w:rsidP="008264F9">
      <w:pPr>
        <w:spacing w:after="0" w:line="480" w:lineRule="auto"/>
        <w:jc w:val="both"/>
        <w:rPr>
          <w:rFonts w:ascii="Times New Roman" w:hAnsi="Times New Roman" w:cs="Times New Roman"/>
          <w:b/>
          <w:bCs/>
          <w:sz w:val="22"/>
          <w:szCs w:val="22"/>
        </w:rPr>
      </w:pPr>
      <w:bookmarkStart w:id="0" w:name="_Hlk188353698"/>
    </w:p>
    <w:p w14:paraId="73D38DA5" w14:textId="77777777" w:rsidR="00073CC6" w:rsidRDefault="00073CC6" w:rsidP="008264F9">
      <w:pPr>
        <w:spacing w:after="0" w:line="480" w:lineRule="auto"/>
        <w:jc w:val="both"/>
        <w:rPr>
          <w:rFonts w:ascii="Times New Roman" w:hAnsi="Times New Roman" w:cs="Times New Roman"/>
          <w:b/>
          <w:bCs/>
          <w:sz w:val="22"/>
          <w:szCs w:val="22"/>
        </w:rPr>
      </w:pPr>
    </w:p>
    <w:bookmarkEnd w:id="0"/>
    <w:p w14:paraId="7DAF9644" w14:textId="77777777" w:rsidR="00EF7290" w:rsidRDefault="00EF7290" w:rsidP="00DD356D">
      <w:pPr>
        <w:tabs>
          <w:tab w:val="left" w:pos="2085"/>
        </w:tabs>
        <w:spacing w:after="0" w:line="259" w:lineRule="auto"/>
        <w:rPr>
          <w:rFonts w:ascii="Times New Roman" w:eastAsia="Times New Roman" w:hAnsi="Times New Roman" w:cs="Times New Roman"/>
          <w:color w:val="000000"/>
          <w:sz w:val="22"/>
          <w:szCs w:val="22"/>
        </w:rPr>
        <w:sectPr w:rsidR="00EF7290" w:rsidSect="000E5D3E">
          <w:footerReference w:type="default" r:id="rId8"/>
          <w:pgSz w:w="15840" w:h="12240" w:orient="landscape"/>
          <w:pgMar w:top="1440" w:right="1440" w:bottom="1440" w:left="1440" w:header="720" w:footer="720" w:gutter="0"/>
          <w:cols w:space="720"/>
          <w:docGrid w:linePitch="360"/>
        </w:sectPr>
      </w:pPr>
    </w:p>
    <w:p w14:paraId="419767E4" w14:textId="3F42D7C3" w:rsidR="00D260AC" w:rsidRPr="00D260AC" w:rsidRDefault="00D260AC" w:rsidP="00D260AC">
      <w:pPr>
        <w:spacing w:after="0"/>
        <w:rPr>
          <w:rFonts w:ascii="Times New Roman" w:hAnsi="Times New Roman" w:cs="Times New Roman"/>
          <w:i/>
          <w:iCs/>
          <w:sz w:val="22"/>
          <w:szCs w:val="22"/>
        </w:rPr>
      </w:pPr>
      <w:r w:rsidRPr="00D260AC">
        <w:rPr>
          <w:rFonts w:ascii="Times New Roman" w:hAnsi="Times New Roman" w:cs="Times New Roman"/>
          <w:b/>
          <w:bCs/>
          <w:noProof/>
          <w:sz w:val="22"/>
          <w:szCs w:val="22"/>
        </w:rPr>
        <w:lastRenderedPageBreak/>
        <w:t xml:space="preserve">Supplementary </w:t>
      </w:r>
      <w:r w:rsidRPr="00D260AC">
        <w:rPr>
          <w:rFonts w:ascii="Times New Roman" w:hAnsi="Times New Roman" w:cs="Times New Roman"/>
          <w:b/>
          <w:bCs/>
          <w:noProof/>
          <w:sz w:val="22"/>
          <w:szCs w:val="22"/>
          <w:lang w:val="en"/>
        </w:rPr>
        <w:t>Table 2</w:t>
      </w:r>
      <w:r w:rsidRPr="00D260AC">
        <w:rPr>
          <w:rFonts w:ascii="Times New Roman" w:hAnsi="Times New Roman" w:cs="Times New Roman"/>
          <w:b/>
          <w:bCs/>
          <w:sz w:val="22"/>
          <w:szCs w:val="22"/>
        </w:rPr>
        <w:t xml:space="preserve">. </w:t>
      </w:r>
      <w:r w:rsidRPr="00D260AC">
        <w:rPr>
          <w:rFonts w:ascii="Times New Roman" w:hAnsi="Times New Roman" w:cs="Times New Roman"/>
          <w:i/>
          <w:iCs/>
          <w:sz w:val="22"/>
          <w:szCs w:val="22"/>
        </w:rPr>
        <w:t>Key lessons from the included studies.</w:t>
      </w:r>
    </w:p>
    <w:p w14:paraId="68795D15" w14:textId="77777777" w:rsidR="00D260AC" w:rsidRPr="0045149E" w:rsidRDefault="00D260AC" w:rsidP="00D260AC">
      <w:pPr>
        <w:spacing w:after="0"/>
        <w:rPr>
          <w:rFonts w:ascii="Times New Roman" w:hAnsi="Times New Roman" w:cs="Times New Roman"/>
          <w:b/>
          <w:bCs/>
        </w:rPr>
      </w:pPr>
    </w:p>
    <w:tbl>
      <w:tblPr>
        <w:tblW w:w="13635" w:type="dxa"/>
        <w:tblInd w:w="-99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20"/>
        <w:gridCol w:w="930"/>
        <w:gridCol w:w="2100"/>
        <w:gridCol w:w="2700"/>
        <w:gridCol w:w="3345"/>
        <w:gridCol w:w="4140"/>
      </w:tblGrid>
      <w:tr w:rsidR="00D260AC" w:rsidRPr="00623A39" w14:paraId="66AC9694" w14:textId="77777777" w:rsidTr="00A94920">
        <w:trPr>
          <w:trHeight w:val="516"/>
          <w:tblHeader/>
        </w:trPr>
        <w:tc>
          <w:tcPr>
            <w:tcW w:w="420" w:type="dxa"/>
            <w:tcMar>
              <w:top w:w="0" w:type="dxa"/>
              <w:left w:w="100" w:type="dxa"/>
              <w:bottom w:w="0" w:type="dxa"/>
              <w:right w:w="100" w:type="dxa"/>
            </w:tcMar>
            <w:hideMark/>
          </w:tcPr>
          <w:p w14:paraId="12F4E4DE"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b/>
                <w:bCs/>
                <w:sz w:val="18"/>
                <w:szCs w:val="18"/>
              </w:rPr>
              <w:t>ID</w:t>
            </w:r>
          </w:p>
        </w:tc>
        <w:tc>
          <w:tcPr>
            <w:tcW w:w="930" w:type="dxa"/>
            <w:tcMar>
              <w:top w:w="0" w:type="dxa"/>
              <w:left w:w="100" w:type="dxa"/>
              <w:bottom w:w="0" w:type="dxa"/>
              <w:right w:w="100" w:type="dxa"/>
            </w:tcMar>
            <w:hideMark/>
          </w:tcPr>
          <w:p w14:paraId="57FCE44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Authors, Year</w:t>
            </w:r>
          </w:p>
        </w:tc>
        <w:tc>
          <w:tcPr>
            <w:tcW w:w="2100" w:type="dxa"/>
            <w:tcMar>
              <w:top w:w="0" w:type="dxa"/>
              <w:left w:w="100" w:type="dxa"/>
              <w:bottom w:w="0" w:type="dxa"/>
              <w:right w:w="100" w:type="dxa"/>
            </w:tcMar>
            <w:hideMark/>
          </w:tcPr>
          <w:p w14:paraId="1BCD4FA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Interventions</w:t>
            </w:r>
          </w:p>
        </w:tc>
        <w:tc>
          <w:tcPr>
            <w:tcW w:w="2700" w:type="dxa"/>
            <w:tcMar>
              <w:top w:w="0" w:type="dxa"/>
              <w:left w:w="100" w:type="dxa"/>
              <w:bottom w:w="0" w:type="dxa"/>
              <w:right w:w="100" w:type="dxa"/>
            </w:tcMar>
            <w:hideMark/>
          </w:tcPr>
          <w:p w14:paraId="2E75A2CB" w14:textId="77777777" w:rsidR="00D260AC" w:rsidRPr="00623A39" w:rsidRDefault="00D260AC" w:rsidP="00A94920">
            <w:pPr>
              <w:spacing w:after="0" w:line="240" w:lineRule="auto"/>
              <w:rPr>
                <w:rFonts w:ascii="Times New Roman" w:eastAsia="Calibri" w:hAnsi="Times New Roman" w:cs="Times New Roman"/>
                <w:sz w:val="18"/>
                <w:szCs w:val="18"/>
              </w:rPr>
            </w:pPr>
            <w:r>
              <w:rPr>
                <w:rFonts w:ascii="Times New Roman" w:eastAsia="Calibri" w:hAnsi="Times New Roman" w:cs="Times New Roman"/>
                <w:b/>
                <w:bCs/>
                <w:sz w:val="18"/>
                <w:szCs w:val="18"/>
              </w:rPr>
              <w:t>C</w:t>
            </w:r>
            <w:r w:rsidRPr="00623A39">
              <w:rPr>
                <w:rFonts w:ascii="Times New Roman" w:eastAsia="Calibri" w:hAnsi="Times New Roman" w:cs="Times New Roman"/>
                <w:b/>
                <w:bCs/>
                <w:sz w:val="18"/>
                <w:szCs w:val="18"/>
              </w:rPr>
              <w:t>hallenges</w:t>
            </w:r>
          </w:p>
        </w:tc>
        <w:tc>
          <w:tcPr>
            <w:tcW w:w="3345" w:type="dxa"/>
            <w:tcMar>
              <w:top w:w="0" w:type="dxa"/>
              <w:left w:w="100" w:type="dxa"/>
              <w:bottom w:w="0" w:type="dxa"/>
              <w:right w:w="100" w:type="dxa"/>
            </w:tcMar>
            <w:hideMark/>
          </w:tcPr>
          <w:p w14:paraId="71F31983" w14:textId="77777777" w:rsidR="00D260AC" w:rsidRPr="00623A39" w:rsidRDefault="00D260AC" w:rsidP="00A94920">
            <w:pPr>
              <w:spacing w:after="0" w:line="240" w:lineRule="auto"/>
              <w:rPr>
                <w:rFonts w:ascii="Times New Roman" w:eastAsia="Calibri" w:hAnsi="Times New Roman" w:cs="Times New Roman"/>
                <w:sz w:val="18"/>
                <w:szCs w:val="18"/>
              </w:rPr>
            </w:pPr>
            <w:r>
              <w:rPr>
                <w:rFonts w:ascii="Times New Roman" w:eastAsia="Calibri" w:hAnsi="Times New Roman" w:cs="Times New Roman"/>
                <w:b/>
                <w:bCs/>
                <w:sz w:val="18"/>
                <w:szCs w:val="18"/>
              </w:rPr>
              <w:t xml:space="preserve">Study </w:t>
            </w:r>
            <w:r w:rsidRPr="00623A39">
              <w:rPr>
                <w:rFonts w:ascii="Times New Roman" w:eastAsia="Calibri" w:hAnsi="Times New Roman" w:cs="Times New Roman"/>
                <w:b/>
                <w:bCs/>
                <w:sz w:val="18"/>
                <w:szCs w:val="18"/>
              </w:rPr>
              <w:t>Limitations</w:t>
            </w:r>
          </w:p>
        </w:tc>
        <w:tc>
          <w:tcPr>
            <w:tcW w:w="4140" w:type="dxa"/>
            <w:tcMar>
              <w:top w:w="0" w:type="dxa"/>
              <w:left w:w="100" w:type="dxa"/>
              <w:bottom w:w="0" w:type="dxa"/>
              <w:right w:w="100" w:type="dxa"/>
            </w:tcMar>
            <w:hideMark/>
          </w:tcPr>
          <w:p w14:paraId="1626B9A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Future Directions</w:t>
            </w:r>
          </w:p>
        </w:tc>
      </w:tr>
      <w:tr w:rsidR="00D260AC" w:rsidRPr="00623A39" w14:paraId="0C845DAA" w14:textId="77777777" w:rsidTr="00A94920">
        <w:trPr>
          <w:trHeight w:val="255"/>
        </w:trPr>
        <w:tc>
          <w:tcPr>
            <w:tcW w:w="420" w:type="dxa"/>
            <w:tcMar>
              <w:top w:w="0" w:type="dxa"/>
              <w:left w:w="100" w:type="dxa"/>
              <w:bottom w:w="0" w:type="dxa"/>
              <w:right w:w="100" w:type="dxa"/>
            </w:tcMar>
            <w:hideMark/>
          </w:tcPr>
          <w:p w14:paraId="061988F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1</w:t>
            </w:r>
          </w:p>
        </w:tc>
        <w:tc>
          <w:tcPr>
            <w:tcW w:w="930" w:type="dxa"/>
            <w:tcMar>
              <w:top w:w="0" w:type="dxa"/>
              <w:left w:w="100" w:type="dxa"/>
              <w:bottom w:w="0" w:type="dxa"/>
              <w:right w:w="100" w:type="dxa"/>
            </w:tcMar>
            <w:hideMark/>
          </w:tcPr>
          <w:p w14:paraId="1CA8B72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Zheng et al., 2023</w:t>
            </w:r>
          </w:p>
        </w:tc>
        <w:tc>
          <w:tcPr>
            <w:tcW w:w="2100" w:type="dxa"/>
            <w:tcMar>
              <w:top w:w="0" w:type="dxa"/>
              <w:left w:w="100" w:type="dxa"/>
              <w:bottom w:w="0" w:type="dxa"/>
              <w:right w:w="100" w:type="dxa"/>
            </w:tcMar>
            <w:hideMark/>
          </w:tcPr>
          <w:p w14:paraId="0F877FA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 </w:t>
            </w:r>
          </w:p>
        </w:tc>
        <w:tc>
          <w:tcPr>
            <w:tcW w:w="2700" w:type="dxa"/>
            <w:tcMar>
              <w:top w:w="0" w:type="dxa"/>
              <w:left w:w="100" w:type="dxa"/>
              <w:bottom w:w="0" w:type="dxa"/>
              <w:right w:w="100" w:type="dxa"/>
            </w:tcMar>
            <w:hideMark/>
          </w:tcPr>
          <w:p w14:paraId="5C3908C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lack of trained mental health professionals available </w:t>
            </w:r>
            <w:bookmarkStart w:id="1" w:name="_Hlk181552604"/>
            <w:r w:rsidRPr="00623A39">
              <w:rPr>
                <w:rFonts w:ascii="Times New Roman" w:eastAsia="Calibri" w:hAnsi="Times New Roman" w:cs="Times New Roman"/>
                <w:sz w:val="18"/>
                <w:szCs w:val="18"/>
              </w:rPr>
              <w:t>to deliver interventions at scale, which limited consistent support access</w:t>
            </w:r>
            <w:bookmarkEnd w:id="1"/>
          </w:p>
        </w:tc>
        <w:tc>
          <w:tcPr>
            <w:tcW w:w="3345" w:type="dxa"/>
            <w:tcMar>
              <w:top w:w="0" w:type="dxa"/>
              <w:left w:w="100" w:type="dxa"/>
              <w:bottom w:w="0" w:type="dxa"/>
              <w:right w:w="100" w:type="dxa"/>
            </w:tcMar>
            <w:hideMark/>
          </w:tcPr>
          <w:p w14:paraId="13119AD9"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There were no corresponding diagnoses provided for the data collected. Age variable data was skewed and not uniformly distributed. The study had a limited number of infected persons and geographic areas involved in the epidemic.</w:t>
            </w:r>
          </w:p>
          <w:p w14:paraId="256E3C4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Cross-sectional design limits causal interpretations</w:t>
            </w:r>
          </w:p>
        </w:tc>
        <w:tc>
          <w:tcPr>
            <w:tcW w:w="4140" w:type="dxa"/>
            <w:tcMar>
              <w:top w:w="0" w:type="dxa"/>
              <w:left w:w="100" w:type="dxa"/>
              <w:bottom w:w="0" w:type="dxa"/>
              <w:right w:w="100" w:type="dxa"/>
            </w:tcMar>
            <w:hideMark/>
          </w:tcPr>
          <w:p w14:paraId="110BCB5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Targeted mental health interventions for vulnerable individuals during public health crises, focusing on those with low resilience, high worry, unemployment, isolation, or specific psychological traits to improve future responses. </w:t>
            </w:r>
          </w:p>
        </w:tc>
      </w:tr>
      <w:tr w:rsidR="00D260AC" w:rsidRPr="00623A39" w14:paraId="1FBC975A" w14:textId="77777777" w:rsidTr="00A94920">
        <w:trPr>
          <w:trHeight w:val="255"/>
        </w:trPr>
        <w:tc>
          <w:tcPr>
            <w:tcW w:w="420" w:type="dxa"/>
            <w:tcMar>
              <w:top w:w="0" w:type="dxa"/>
              <w:left w:w="100" w:type="dxa"/>
              <w:bottom w:w="0" w:type="dxa"/>
              <w:right w:w="100" w:type="dxa"/>
            </w:tcMar>
            <w:hideMark/>
          </w:tcPr>
          <w:p w14:paraId="4D09F7C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2</w:t>
            </w:r>
          </w:p>
        </w:tc>
        <w:tc>
          <w:tcPr>
            <w:tcW w:w="930" w:type="dxa"/>
            <w:tcMar>
              <w:top w:w="0" w:type="dxa"/>
              <w:left w:w="100" w:type="dxa"/>
              <w:bottom w:w="0" w:type="dxa"/>
              <w:right w:w="100" w:type="dxa"/>
            </w:tcMar>
            <w:hideMark/>
          </w:tcPr>
          <w:p w14:paraId="12748AC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Zheng et al., 2021</w:t>
            </w:r>
          </w:p>
        </w:tc>
        <w:tc>
          <w:tcPr>
            <w:tcW w:w="2100" w:type="dxa"/>
            <w:tcMar>
              <w:top w:w="0" w:type="dxa"/>
              <w:left w:w="100" w:type="dxa"/>
              <w:bottom w:w="0" w:type="dxa"/>
              <w:right w:w="100" w:type="dxa"/>
            </w:tcMar>
            <w:hideMark/>
          </w:tcPr>
          <w:p w14:paraId="1BFBDDB1"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8747F0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Travel fear, challenges in complying with protective behaviors, misinformation on social media about COVID, and economic impacts of COVID. </w:t>
            </w:r>
          </w:p>
        </w:tc>
        <w:tc>
          <w:tcPr>
            <w:tcW w:w="3345" w:type="dxa"/>
            <w:tcMar>
              <w:top w:w="0" w:type="dxa"/>
              <w:left w:w="100" w:type="dxa"/>
              <w:bottom w:w="0" w:type="dxa"/>
              <w:right w:w="100" w:type="dxa"/>
            </w:tcMar>
            <w:hideMark/>
          </w:tcPr>
          <w:p w14:paraId="183A246F"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use of an online survey may restrict the generalizability of the study's findings. Quantitative approach used; future studies could benefit from mixed-methods or qualitative insights."</w:t>
            </w:r>
          </w:p>
        </w:tc>
        <w:tc>
          <w:tcPr>
            <w:tcW w:w="4140" w:type="dxa"/>
            <w:tcMar>
              <w:top w:w="0" w:type="dxa"/>
              <w:left w:w="100" w:type="dxa"/>
              <w:bottom w:w="0" w:type="dxa"/>
              <w:right w:w="100" w:type="dxa"/>
            </w:tcMar>
            <w:hideMark/>
          </w:tcPr>
          <w:p w14:paraId="0994779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Focus on managing travel fear and boosting resilience among post-pandemic tourists by implementing visible safety protocols, promoting cautious behavior, and fostering confidence through consistent messaging and adaptable health standards</w:t>
            </w:r>
          </w:p>
        </w:tc>
      </w:tr>
      <w:tr w:rsidR="00D260AC" w:rsidRPr="00623A39" w14:paraId="4BB07126" w14:textId="77777777" w:rsidTr="00A94920">
        <w:trPr>
          <w:trHeight w:val="255"/>
        </w:trPr>
        <w:tc>
          <w:tcPr>
            <w:tcW w:w="420" w:type="dxa"/>
            <w:tcMar>
              <w:top w:w="0" w:type="dxa"/>
              <w:left w:w="100" w:type="dxa"/>
              <w:bottom w:w="0" w:type="dxa"/>
              <w:right w:w="100" w:type="dxa"/>
            </w:tcMar>
            <w:hideMark/>
          </w:tcPr>
          <w:p w14:paraId="210713B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3</w:t>
            </w:r>
          </w:p>
        </w:tc>
        <w:tc>
          <w:tcPr>
            <w:tcW w:w="930" w:type="dxa"/>
            <w:tcMar>
              <w:top w:w="0" w:type="dxa"/>
              <w:left w:w="100" w:type="dxa"/>
              <w:bottom w:w="0" w:type="dxa"/>
              <w:right w:w="100" w:type="dxa"/>
            </w:tcMar>
            <w:hideMark/>
          </w:tcPr>
          <w:p w14:paraId="278C19E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Zhang et al., 2021</w:t>
            </w:r>
          </w:p>
        </w:tc>
        <w:tc>
          <w:tcPr>
            <w:tcW w:w="2100" w:type="dxa"/>
            <w:tcMar>
              <w:top w:w="0" w:type="dxa"/>
              <w:left w:w="100" w:type="dxa"/>
              <w:bottom w:w="0" w:type="dxa"/>
              <w:right w:w="100" w:type="dxa"/>
            </w:tcMar>
            <w:hideMark/>
          </w:tcPr>
          <w:p w14:paraId="44CAF5F5"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394A8A9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Interpersonal strain, limited social support, and adaptation challenges due to restricted campus movement impacted students' resilience and well-being</w:t>
            </w:r>
          </w:p>
        </w:tc>
        <w:tc>
          <w:tcPr>
            <w:tcW w:w="3345" w:type="dxa"/>
            <w:tcMar>
              <w:top w:w="0" w:type="dxa"/>
              <w:left w:w="100" w:type="dxa"/>
              <w:bottom w:w="0" w:type="dxa"/>
              <w:right w:w="100" w:type="dxa"/>
            </w:tcMar>
            <w:hideMark/>
          </w:tcPr>
          <w:p w14:paraId="7BB309AF"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findings may not generalize to other student populations beyond college students' adaptation issues. The use of online self-assessments and non-random sampling could limit the representativeness and reliability of the study's results.</w:t>
            </w:r>
          </w:p>
        </w:tc>
        <w:tc>
          <w:tcPr>
            <w:tcW w:w="4140" w:type="dxa"/>
            <w:tcMar>
              <w:top w:w="0" w:type="dxa"/>
              <w:left w:w="100" w:type="dxa"/>
              <w:bottom w:w="0" w:type="dxa"/>
              <w:right w:w="100" w:type="dxa"/>
            </w:tcMar>
            <w:hideMark/>
          </w:tcPr>
          <w:p w14:paraId="1E87681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Recommends university programs to enhance students' interpersonal skills for social support and resilience, aiding adaptation and mental health during public health crises</w:t>
            </w:r>
          </w:p>
        </w:tc>
      </w:tr>
      <w:tr w:rsidR="00D260AC" w:rsidRPr="00623A39" w14:paraId="4A746AD6" w14:textId="77777777" w:rsidTr="00A94920">
        <w:trPr>
          <w:trHeight w:val="255"/>
        </w:trPr>
        <w:tc>
          <w:tcPr>
            <w:tcW w:w="420" w:type="dxa"/>
            <w:tcMar>
              <w:top w:w="0" w:type="dxa"/>
              <w:left w:w="100" w:type="dxa"/>
              <w:bottom w:w="0" w:type="dxa"/>
              <w:right w:w="100" w:type="dxa"/>
            </w:tcMar>
            <w:hideMark/>
          </w:tcPr>
          <w:p w14:paraId="4AF1AD4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4</w:t>
            </w:r>
          </w:p>
        </w:tc>
        <w:tc>
          <w:tcPr>
            <w:tcW w:w="930" w:type="dxa"/>
            <w:tcMar>
              <w:top w:w="0" w:type="dxa"/>
              <w:left w:w="100" w:type="dxa"/>
              <w:bottom w:w="0" w:type="dxa"/>
              <w:right w:w="100" w:type="dxa"/>
            </w:tcMar>
            <w:hideMark/>
          </w:tcPr>
          <w:p w14:paraId="3490400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Kocjan et al., 2021</w:t>
            </w:r>
          </w:p>
        </w:tc>
        <w:tc>
          <w:tcPr>
            <w:tcW w:w="2100" w:type="dxa"/>
            <w:tcMar>
              <w:top w:w="0" w:type="dxa"/>
              <w:left w:w="100" w:type="dxa"/>
              <w:bottom w:w="0" w:type="dxa"/>
              <w:right w:w="100" w:type="dxa"/>
            </w:tcMar>
            <w:hideMark/>
          </w:tcPr>
          <w:p w14:paraId="1CF5F75C"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31F469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Psychological unpreparedness, reduced social support, personality-influenced stress reactions, and cultural/resource constraints complicated adaptation during the pandemic</w:t>
            </w:r>
          </w:p>
        </w:tc>
        <w:tc>
          <w:tcPr>
            <w:tcW w:w="3345" w:type="dxa"/>
            <w:tcMar>
              <w:top w:w="0" w:type="dxa"/>
              <w:left w:w="100" w:type="dxa"/>
              <w:bottom w:w="0" w:type="dxa"/>
              <w:right w:w="100" w:type="dxa"/>
            </w:tcMar>
            <w:hideMark/>
          </w:tcPr>
          <w:p w14:paraId="01E3AAE2"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utilized an online survey platform, which limited participation among older individuals and females while controlling for sex differences. Study also utilized cross-sectional approach. There were no specific measures directly related to the COVID-19 epidemic. The lack of comparable data from before the outbreak restricts the ability to draw conclusions about the pandemic's impact on psychological functioning.</w:t>
            </w:r>
          </w:p>
        </w:tc>
        <w:tc>
          <w:tcPr>
            <w:tcW w:w="4140" w:type="dxa"/>
            <w:tcMar>
              <w:top w:w="0" w:type="dxa"/>
              <w:left w:w="100" w:type="dxa"/>
              <w:bottom w:w="0" w:type="dxa"/>
              <w:right w:w="100" w:type="dxa"/>
            </w:tcMar>
            <w:hideMark/>
          </w:tcPr>
          <w:p w14:paraId="161F510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Recommends resilience programs and community-based interventions, supported by policy, to help high-neuroticism individuals better cope with stress and improve mental health during crises</w:t>
            </w:r>
          </w:p>
        </w:tc>
      </w:tr>
      <w:tr w:rsidR="00D260AC" w:rsidRPr="00623A39" w14:paraId="58677E13" w14:textId="77777777" w:rsidTr="00A94920">
        <w:trPr>
          <w:trHeight w:val="255"/>
        </w:trPr>
        <w:tc>
          <w:tcPr>
            <w:tcW w:w="420" w:type="dxa"/>
            <w:tcMar>
              <w:top w:w="0" w:type="dxa"/>
              <w:left w:w="100" w:type="dxa"/>
              <w:bottom w:w="0" w:type="dxa"/>
              <w:right w:w="100" w:type="dxa"/>
            </w:tcMar>
            <w:hideMark/>
          </w:tcPr>
          <w:p w14:paraId="6F3376C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5</w:t>
            </w:r>
          </w:p>
        </w:tc>
        <w:tc>
          <w:tcPr>
            <w:tcW w:w="930" w:type="dxa"/>
            <w:tcMar>
              <w:top w:w="0" w:type="dxa"/>
              <w:left w:w="100" w:type="dxa"/>
              <w:bottom w:w="0" w:type="dxa"/>
              <w:right w:w="100" w:type="dxa"/>
            </w:tcMar>
            <w:hideMark/>
          </w:tcPr>
          <w:p w14:paraId="24614EE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Yuan, 202</w:t>
            </w:r>
            <w:r>
              <w:rPr>
                <w:rFonts w:ascii="Times New Roman" w:eastAsia="Calibri" w:hAnsi="Times New Roman" w:cs="Times New Roman"/>
                <w:sz w:val="18"/>
                <w:szCs w:val="18"/>
              </w:rPr>
              <w:t>1</w:t>
            </w:r>
          </w:p>
        </w:tc>
        <w:tc>
          <w:tcPr>
            <w:tcW w:w="2100" w:type="dxa"/>
            <w:tcMar>
              <w:top w:w="0" w:type="dxa"/>
              <w:left w:w="100" w:type="dxa"/>
              <w:bottom w:w="0" w:type="dxa"/>
              <w:right w:w="100" w:type="dxa"/>
            </w:tcMar>
            <w:hideMark/>
          </w:tcPr>
          <w:p w14:paraId="441C787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Mindfulness training program</w:t>
            </w:r>
          </w:p>
          <w:p w14:paraId="13473053"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D159C9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Extended isolation, heightened anxiety, and disrupted routines affected adolescents' mental well-being and resilience during the pandemic</w:t>
            </w:r>
          </w:p>
        </w:tc>
        <w:tc>
          <w:tcPr>
            <w:tcW w:w="3345" w:type="dxa"/>
            <w:tcMar>
              <w:top w:w="0" w:type="dxa"/>
              <w:left w:w="100" w:type="dxa"/>
              <w:bottom w:w="0" w:type="dxa"/>
              <w:right w:w="100" w:type="dxa"/>
            </w:tcMar>
            <w:hideMark/>
          </w:tcPr>
          <w:p w14:paraId="312649A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Events like transition from quarantine to freedom were not evaluated, which prevented considering their role in resilience changes.</w:t>
            </w:r>
          </w:p>
        </w:tc>
        <w:tc>
          <w:tcPr>
            <w:tcW w:w="4140" w:type="dxa"/>
            <w:tcMar>
              <w:top w:w="0" w:type="dxa"/>
              <w:left w:w="100" w:type="dxa"/>
              <w:bottom w:w="0" w:type="dxa"/>
              <w:right w:w="100" w:type="dxa"/>
            </w:tcMar>
            <w:hideMark/>
          </w:tcPr>
          <w:p w14:paraId="24E3F62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Recommends school-based mindfulness training to build resilience and emotional intelligence in adolescents, aiding stress management and adaptation to challenges.</w:t>
            </w:r>
          </w:p>
        </w:tc>
      </w:tr>
      <w:tr w:rsidR="00D260AC" w:rsidRPr="00623A39" w14:paraId="7518FC4E" w14:textId="77777777" w:rsidTr="00A94920">
        <w:trPr>
          <w:trHeight w:val="255"/>
        </w:trPr>
        <w:tc>
          <w:tcPr>
            <w:tcW w:w="420" w:type="dxa"/>
            <w:tcMar>
              <w:top w:w="0" w:type="dxa"/>
              <w:left w:w="100" w:type="dxa"/>
              <w:bottom w:w="0" w:type="dxa"/>
              <w:right w:w="100" w:type="dxa"/>
            </w:tcMar>
            <w:hideMark/>
          </w:tcPr>
          <w:p w14:paraId="155C906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6</w:t>
            </w:r>
          </w:p>
        </w:tc>
        <w:tc>
          <w:tcPr>
            <w:tcW w:w="930" w:type="dxa"/>
            <w:tcMar>
              <w:top w:w="0" w:type="dxa"/>
              <w:left w:w="100" w:type="dxa"/>
              <w:bottom w:w="0" w:type="dxa"/>
              <w:right w:w="100" w:type="dxa"/>
            </w:tcMar>
            <w:hideMark/>
          </w:tcPr>
          <w:p w14:paraId="1B1D39D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Wu et al., 2023</w:t>
            </w:r>
          </w:p>
        </w:tc>
        <w:tc>
          <w:tcPr>
            <w:tcW w:w="2100" w:type="dxa"/>
            <w:tcMar>
              <w:top w:w="0" w:type="dxa"/>
              <w:left w:w="100" w:type="dxa"/>
              <w:bottom w:w="0" w:type="dxa"/>
              <w:right w:w="100" w:type="dxa"/>
            </w:tcMar>
            <w:hideMark/>
          </w:tcPr>
          <w:p w14:paraId="4B40558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The PILOT program provided training through life-skills education, focusing on self-esteem, </w:t>
            </w:r>
            <w:r w:rsidRPr="00623A39">
              <w:rPr>
                <w:rFonts w:ascii="Times New Roman" w:eastAsia="Calibri" w:hAnsi="Times New Roman" w:cs="Times New Roman"/>
                <w:sz w:val="18"/>
                <w:szCs w:val="18"/>
              </w:rPr>
              <w:lastRenderedPageBreak/>
              <w:t xml:space="preserve">stress management, and decision-making </w:t>
            </w:r>
          </w:p>
        </w:tc>
        <w:tc>
          <w:tcPr>
            <w:tcW w:w="2700" w:type="dxa"/>
            <w:tcMar>
              <w:top w:w="0" w:type="dxa"/>
              <w:left w:w="100" w:type="dxa"/>
              <w:bottom w:w="0" w:type="dxa"/>
              <w:right w:w="100" w:type="dxa"/>
            </w:tcMar>
            <w:hideMark/>
          </w:tcPr>
          <w:p w14:paraId="7E1D076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lastRenderedPageBreak/>
              <w:t>Failure to comply to training programs during school closures and distance learning</w:t>
            </w:r>
          </w:p>
          <w:p w14:paraId="3AB12C6B"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3345" w:type="dxa"/>
            <w:tcMar>
              <w:top w:w="0" w:type="dxa"/>
              <w:left w:w="100" w:type="dxa"/>
              <w:bottom w:w="0" w:type="dxa"/>
              <w:right w:w="100" w:type="dxa"/>
            </w:tcMar>
            <w:hideMark/>
          </w:tcPr>
          <w:p w14:paraId="3A01DB6A"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study’s quasi-experimental design and lack of random assignment may affect the generalizability. Variation in intervention fidelity also presents a limitation</w:t>
            </w:r>
          </w:p>
        </w:tc>
        <w:tc>
          <w:tcPr>
            <w:tcW w:w="4140" w:type="dxa"/>
            <w:tcMar>
              <w:top w:w="0" w:type="dxa"/>
              <w:left w:w="100" w:type="dxa"/>
              <w:bottom w:w="0" w:type="dxa"/>
              <w:right w:w="100" w:type="dxa"/>
            </w:tcMar>
            <w:hideMark/>
          </w:tcPr>
          <w:p w14:paraId="744B437A" w14:textId="77777777" w:rsidR="00D260AC" w:rsidRPr="00623A39" w:rsidRDefault="00D260AC" w:rsidP="00A94920">
            <w:pPr>
              <w:spacing w:after="0" w:line="240" w:lineRule="auto"/>
              <w:rPr>
                <w:rFonts w:ascii="Times New Roman" w:eastAsia="Calibri" w:hAnsi="Times New Roman" w:cs="Times New Roman"/>
                <w:sz w:val="18"/>
                <w:szCs w:val="18"/>
              </w:rPr>
            </w:pPr>
            <w:bookmarkStart w:id="2" w:name="_Hlk181635986"/>
            <w:r w:rsidRPr="00623A39">
              <w:rPr>
                <w:rFonts w:ascii="Times New Roman" w:eastAsia="Calibri" w:hAnsi="Times New Roman" w:cs="Times New Roman"/>
                <w:sz w:val="18"/>
                <w:szCs w:val="18"/>
              </w:rPr>
              <w:t xml:space="preserve">Recommend high-fidelity implementation of resilience programs, life-skills education, and stress management training in schools to build psychological </w:t>
            </w:r>
            <w:r w:rsidRPr="00623A39">
              <w:rPr>
                <w:rFonts w:ascii="Times New Roman" w:eastAsia="Calibri" w:hAnsi="Times New Roman" w:cs="Times New Roman"/>
                <w:sz w:val="18"/>
                <w:szCs w:val="18"/>
              </w:rPr>
              <w:lastRenderedPageBreak/>
              <w:t xml:space="preserve">resilience and coping strategies in students during crises. </w:t>
            </w:r>
          </w:p>
          <w:bookmarkEnd w:id="2"/>
          <w:p w14:paraId="06689496"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5CB43FBE" w14:textId="77777777" w:rsidTr="00A94920">
        <w:trPr>
          <w:trHeight w:val="255"/>
        </w:trPr>
        <w:tc>
          <w:tcPr>
            <w:tcW w:w="420" w:type="dxa"/>
            <w:tcMar>
              <w:top w:w="0" w:type="dxa"/>
              <w:left w:w="100" w:type="dxa"/>
              <w:bottom w:w="0" w:type="dxa"/>
              <w:right w:w="100" w:type="dxa"/>
            </w:tcMar>
            <w:hideMark/>
          </w:tcPr>
          <w:p w14:paraId="5A9436E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lastRenderedPageBreak/>
              <w:t>7</w:t>
            </w:r>
          </w:p>
        </w:tc>
        <w:tc>
          <w:tcPr>
            <w:tcW w:w="930" w:type="dxa"/>
            <w:tcMar>
              <w:top w:w="0" w:type="dxa"/>
              <w:left w:w="100" w:type="dxa"/>
              <w:bottom w:w="0" w:type="dxa"/>
              <w:right w:w="100" w:type="dxa"/>
            </w:tcMar>
            <w:hideMark/>
          </w:tcPr>
          <w:p w14:paraId="030BB58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Wang et al., 2023</w:t>
            </w:r>
          </w:p>
        </w:tc>
        <w:tc>
          <w:tcPr>
            <w:tcW w:w="2100" w:type="dxa"/>
            <w:tcMar>
              <w:top w:w="0" w:type="dxa"/>
              <w:left w:w="100" w:type="dxa"/>
              <w:bottom w:w="0" w:type="dxa"/>
              <w:right w:w="100" w:type="dxa"/>
            </w:tcMar>
            <w:hideMark/>
          </w:tcPr>
          <w:p w14:paraId="733EF16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w:t>
            </w:r>
          </w:p>
          <w:p w14:paraId="50C0BB17"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0CD63FB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Increased psychotic-like experiences, media-driven anxiety, social isolation, and heightened emotional distress hindered adolescents' resilience during the pandemic</w:t>
            </w:r>
          </w:p>
        </w:tc>
        <w:tc>
          <w:tcPr>
            <w:tcW w:w="3345" w:type="dxa"/>
            <w:tcMar>
              <w:top w:w="0" w:type="dxa"/>
              <w:left w:w="100" w:type="dxa"/>
              <w:bottom w:w="0" w:type="dxa"/>
              <w:right w:w="100" w:type="dxa"/>
            </w:tcMar>
            <w:hideMark/>
          </w:tcPr>
          <w:p w14:paraId="12563714"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use of self-reported measures may introduce response biases. The cross-sectional design limits the ability to infer causality between resilience, social support, and PLEs.</w:t>
            </w:r>
          </w:p>
        </w:tc>
        <w:tc>
          <w:tcPr>
            <w:tcW w:w="4140" w:type="dxa"/>
            <w:tcMar>
              <w:top w:w="0" w:type="dxa"/>
              <w:left w:w="100" w:type="dxa"/>
              <w:bottom w:w="0" w:type="dxa"/>
              <w:right w:w="100" w:type="dxa"/>
            </w:tcMar>
            <w:hideMark/>
          </w:tcPr>
          <w:p w14:paraId="108BC29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Recommend community-based mental health interventions to build resilience and social support for adolescents, prioritizing high-risk individuals in schools and communities for future crisis preparedness.</w:t>
            </w:r>
          </w:p>
        </w:tc>
      </w:tr>
      <w:tr w:rsidR="00D260AC" w:rsidRPr="00623A39" w14:paraId="7FFD9ECD" w14:textId="77777777" w:rsidTr="00A94920">
        <w:trPr>
          <w:trHeight w:val="1207"/>
        </w:trPr>
        <w:tc>
          <w:tcPr>
            <w:tcW w:w="420" w:type="dxa"/>
            <w:tcMar>
              <w:top w:w="0" w:type="dxa"/>
              <w:left w:w="100" w:type="dxa"/>
              <w:bottom w:w="0" w:type="dxa"/>
              <w:right w:w="100" w:type="dxa"/>
            </w:tcMar>
            <w:hideMark/>
          </w:tcPr>
          <w:p w14:paraId="09FE3AA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8</w:t>
            </w:r>
          </w:p>
        </w:tc>
        <w:tc>
          <w:tcPr>
            <w:tcW w:w="930" w:type="dxa"/>
            <w:tcMar>
              <w:top w:w="0" w:type="dxa"/>
              <w:left w:w="100" w:type="dxa"/>
              <w:bottom w:w="0" w:type="dxa"/>
              <w:right w:w="100" w:type="dxa"/>
            </w:tcMar>
            <w:hideMark/>
          </w:tcPr>
          <w:p w14:paraId="791D28A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Vijayalakshmi et al., 2023</w:t>
            </w:r>
          </w:p>
        </w:tc>
        <w:tc>
          <w:tcPr>
            <w:tcW w:w="2100" w:type="dxa"/>
            <w:tcMar>
              <w:top w:w="0" w:type="dxa"/>
              <w:left w:w="100" w:type="dxa"/>
              <w:bottom w:w="0" w:type="dxa"/>
              <w:right w:w="100" w:type="dxa"/>
            </w:tcMar>
            <w:hideMark/>
          </w:tcPr>
          <w:p w14:paraId="6EAE7965"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3673FDF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Reduced quality of life, emotional strain, and limited resilience-building opportunities affected nursing students' well-being and adaptation during the pandemic</w:t>
            </w:r>
          </w:p>
        </w:tc>
        <w:tc>
          <w:tcPr>
            <w:tcW w:w="3345" w:type="dxa"/>
            <w:tcMar>
              <w:top w:w="0" w:type="dxa"/>
              <w:left w:w="100" w:type="dxa"/>
              <w:bottom w:w="0" w:type="dxa"/>
              <w:right w:w="100" w:type="dxa"/>
            </w:tcMar>
            <w:hideMark/>
          </w:tcPr>
          <w:p w14:paraId="1AE2EAB0"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utilized a cross-sectional survey design with online self-reported data introduce bias, and generalizability is constrained to the surveyed universities. It focused on correlation rather than establishing causal relationships between resilience and COVID-19's impact.</w:t>
            </w:r>
          </w:p>
        </w:tc>
        <w:tc>
          <w:tcPr>
            <w:tcW w:w="4140" w:type="dxa"/>
            <w:tcMar>
              <w:top w:w="0" w:type="dxa"/>
              <w:left w:w="100" w:type="dxa"/>
              <w:bottom w:w="0" w:type="dxa"/>
              <w:right w:w="100" w:type="dxa"/>
            </w:tcMar>
            <w:hideMark/>
          </w:tcPr>
          <w:p w14:paraId="0E52226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Recommend resilience programs for nursing students to build coping skills and mental strength, fostering a supportive educational environment for future crisis preparedness.</w:t>
            </w:r>
          </w:p>
        </w:tc>
      </w:tr>
      <w:tr w:rsidR="00D260AC" w:rsidRPr="00623A39" w14:paraId="01297CEE" w14:textId="77777777" w:rsidTr="00A94920">
        <w:trPr>
          <w:trHeight w:val="255"/>
        </w:trPr>
        <w:tc>
          <w:tcPr>
            <w:tcW w:w="420" w:type="dxa"/>
            <w:tcMar>
              <w:top w:w="0" w:type="dxa"/>
              <w:left w:w="100" w:type="dxa"/>
              <w:bottom w:w="0" w:type="dxa"/>
              <w:right w:w="100" w:type="dxa"/>
            </w:tcMar>
            <w:hideMark/>
          </w:tcPr>
          <w:p w14:paraId="3FC22E2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9</w:t>
            </w:r>
          </w:p>
        </w:tc>
        <w:tc>
          <w:tcPr>
            <w:tcW w:w="930" w:type="dxa"/>
            <w:tcMar>
              <w:top w:w="0" w:type="dxa"/>
              <w:left w:w="100" w:type="dxa"/>
              <w:bottom w:w="0" w:type="dxa"/>
              <w:right w:w="100" w:type="dxa"/>
            </w:tcMar>
            <w:hideMark/>
          </w:tcPr>
          <w:p w14:paraId="1772A9E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Varma et al., 2021</w:t>
            </w:r>
          </w:p>
        </w:tc>
        <w:tc>
          <w:tcPr>
            <w:tcW w:w="2100" w:type="dxa"/>
            <w:tcMar>
              <w:top w:w="0" w:type="dxa"/>
              <w:left w:w="100" w:type="dxa"/>
              <w:bottom w:w="0" w:type="dxa"/>
              <w:right w:w="100" w:type="dxa"/>
            </w:tcMar>
            <w:hideMark/>
          </w:tcPr>
          <w:p w14:paraId="24ECBAD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 </w:t>
            </w:r>
          </w:p>
        </w:tc>
        <w:tc>
          <w:tcPr>
            <w:tcW w:w="2700" w:type="dxa"/>
            <w:tcMar>
              <w:top w:w="0" w:type="dxa"/>
              <w:left w:w="100" w:type="dxa"/>
              <w:bottom w:w="0" w:type="dxa"/>
              <w:right w:w="100" w:type="dxa"/>
            </w:tcMar>
            <w:hideMark/>
          </w:tcPr>
          <w:p w14:paraId="28C7AAB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Non-use of social media by some sections of the population, limiting the reach of online resilient programs.  </w:t>
            </w:r>
          </w:p>
        </w:tc>
        <w:tc>
          <w:tcPr>
            <w:tcW w:w="3345" w:type="dxa"/>
            <w:tcMar>
              <w:top w:w="0" w:type="dxa"/>
              <w:left w:w="100" w:type="dxa"/>
              <w:bottom w:w="0" w:type="dxa"/>
              <w:right w:w="100" w:type="dxa"/>
            </w:tcMar>
            <w:hideMark/>
          </w:tcPr>
          <w:p w14:paraId="0EEDBAB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The cross-sectional design limits causal conclusions, and high levels of self-selection could mean results aren’t fully generalizable to broader populations</w:t>
            </w:r>
            <w:r w:rsidRPr="00623A39" w:rsidDel="00815D6D">
              <w:rPr>
                <w:rFonts w:ascii="Times New Roman" w:eastAsia="Calibri" w:hAnsi="Times New Roman" w:cs="Times New Roman"/>
                <w:sz w:val="18"/>
                <w:szCs w:val="18"/>
              </w:rPr>
              <w:t xml:space="preserve"> </w:t>
            </w:r>
          </w:p>
        </w:tc>
        <w:tc>
          <w:tcPr>
            <w:tcW w:w="4140" w:type="dxa"/>
            <w:tcMar>
              <w:top w:w="0" w:type="dxa"/>
              <w:left w:w="100" w:type="dxa"/>
              <w:bottom w:w="0" w:type="dxa"/>
              <w:right w:w="100" w:type="dxa"/>
            </w:tcMar>
            <w:hideMark/>
          </w:tcPr>
          <w:p w14:paraId="51212F8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Expand telehealth and digital therapeutics, along with public health interventions targeting mediating factors like sleep and social connectedness</w:t>
            </w:r>
          </w:p>
        </w:tc>
      </w:tr>
      <w:tr w:rsidR="00D260AC" w:rsidRPr="00623A39" w14:paraId="4E3627E9" w14:textId="77777777" w:rsidTr="00A94920">
        <w:trPr>
          <w:trHeight w:val="1587"/>
        </w:trPr>
        <w:tc>
          <w:tcPr>
            <w:tcW w:w="420" w:type="dxa"/>
            <w:tcMar>
              <w:top w:w="0" w:type="dxa"/>
              <w:left w:w="100" w:type="dxa"/>
              <w:bottom w:w="0" w:type="dxa"/>
              <w:right w:w="100" w:type="dxa"/>
            </w:tcMar>
            <w:hideMark/>
          </w:tcPr>
          <w:p w14:paraId="2FAA67F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10</w:t>
            </w:r>
          </w:p>
        </w:tc>
        <w:tc>
          <w:tcPr>
            <w:tcW w:w="930" w:type="dxa"/>
            <w:tcMar>
              <w:top w:w="0" w:type="dxa"/>
              <w:left w:w="100" w:type="dxa"/>
              <w:bottom w:w="0" w:type="dxa"/>
              <w:right w:w="100" w:type="dxa"/>
            </w:tcMar>
            <w:hideMark/>
          </w:tcPr>
          <w:p w14:paraId="3764313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Vannini et al., 2021</w:t>
            </w:r>
          </w:p>
        </w:tc>
        <w:tc>
          <w:tcPr>
            <w:tcW w:w="2100" w:type="dxa"/>
            <w:tcMar>
              <w:top w:w="0" w:type="dxa"/>
              <w:left w:w="100" w:type="dxa"/>
              <w:bottom w:w="0" w:type="dxa"/>
              <w:right w:w="100" w:type="dxa"/>
            </w:tcMar>
            <w:hideMark/>
          </w:tcPr>
          <w:p w14:paraId="19C134A9"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40DE43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limited digital literacy</w:t>
            </w:r>
            <w:r w:rsidRPr="00623A39" w:rsidDel="00815D6D">
              <w:rPr>
                <w:rFonts w:ascii="Times New Roman" w:eastAsia="Calibri" w:hAnsi="Times New Roman" w:cs="Times New Roman"/>
                <w:sz w:val="18"/>
                <w:szCs w:val="18"/>
              </w:rPr>
              <w:t xml:space="preserve"> </w:t>
            </w:r>
            <w:r w:rsidRPr="00623A39">
              <w:rPr>
                <w:rFonts w:ascii="Times New Roman" w:eastAsia="Calibri" w:hAnsi="Times New Roman" w:cs="Times New Roman"/>
                <w:sz w:val="18"/>
                <w:szCs w:val="18"/>
              </w:rPr>
              <w:t xml:space="preserve">in older adults’ hinder access to online mental health </w:t>
            </w:r>
          </w:p>
        </w:tc>
        <w:tc>
          <w:tcPr>
            <w:tcW w:w="3345" w:type="dxa"/>
            <w:tcMar>
              <w:top w:w="0" w:type="dxa"/>
              <w:left w:w="100" w:type="dxa"/>
              <w:bottom w:w="0" w:type="dxa"/>
              <w:right w:w="100" w:type="dxa"/>
            </w:tcMar>
            <w:hideMark/>
          </w:tcPr>
          <w:p w14:paraId="43F86A3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 Cross-sectional design limits causal interpretation, and the self-selection bias of participants with internet access may impact generalizability</w:t>
            </w:r>
            <w:r w:rsidRPr="00623A39" w:rsidDel="00815D6D">
              <w:rPr>
                <w:rFonts w:ascii="Times New Roman" w:eastAsia="Calibri" w:hAnsi="Times New Roman" w:cs="Times New Roman"/>
                <w:sz w:val="18"/>
                <w:szCs w:val="18"/>
              </w:rPr>
              <w:t xml:space="preserve"> </w:t>
            </w:r>
          </w:p>
        </w:tc>
        <w:tc>
          <w:tcPr>
            <w:tcW w:w="4140" w:type="dxa"/>
            <w:tcMar>
              <w:top w:w="0" w:type="dxa"/>
              <w:left w:w="100" w:type="dxa"/>
              <w:bottom w:w="0" w:type="dxa"/>
              <w:right w:w="100" w:type="dxa"/>
            </w:tcMar>
            <w:hideMark/>
          </w:tcPr>
          <w:p w14:paraId="2C0EC8B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Promote interventions that enhance adaptive coping behaviors, such as acceptance and humor, along with positive coping strategies like physical activity, social engagement, and mental health support.</w:t>
            </w:r>
          </w:p>
        </w:tc>
      </w:tr>
      <w:tr w:rsidR="00D260AC" w:rsidRPr="00623A39" w14:paraId="56900F11" w14:textId="77777777" w:rsidTr="00A94920">
        <w:trPr>
          <w:trHeight w:val="255"/>
        </w:trPr>
        <w:tc>
          <w:tcPr>
            <w:tcW w:w="420" w:type="dxa"/>
            <w:tcMar>
              <w:top w:w="0" w:type="dxa"/>
              <w:left w:w="100" w:type="dxa"/>
              <w:bottom w:w="0" w:type="dxa"/>
              <w:right w:w="100" w:type="dxa"/>
            </w:tcMar>
            <w:hideMark/>
          </w:tcPr>
          <w:p w14:paraId="0EA5E7E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11</w:t>
            </w:r>
          </w:p>
        </w:tc>
        <w:tc>
          <w:tcPr>
            <w:tcW w:w="930" w:type="dxa"/>
            <w:tcMar>
              <w:top w:w="0" w:type="dxa"/>
              <w:left w:w="100" w:type="dxa"/>
              <w:bottom w:w="0" w:type="dxa"/>
              <w:right w:w="100" w:type="dxa"/>
            </w:tcMar>
            <w:hideMark/>
          </w:tcPr>
          <w:p w14:paraId="0DBEE6C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Urmanche et al., 2023</w:t>
            </w:r>
          </w:p>
        </w:tc>
        <w:tc>
          <w:tcPr>
            <w:tcW w:w="2100" w:type="dxa"/>
            <w:tcMar>
              <w:top w:w="0" w:type="dxa"/>
              <w:left w:w="100" w:type="dxa"/>
              <w:bottom w:w="0" w:type="dxa"/>
              <w:right w:w="100" w:type="dxa"/>
            </w:tcMar>
            <w:hideMark/>
          </w:tcPr>
          <w:p w14:paraId="6FA85A46"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89C248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Implementing mental health screening faced challenges such as higher attrition rates, stigma, and low levels of cognitive proficiency.</w:t>
            </w:r>
          </w:p>
        </w:tc>
        <w:tc>
          <w:tcPr>
            <w:tcW w:w="3345" w:type="dxa"/>
            <w:tcMar>
              <w:top w:w="0" w:type="dxa"/>
              <w:left w:w="100" w:type="dxa"/>
              <w:bottom w:w="0" w:type="dxa"/>
              <w:right w:w="100" w:type="dxa"/>
            </w:tcMar>
            <w:hideMark/>
          </w:tcPr>
          <w:p w14:paraId="0932BEB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The study was limited by a single-agency scope and did not include client feedback on the tool's usability, which may have affected its generalizability and comprehensive assessment​</w:t>
            </w:r>
            <w:r w:rsidRPr="00623A39" w:rsidDel="00DB54D5">
              <w:rPr>
                <w:rFonts w:ascii="Times New Roman" w:eastAsia="Calibri" w:hAnsi="Times New Roman" w:cs="Times New Roman"/>
                <w:sz w:val="18"/>
                <w:szCs w:val="18"/>
              </w:rPr>
              <w:t xml:space="preserve"> </w:t>
            </w:r>
          </w:p>
        </w:tc>
        <w:tc>
          <w:tcPr>
            <w:tcW w:w="4140" w:type="dxa"/>
            <w:tcMar>
              <w:top w:w="0" w:type="dxa"/>
              <w:left w:w="100" w:type="dxa"/>
              <w:bottom w:w="0" w:type="dxa"/>
              <w:right w:w="100" w:type="dxa"/>
            </w:tcMar>
            <w:hideMark/>
          </w:tcPr>
          <w:p w14:paraId="7ACC351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Establish routine mental health assessments, timely identification of mental health needs through screenings, and provide timely referrals.</w:t>
            </w:r>
          </w:p>
          <w:p w14:paraId="071EC5A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Future work suggested expanding the tool to more agencies and gathering qualitative feedback from older adults to better address mental health needs in community settings</w:t>
            </w:r>
          </w:p>
          <w:p w14:paraId="42912D9F"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7933D18A" w14:textId="77777777" w:rsidTr="00A94920">
        <w:trPr>
          <w:trHeight w:val="255"/>
        </w:trPr>
        <w:tc>
          <w:tcPr>
            <w:tcW w:w="420" w:type="dxa"/>
            <w:tcMar>
              <w:top w:w="0" w:type="dxa"/>
              <w:left w:w="100" w:type="dxa"/>
              <w:bottom w:w="0" w:type="dxa"/>
              <w:right w:w="100" w:type="dxa"/>
            </w:tcMar>
            <w:hideMark/>
          </w:tcPr>
          <w:p w14:paraId="6F9EE50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12</w:t>
            </w:r>
          </w:p>
        </w:tc>
        <w:tc>
          <w:tcPr>
            <w:tcW w:w="930" w:type="dxa"/>
            <w:tcMar>
              <w:top w:w="0" w:type="dxa"/>
              <w:left w:w="100" w:type="dxa"/>
              <w:bottom w:w="0" w:type="dxa"/>
              <w:right w:w="100" w:type="dxa"/>
            </w:tcMar>
            <w:hideMark/>
          </w:tcPr>
          <w:p w14:paraId="3DC42B6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Üngüren &amp; Kaçmaz, 2022</w:t>
            </w:r>
          </w:p>
        </w:tc>
        <w:tc>
          <w:tcPr>
            <w:tcW w:w="2100" w:type="dxa"/>
            <w:tcMar>
              <w:top w:w="0" w:type="dxa"/>
              <w:left w:w="100" w:type="dxa"/>
              <w:bottom w:w="0" w:type="dxa"/>
              <w:right w:w="100" w:type="dxa"/>
            </w:tcMar>
            <w:hideMark/>
          </w:tcPr>
          <w:p w14:paraId="29C313AC" w14:textId="77777777" w:rsidR="00D260AC" w:rsidRPr="00623A39" w:rsidRDefault="00D260AC" w:rsidP="00A94920">
            <w:pPr>
              <w:spacing w:after="0" w:line="240" w:lineRule="auto"/>
              <w:rPr>
                <w:rFonts w:ascii="Times New Roman" w:eastAsia="Calibri" w:hAnsi="Times New Roman" w:cs="Times New Roman"/>
                <w:sz w:val="18"/>
                <w:szCs w:val="18"/>
              </w:rPr>
            </w:pPr>
          </w:p>
          <w:p w14:paraId="3BD678DD"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DE785C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Career anxiety, fear of infection, media-driven stress, and uncertainty impacted tourism students' resilience and career confidence during the pandemic</w:t>
            </w:r>
          </w:p>
        </w:tc>
        <w:tc>
          <w:tcPr>
            <w:tcW w:w="3345" w:type="dxa"/>
            <w:tcMar>
              <w:top w:w="0" w:type="dxa"/>
              <w:left w:w="100" w:type="dxa"/>
              <w:bottom w:w="0" w:type="dxa"/>
              <w:right w:w="100" w:type="dxa"/>
            </w:tcMar>
            <w:hideMark/>
          </w:tcPr>
          <w:p w14:paraId="26043F2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The cross-sectional nature limits causal inferences, and results may not generalize beyond the surveyed population due to self-selection biases and the focus on tourism students in Turkey​</w:t>
            </w:r>
          </w:p>
          <w:p w14:paraId="0BF74117"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4140" w:type="dxa"/>
            <w:tcMar>
              <w:top w:w="0" w:type="dxa"/>
              <w:left w:w="100" w:type="dxa"/>
              <w:bottom w:w="0" w:type="dxa"/>
              <w:right w:w="100" w:type="dxa"/>
            </w:tcMar>
            <w:hideMark/>
          </w:tcPr>
          <w:p w14:paraId="2788D03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Educational institutions </w:t>
            </w:r>
            <w:bookmarkStart w:id="3" w:name="_Hlk181636594"/>
            <w:r w:rsidRPr="00623A39">
              <w:rPr>
                <w:rFonts w:ascii="Times New Roman" w:eastAsia="Calibri" w:hAnsi="Times New Roman" w:cs="Times New Roman"/>
                <w:sz w:val="18"/>
                <w:szCs w:val="18"/>
              </w:rPr>
              <w:t xml:space="preserve">enhance resilience through curriculum improvements that include stress management, career planning, and resilience training </w:t>
            </w:r>
            <w:bookmarkEnd w:id="3"/>
            <w:r w:rsidRPr="00623A39">
              <w:rPr>
                <w:rFonts w:ascii="Times New Roman" w:eastAsia="Calibri" w:hAnsi="Times New Roman" w:cs="Times New Roman"/>
                <w:sz w:val="18"/>
                <w:szCs w:val="18"/>
              </w:rPr>
              <w:t>to prepare students for future crises and foster a positive outlook</w:t>
            </w:r>
          </w:p>
          <w:p w14:paraId="46A9BFE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lastRenderedPageBreak/>
              <w:t>Enhance resilience through proactive crisis preparedness, robust remote learning systems, and training educators in digital teaching methods.</w:t>
            </w:r>
          </w:p>
        </w:tc>
      </w:tr>
      <w:tr w:rsidR="00D260AC" w:rsidRPr="00623A39" w14:paraId="76912AAE" w14:textId="77777777" w:rsidTr="00A94920">
        <w:trPr>
          <w:trHeight w:val="255"/>
        </w:trPr>
        <w:tc>
          <w:tcPr>
            <w:tcW w:w="420" w:type="dxa"/>
            <w:tcMar>
              <w:top w:w="0" w:type="dxa"/>
              <w:left w:w="100" w:type="dxa"/>
              <w:bottom w:w="0" w:type="dxa"/>
              <w:right w:w="100" w:type="dxa"/>
            </w:tcMar>
            <w:hideMark/>
          </w:tcPr>
          <w:p w14:paraId="53FA860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lastRenderedPageBreak/>
              <w:t>13</w:t>
            </w:r>
          </w:p>
        </w:tc>
        <w:tc>
          <w:tcPr>
            <w:tcW w:w="930" w:type="dxa"/>
            <w:tcMar>
              <w:top w:w="0" w:type="dxa"/>
              <w:left w:w="100" w:type="dxa"/>
              <w:bottom w:w="0" w:type="dxa"/>
              <w:right w:w="100" w:type="dxa"/>
            </w:tcMar>
            <w:hideMark/>
          </w:tcPr>
          <w:p w14:paraId="4CF5A8B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Tsibidaki, 2021</w:t>
            </w:r>
          </w:p>
        </w:tc>
        <w:tc>
          <w:tcPr>
            <w:tcW w:w="2100" w:type="dxa"/>
            <w:tcMar>
              <w:top w:w="0" w:type="dxa"/>
              <w:left w:w="100" w:type="dxa"/>
              <w:bottom w:w="0" w:type="dxa"/>
              <w:right w:w="100" w:type="dxa"/>
            </w:tcMar>
            <w:hideMark/>
          </w:tcPr>
          <w:p w14:paraId="07566853"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18ECE49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High anxiety, disrupted routines, low resilience, and social strain impacted families with SEND members during the pandemic</w:t>
            </w:r>
          </w:p>
        </w:tc>
        <w:tc>
          <w:tcPr>
            <w:tcW w:w="3345" w:type="dxa"/>
            <w:tcMar>
              <w:top w:w="0" w:type="dxa"/>
              <w:left w:w="100" w:type="dxa"/>
              <w:bottom w:w="0" w:type="dxa"/>
              <w:right w:w="100" w:type="dxa"/>
            </w:tcMar>
            <w:hideMark/>
          </w:tcPr>
          <w:p w14:paraId="530A1D51"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study's main limitation is its small sample size due to COVID-19 restrictions, which restricts the ability to analyze differences between disabilities and participants with SEND. Despite the small sample, results align with other studies.</w:t>
            </w:r>
          </w:p>
        </w:tc>
        <w:tc>
          <w:tcPr>
            <w:tcW w:w="4140" w:type="dxa"/>
            <w:tcMar>
              <w:top w:w="0" w:type="dxa"/>
              <w:left w:w="100" w:type="dxa"/>
              <w:bottom w:w="0" w:type="dxa"/>
              <w:right w:w="100" w:type="dxa"/>
            </w:tcMar>
            <w:hideMark/>
          </w:tcPr>
          <w:p w14:paraId="4613899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Provide counseling and support, foster personal traits like self-efficacy, and cultivate a supportive environment as a protective factor in crises.</w:t>
            </w:r>
          </w:p>
        </w:tc>
      </w:tr>
      <w:tr w:rsidR="00D260AC" w:rsidRPr="00623A39" w14:paraId="5BA31704" w14:textId="77777777" w:rsidTr="00A94920">
        <w:trPr>
          <w:trHeight w:val="255"/>
        </w:trPr>
        <w:tc>
          <w:tcPr>
            <w:tcW w:w="420" w:type="dxa"/>
            <w:tcMar>
              <w:top w:w="0" w:type="dxa"/>
              <w:left w:w="100" w:type="dxa"/>
              <w:bottom w:w="0" w:type="dxa"/>
              <w:right w:w="100" w:type="dxa"/>
            </w:tcMar>
            <w:hideMark/>
          </w:tcPr>
          <w:p w14:paraId="3A1F5F7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14</w:t>
            </w:r>
          </w:p>
        </w:tc>
        <w:tc>
          <w:tcPr>
            <w:tcW w:w="930" w:type="dxa"/>
            <w:tcMar>
              <w:top w:w="0" w:type="dxa"/>
              <w:left w:w="100" w:type="dxa"/>
              <w:bottom w:w="0" w:type="dxa"/>
              <w:right w:w="100" w:type="dxa"/>
            </w:tcMar>
            <w:hideMark/>
          </w:tcPr>
          <w:p w14:paraId="609DC3E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Toyama et al., 2023</w:t>
            </w:r>
          </w:p>
        </w:tc>
        <w:tc>
          <w:tcPr>
            <w:tcW w:w="2100" w:type="dxa"/>
            <w:tcMar>
              <w:top w:w="0" w:type="dxa"/>
              <w:left w:w="100" w:type="dxa"/>
              <w:bottom w:w="0" w:type="dxa"/>
              <w:right w:w="100" w:type="dxa"/>
            </w:tcMar>
            <w:hideMark/>
          </w:tcPr>
          <w:p w14:paraId="1F722C5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w:t>
            </w:r>
            <w:r w:rsidRPr="00623A39" w:rsidDel="00AC6DC3">
              <w:rPr>
                <w:rFonts w:ascii="Times New Roman" w:eastAsia="Calibri" w:hAnsi="Times New Roman" w:cs="Times New Roman"/>
                <w:sz w:val="18"/>
                <w:szCs w:val="18"/>
              </w:rPr>
              <w:t xml:space="preserve"> </w:t>
            </w:r>
          </w:p>
        </w:tc>
        <w:tc>
          <w:tcPr>
            <w:tcW w:w="2700" w:type="dxa"/>
            <w:tcMar>
              <w:top w:w="0" w:type="dxa"/>
              <w:left w:w="100" w:type="dxa"/>
              <w:bottom w:w="0" w:type="dxa"/>
              <w:right w:w="100" w:type="dxa"/>
            </w:tcMar>
            <w:hideMark/>
          </w:tcPr>
          <w:p w14:paraId="7A1B1BBB"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 xml:space="preserve">limitations of interpersonal job crafting (like seeking social support) due to physical distancing, which reduced access to peer support. </w:t>
            </w:r>
          </w:p>
        </w:tc>
        <w:tc>
          <w:tcPr>
            <w:tcW w:w="3345" w:type="dxa"/>
            <w:tcMar>
              <w:top w:w="0" w:type="dxa"/>
              <w:left w:w="100" w:type="dxa"/>
              <w:bottom w:w="0" w:type="dxa"/>
              <w:right w:w="100" w:type="dxa"/>
            </w:tcMar>
            <w:hideMark/>
          </w:tcPr>
          <w:p w14:paraId="7D03BBE2"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limited generalizability of findings to other sectors and countries, as it focused solely on Finnish school principals. Additionally, cross-sectional data limited causality determination​</w:t>
            </w:r>
          </w:p>
        </w:tc>
        <w:tc>
          <w:tcPr>
            <w:tcW w:w="4140" w:type="dxa"/>
            <w:tcMar>
              <w:top w:w="0" w:type="dxa"/>
              <w:left w:w="100" w:type="dxa"/>
              <w:bottom w:w="0" w:type="dxa"/>
              <w:right w:w="100" w:type="dxa"/>
            </w:tcMar>
            <w:hideMark/>
          </w:tcPr>
          <w:p w14:paraId="134BBD1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Recommends supporting job crafting for school principals to enhance resources, manage stress, and build resilience, with tailored interventions to equip leaders for everyday and crisis demands</w:t>
            </w:r>
          </w:p>
        </w:tc>
      </w:tr>
      <w:tr w:rsidR="00D260AC" w:rsidRPr="00623A39" w14:paraId="0302E4F7" w14:textId="77777777" w:rsidTr="00A94920">
        <w:trPr>
          <w:trHeight w:val="2685"/>
        </w:trPr>
        <w:tc>
          <w:tcPr>
            <w:tcW w:w="420" w:type="dxa"/>
            <w:tcMar>
              <w:top w:w="0" w:type="dxa"/>
              <w:left w:w="100" w:type="dxa"/>
              <w:bottom w:w="0" w:type="dxa"/>
              <w:right w:w="100" w:type="dxa"/>
            </w:tcMar>
            <w:hideMark/>
          </w:tcPr>
          <w:p w14:paraId="1AB6DC9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15</w:t>
            </w:r>
          </w:p>
        </w:tc>
        <w:tc>
          <w:tcPr>
            <w:tcW w:w="930" w:type="dxa"/>
            <w:tcMar>
              <w:top w:w="0" w:type="dxa"/>
              <w:left w:w="100" w:type="dxa"/>
              <w:bottom w:w="0" w:type="dxa"/>
              <w:right w:w="100" w:type="dxa"/>
            </w:tcMar>
            <w:hideMark/>
          </w:tcPr>
          <w:p w14:paraId="7439EC3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Taylor et al., 2021</w:t>
            </w:r>
          </w:p>
        </w:tc>
        <w:tc>
          <w:tcPr>
            <w:tcW w:w="2100" w:type="dxa"/>
            <w:tcMar>
              <w:top w:w="0" w:type="dxa"/>
              <w:left w:w="100" w:type="dxa"/>
              <w:bottom w:w="0" w:type="dxa"/>
              <w:right w:w="100" w:type="dxa"/>
            </w:tcMar>
            <w:hideMark/>
          </w:tcPr>
          <w:p w14:paraId="6D27E5E0"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EAAB1C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Self-isolation stressors, COVID-19 threat beliefs, negative emotional traits, and media-fueled panic buying heightened distress and hindered adaptation</w:t>
            </w:r>
          </w:p>
        </w:tc>
        <w:tc>
          <w:tcPr>
            <w:tcW w:w="3345" w:type="dxa"/>
            <w:tcMar>
              <w:top w:w="0" w:type="dxa"/>
              <w:left w:w="100" w:type="dxa"/>
              <w:bottom w:w="0" w:type="dxa"/>
              <w:right w:w="100" w:type="dxa"/>
            </w:tcMar>
            <w:hideMark/>
          </w:tcPr>
          <w:p w14:paraId="6573967B"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 xml:space="preserve">New scales were needed to measure variables like PPE usage due to the absence of validated measures. The study had a non-exhaustive assessment of dependent variables. It used a cross-sectional design, which limits the establishment of causality despite utilizing regression analyses for statistical predictors. </w:t>
            </w:r>
          </w:p>
        </w:tc>
        <w:tc>
          <w:tcPr>
            <w:tcW w:w="4140" w:type="dxa"/>
            <w:tcMar>
              <w:top w:w="0" w:type="dxa"/>
              <w:left w:w="100" w:type="dxa"/>
              <w:bottom w:w="0" w:type="dxa"/>
              <w:right w:w="100" w:type="dxa"/>
            </w:tcMar>
            <w:hideMark/>
          </w:tcPr>
          <w:p w14:paraId="1E60CF7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resilience-boosting programs and cognitive-behavioral interventions to enhance coping with pandemic stressors.</w:t>
            </w:r>
          </w:p>
        </w:tc>
      </w:tr>
      <w:tr w:rsidR="00D260AC" w:rsidRPr="00623A39" w14:paraId="3FEFF453" w14:textId="77777777" w:rsidTr="00A94920">
        <w:trPr>
          <w:trHeight w:val="255"/>
        </w:trPr>
        <w:tc>
          <w:tcPr>
            <w:tcW w:w="420" w:type="dxa"/>
            <w:tcMar>
              <w:top w:w="0" w:type="dxa"/>
              <w:left w:w="100" w:type="dxa"/>
              <w:bottom w:w="0" w:type="dxa"/>
              <w:right w:w="100" w:type="dxa"/>
            </w:tcMar>
            <w:hideMark/>
          </w:tcPr>
          <w:p w14:paraId="2116931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16</w:t>
            </w:r>
          </w:p>
        </w:tc>
        <w:tc>
          <w:tcPr>
            <w:tcW w:w="930" w:type="dxa"/>
            <w:tcMar>
              <w:top w:w="0" w:type="dxa"/>
              <w:left w:w="100" w:type="dxa"/>
              <w:bottom w:w="0" w:type="dxa"/>
              <w:right w:w="100" w:type="dxa"/>
            </w:tcMar>
            <w:hideMark/>
          </w:tcPr>
          <w:p w14:paraId="7A15145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Sun et al., 2021</w:t>
            </w:r>
          </w:p>
        </w:tc>
        <w:tc>
          <w:tcPr>
            <w:tcW w:w="2100" w:type="dxa"/>
            <w:tcMar>
              <w:top w:w="0" w:type="dxa"/>
              <w:left w:w="100" w:type="dxa"/>
              <w:bottom w:w="0" w:type="dxa"/>
              <w:right w:w="100" w:type="dxa"/>
            </w:tcMar>
            <w:hideMark/>
          </w:tcPr>
          <w:p w14:paraId="15BA8003"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ECDB94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 Single parent families faced more economic burden and less social support, which aggravates family conflicts. </w:t>
            </w:r>
          </w:p>
          <w:p w14:paraId="254A7A05"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3345" w:type="dxa"/>
            <w:tcMar>
              <w:top w:w="0" w:type="dxa"/>
              <w:left w:w="100" w:type="dxa"/>
              <w:bottom w:w="0" w:type="dxa"/>
              <w:right w:w="100" w:type="dxa"/>
            </w:tcMar>
            <w:hideMark/>
          </w:tcPr>
          <w:p w14:paraId="3537CA63"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 xml:space="preserve">The study had a relatively small sample size, </w:t>
            </w:r>
          </w:p>
        </w:tc>
        <w:tc>
          <w:tcPr>
            <w:tcW w:w="4140" w:type="dxa"/>
            <w:tcMar>
              <w:top w:w="0" w:type="dxa"/>
              <w:left w:w="100" w:type="dxa"/>
              <w:bottom w:w="0" w:type="dxa"/>
              <w:right w:w="100" w:type="dxa"/>
            </w:tcMar>
            <w:hideMark/>
          </w:tcPr>
          <w:p w14:paraId="385C172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Promote long-term resilience by strengthening support systems within families, schools, and communities to create a “herd immunity” effect for mental health. Encourage psychosocial factors like positive emotions, social support, and altruism, and implement multi-system interventions to help students and families maintain mental well-being during crises.</w:t>
            </w:r>
          </w:p>
        </w:tc>
      </w:tr>
      <w:tr w:rsidR="00D260AC" w:rsidRPr="00623A39" w14:paraId="1AF9AF12" w14:textId="77777777" w:rsidTr="00A94920">
        <w:trPr>
          <w:trHeight w:val="255"/>
        </w:trPr>
        <w:tc>
          <w:tcPr>
            <w:tcW w:w="420" w:type="dxa"/>
            <w:tcMar>
              <w:top w:w="0" w:type="dxa"/>
              <w:left w:w="100" w:type="dxa"/>
              <w:bottom w:w="0" w:type="dxa"/>
              <w:right w:w="100" w:type="dxa"/>
            </w:tcMar>
            <w:hideMark/>
          </w:tcPr>
          <w:p w14:paraId="737CFBD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17</w:t>
            </w:r>
          </w:p>
        </w:tc>
        <w:tc>
          <w:tcPr>
            <w:tcW w:w="930" w:type="dxa"/>
            <w:tcMar>
              <w:top w:w="0" w:type="dxa"/>
              <w:left w:w="100" w:type="dxa"/>
              <w:bottom w:w="0" w:type="dxa"/>
              <w:right w:w="100" w:type="dxa"/>
            </w:tcMar>
            <w:hideMark/>
          </w:tcPr>
          <w:p w14:paraId="1CD6C30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Spada et al., 2022</w:t>
            </w:r>
          </w:p>
        </w:tc>
        <w:tc>
          <w:tcPr>
            <w:tcW w:w="2100" w:type="dxa"/>
            <w:tcMar>
              <w:top w:w="0" w:type="dxa"/>
              <w:left w:w="100" w:type="dxa"/>
              <w:bottom w:w="0" w:type="dxa"/>
              <w:right w:w="100" w:type="dxa"/>
            </w:tcMar>
            <w:hideMark/>
          </w:tcPr>
          <w:p w14:paraId="76047526"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40F26F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Limited mental health support in hospitals and at home left patients feeling more isolated.</w:t>
            </w:r>
          </w:p>
        </w:tc>
        <w:tc>
          <w:tcPr>
            <w:tcW w:w="3345" w:type="dxa"/>
            <w:tcMar>
              <w:top w:w="0" w:type="dxa"/>
              <w:left w:w="100" w:type="dxa"/>
              <w:bottom w:w="0" w:type="dxa"/>
              <w:right w:w="100" w:type="dxa"/>
            </w:tcMar>
            <w:hideMark/>
          </w:tcPr>
          <w:p w14:paraId="7455DA5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Selection bias of patients exclusively admitted to the hospital and the absence of a control group limits the generalizability of the results</w:t>
            </w:r>
          </w:p>
        </w:tc>
        <w:tc>
          <w:tcPr>
            <w:tcW w:w="4140" w:type="dxa"/>
            <w:tcMar>
              <w:top w:w="0" w:type="dxa"/>
              <w:left w:w="100" w:type="dxa"/>
              <w:bottom w:w="0" w:type="dxa"/>
              <w:right w:w="100" w:type="dxa"/>
            </w:tcMar>
            <w:hideMark/>
          </w:tcPr>
          <w:p w14:paraId="1CA73AC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Provide timely mental health support, particularly right after hospital discharge, to reduce trauma associated with COVID-19 recovery</w:t>
            </w:r>
          </w:p>
          <w:p w14:paraId="56872DED"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3E72522B" w14:textId="77777777" w:rsidTr="00A94920">
        <w:trPr>
          <w:trHeight w:val="255"/>
        </w:trPr>
        <w:tc>
          <w:tcPr>
            <w:tcW w:w="420" w:type="dxa"/>
            <w:tcMar>
              <w:top w:w="0" w:type="dxa"/>
              <w:left w:w="100" w:type="dxa"/>
              <w:bottom w:w="0" w:type="dxa"/>
              <w:right w:w="100" w:type="dxa"/>
            </w:tcMar>
            <w:hideMark/>
          </w:tcPr>
          <w:p w14:paraId="77BE146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18</w:t>
            </w:r>
          </w:p>
        </w:tc>
        <w:tc>
          <w:tcPr>
            <w:tcW w:w="930" w:type="dxa"/>
            <w:tcMar>
              <w:top w:w="0" w:type="dxa"/>
              <w:left w:w="100" w:type="dxa"/>
              <w:bottom w:w="0" w:type="dxa"/>
              <w:right w:w="100" w:type="dxa"/>
            </w:tcMar>
            <w:hideMark/>
          </w:tcPr>
          <w:p w14:paraId="5222F0C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Skalski et al., 2021</w:t>
            </w:r>
          </w:p>
        </w:tc>
        <w:tc>
          <w:tcPr>
            <w:tcW w:w="2100" w:type="dxa"/>
            <w:tcMar>
              <w:top w:w="0" w:type="dxa"/>
              <w:left w:w="100" w:type="dxa"/>
              <w:bottom w:w="0" w:type="dxa"/>
              <w:right w:w="100" w:type="dxa"/>
            </w:tcMar>
            <w:hideMark/>
          </w:tcPr>
          <w:p w14:paraId="217C6900"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3CD4E2E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Pandemic-related anxiety, limited social support, low resilience, and reduced emotional resources </w:t>
            </w:r>
            <w:r w:rsidRPr="00623A39">
              <w:rPr>
                <w:rFonts w:ascii="Times New Roman" w:eastAsia="Calibri" w:hAnsi="Times New Roman" w:cs="Times New Roman"/>
                <w:sz w:val="18"/>
                <w:szCs w:val="18"/>
              </w:rPr>
              <w:lastRenderedPageBreak/>
              <w:t>heightened trauma symptoms and hindered adaptation</w:t>
            </w:r>
          </w:p>
        </w:tc>
        <w:tc>
          <w:tcPr>
            <w:tcW w:w="3345" w:type="dxa"/>
            <w:tcMar>
              <w:top w:w="0" w:type="dxa"/>
              <w:left w:w="100" w:type="dxa"/>
              <w:bottom w:w="0" w:type="dxa"/>
              <w:right w:w="100" w:type="dxa"/>
            </w:tcMar>
            <w:hideMark/>
          </w:tcPr>
          <w:p w14:paraId="4E112004"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lastRenderedPageBreak/>
              <w:t xml:space="preserve">The study's cross-sectional design makes it difficult to determine causality. Participants were neither infected with SARS-CoV-2 nor recovering, so their results may differ </w:t>
            </w:r>
            <w:r w:rsidRPr="3173E500">
              <w:rPr>
                <w:rFonts w:ascii="Times New Roman" w:eastAsia="Calibri" w:hAnsi="Times New Roman" w:cs="Times New Roman"/>
                <w:sz w:val="18"/>
                <w:szCs w:val="18"/>
              </w:rPr>
              <w:lastRenderedPageBreak/>
              <w:t>from the general population. The psychiatric history of the participants was not controlled. Social support was limited to perceived support networks, without assessing material support.</w:t>
            </w:r>
          </w:p>
        </w:tc>
        <w:tc>
          <w:tcPr>
            <w:tcW w:w="4140" w:type="dxa"/>
            <w:tcMar>
              <w:top w:w="0" w:type="dxa"/>
              <w:left w:w="100" w:type="dxa"/>
              <w:bottom w:w="0" w:type="dxa"/>
              <w:right w:w="100" w:type="dxa"/>
            </w:tcMar>
            <w:hideMark/>
          </w:tcPr>
          <w:p w14:paraId="0206157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lastRenderedPageBreak/>
              <w:t>Encourage building strong, positive relationships as a protective buffer against pandemic-related stress.</w:t>
            </w:r>
          </w:p>
        </w:tc>
      </w:tr>
      <w:tr w:rsidR="00D260AC" w:rsidRPr="00623A39" w14:paraId="66F5C495" w14:textId="77777777" w:rsidTr="00A94920">
        <w:trPr>
          <w:trHeight w:val="255"/>
        </w:trPr>
        <w:tc>
          <w:tcPr>
            <w:tcW w:w="420" w:type="dxa"/>
            <w:tcMar>
              <w:top w:w="0" w:type="dxa"/>
              <w:left w:w="100" w:type="dxa"/>
              <w:bottom w:w="0" w:type="dxa"/>
              <w:right w:w="100" w:type="dxa"/>
            </w:tcMar>
            <w:hideMark/>
          </w:tcPr>
          <w:p w14:paraId="42C7109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19</w:t>
            </w:r>
          </w:p>
        </w:tc>
        <w:tc>
          <w:tcPr>
            <w:tcW w:w="930" w:type="dxa"/>
            <w:tcMar>
              <w:top w:w="0" w:type="dxa"/>
              <w:left w:w="100" w:type="dxa"/>
              <w:bottom w:w="0" w:type="dxa"/>
              <w:right w:w="100" w:type="dxa"/>
            </w:tcMar>
            <w:hideMark/>
          </w:tcPr>
          <w:p w14:paraId="69D460F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AlKudsi et al., 2022</w:t>
            </w:r>
          </w:p>
        </w:tc>
        <w:tc>
          <w:tcPr>
            <w:tcW w:w="2100" w:type="dxa"/>
            <w:tcMar>
              <w:top w:w="0" w:type="dxa"/>
              <w:left w:w="100" w:type="dxa"/>
              <w:bottom w:w="0" w:type="dxa"/>
              <w:right w:w="100" w:type="dxa"/>
            </w:tcMar>
            <w:hideMark/>
          </w:tcPr>
          <w:p w14:paraId="139819EE"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4D27762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Fear of COVID-19 contributed significantly to mental health challenges for pharmacists.</w:t>
            </w:r>
          </w:p>
        </w:tc>
        <w:tc>
          <w:tcPr>
            <w:tcW w:w="3345" w:type="dxa"/>
            <w:tcMar>
              <w:top w:w="0" w:type="dxa"/>
              <w:left w:w="100" w:type="dxa"/>
              <w:bottom w:w="0" w:type="dxa"/>
              <w:right w:w="100" w:type="dxa"/>
            </w:tcMar>
            <w:hideMark/>
          </w:tcPr>
          <w:p w14:paraId="7DECCD4B"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lack of previous studies on community pharmacists' mental health makes it challenging to compare results before and during the COVID-19 pandemic.</w:t>
            </w:r>
          </w:p>
          <w:p w14:paraId="008CC49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w:t>
            </w:r>
          </w:p>
        </w:tc>
        <w:tc>
          <w:tcPr>
            <w:tcW w:w="4140" w:type="dxa"/>
            <w:tcMar>
              <w:top w:w="0" w:type="dxa"/>
              <w:left w:w="100" w:type="dxa"/>
              <w:bottom w:w="0" w:type="dxa"/>
              <w:right w:w="100" w:type="dxa"/>
            </w:tcMar>
            <w:hideMark/>
          </w:tcPr>
          <w:p w14:paraId="335F730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Establish structured protocols for disaster management </w:t>
            </w:r>
            <w:bookmarkStart w:id="4" w:name="_Hlk181637792"/>
            <w:r w:rsidRPr="00623A39">
              <w:rPr>
                <w:rFonts w:ascii="Times New Roman" w:eastAsia="Calibri" w:hAnsi="Times New Roman" w:cs="Times New Roman"/>
                <w:sz w:val="18"/>
                <w:szCs w:val="18"/>
              </w:rPr>
              <w:t xml:space="preserve">with a focus on early burnout detection and mitigation. </w:t>
            </w:r>
          </w:p>
          <w:p w14:paraId="6FCBE180" w14:textId="77777777" w:rsidR="00D260AC" w:rsidRPr="00623A39" w:rsidRDefault="00D260AC" w:rsidP="00A94920">
            <w:pPr>
              <w:spacing w:after="0" w:line="240" w:lineRule="auto"/>
              <w:rPr>
                <w:rFonts w:ascii="Times New Roman" w:eastAsia="Calibri" w:hAnsi="Times New Roman" w:cs="Times New Roman"/>
                <w:sz w:val="18"/>
                <w:szCs w:val="18"/>
              </w:rPr>
            </w:pPr>
            <w:bookmarkStart w:id="5" w:name="_Hlk181637772"/>
            <w:bookmarkEnd w:id="4"/>
            <w:r w:rsidRPr="00623A39">
              <w:rPr>
                <w:rFonts w:ascii="Times New Roman" w:eastAsia="Calibri" w:hAnsi="Times New Roman" w:cs="Times New Roman"/>
                <w:sz w:val="18"/>
                <w:szCs w:val="18"/>
              </w:rPr>
              <w:t xml:space="preserve">Invest in continuous training on disaster management </w:t>
            </w:r>
            <w:bookmarkEnd w:id="5"/>
            <w:r w:rsidRPr="00623A39">
              <w:rPr>
                <w:rFonts w:ascii="Times New Roman" w:eastAsia="Calibri" w:hAnsi="Times New Roman" w:cs="Times New Roman"/>
                <w:sz w:val="18"/>
                <w:szCs w:val="18"/>
              </w:rPr>
              <w:t xml:space="preserve">and mental health coping via digital platforms. </w:t>
            </w:r>
          </w:p>
          <w:p w14:paraId="7B96E5A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Promote support systems at personal, organizational, and national levels to sustain healthcare workers' psychological well-being in future emergencies.</w:t>
            </w:r>
          </w:p>
        </w:tc>
      </w:tr>
      <w:tr w:rsidR="00D260AC" w:rsidRPr="00623A39" w14:paraId="077B9062" w14:textId="77777777" w:rsidTr="00A94920">
        <w:trPr>
          <w:trHeight w:val="1092"/>
        </w:trPr>
        <w:tc>
          <w:tcPr>
            <w:tcW w:w="420" w:type="dxa"/>
            <w:tcMar>
              <w:top w:w="0" w:type="dxa"/>
              <w:left w:w="100" w:type="dxa"/>
              <w:bottom w:w="0" w:type="dxa"/>
              <w:right w:w="100" w:type="dxa"/>
            </w:tcMar>
            <w:hideMark/>
          </w:tcPr>
          <w:p w14:paraId="7D8384E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20</w:t>
            </w:r>
          </w:p>
        </w:tc>
        <w:tc>
          <w:tcPr>
            <w:tcW w:w="930" w:type="dxa"/>
            <w:tcMar>
              <w:top w:w="0" w:type="dxa"/>
              <w:left w:w="100" w:type="dxa"/>
              <w:bottom w:w="0" w:type="dxa"/>
              <w:right w:w="100" w:type="dxa"/>
            </w:tcMar>
            <w:hideMark/>
          </w:tcPr>
          <w:p w14:paraId="398DBC8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Rotonda et al., 2021</w:t>
            </w:r>
          </w:p>
        </w:tc>
        <w:tc>
          <w:tcPr>
            <w:tcW w:w="2100" w:type="dxa"/>
            <w:tcMar>
              <w:top w:w="0" w:type="dxa"/>
              <w:left w:w="100" w:type="dxa"/>
              <w:bottom w:w="0" w:type="dxa"/>
              <w:right w:w="100" w:type="dxa"/>
            </w:tcMar>
            <w:hideMark/>
          </w:tcPr>
          <w:p w14:paraId="0D8551A5"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4E99E3E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Reduced well-being, financial insecurity, social isolation, and distrust in information sources heightened stress and hindered adaptation during lockdown</w:t>
            </w:r>
          </w:p>
        </w:tc>
        <w:tc>
          <w:tcPr>
            <w:tcW w:w="3345" w:type="dxa"/>
            <w:tcMar>
              <w:top w:w="0" w:type="dxa"/>
              <w:left w:w="100" w:type="dxa"/>
              <w:bottom w:w="0" w:type="dxa"/>
              <w:right w:w="100" w:type="dxa"/>
            </w:tcMar>
            <w:hideMark/>
          </w:tcPr>
          <w:p w14:paraId="00CA1C1F"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was transversal and anonymous, preventing follow-up evaluations. The online survey method may have limited participation to regular internet users, affecting sample representativeness</w:t>
            </w:r>
          </w:p>
          <w:p w14:paraId="64A591FF"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4140" w:type="dxa"/>
            <w:tcMar>
              <w:top w:w="0" w:type="dxa"/>
              <w:left w:w="100" w:type="dxa"/>
              <w:bottom w:w="0" w:type="dxa"/>
              <w:right w:w="100" w:type="dxa"/>
            </w:tcMar>
            <w:hideMark/>
          </w:tcPr>
          <w:p w14:paraId="3EDEE171" w14:textId="77777777" w:rsidR="00D260AC" w:rsidRPr="00623A39" w:rsidRDefault="00D260AC" w:rsidP="00A94920">
            <w:pPr>
              <w:spacing w:after="0" w:line="240" w:lineRule="auto"/>
              <w:rPr>
                <w:rFonts w:ascii="Times New Roman" w:eastAsia="Calibri" w:hAnsi="Times New Roman" w:cs="Times New Roman"/>
                <w:sz w:val="18"/>
                <w:szCs w:val="18"/>
              </w:rPr>
            </w:pPr>
            <w:bookmarkStart w:id="6" w:name="_Hlk181637923"/>
            <w:r w:rsidRPr="00623A39">
              <w:rPr>
                <w:rFonts w:ascii="Times New Roman" w:eastAsia="Calibri" w:hAnsi="Times New Roman" w:cs="Times New Roman"/>
                <w:sz w:val="18"/>
                <w:szCs w:val="18"/>
              </w:rPr>
              <w:t>Recommends prioritizing mental health in quarantine policies by incorporating support systems to mitigate isolation effects, fostering resilience and optimism through community programs</w:t>
            </w:r>
            <w:bookmarkEnd w:id="6"/>
          </w:p>
        </w:tc>
      </w:tr>
      <w:tr w:rsidR="00D260AC" w:rsidRPr="00623A39" w14:paraId="17F6166C" w14:textId="77777777" w:rsidTr="00A94920">
        <w:trPr>
          <w:trHeight w:val="255"/>
        </w:trPr>
        <w:tc>
          <w:tcPr>
            <w:tcW w:w="420" w:type="dxa"/>
            <w:tcMar>
              <w:top w:w="0" w:type="dxa"/>
              <w:left w:w="100" w:type="dxa"/>
              <w:bottom w:w="0" w:type="dxa"/>
              <w:right w:w="100" w:type="dxa"/>
            </w:tcMar>
            <w:hideMark/>
          </w:tcPr>
          <w:p w14:paraId="2A5EBB6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21</w:t>
            </w:r>
          </w:p>
        </w:tc>
        <w:tc>
          <w:tcPr>
            <w:tcW w:w="930" w:type="dxa"/>
            <w:tcMar>
              <w:top w:w="0" w:type="dxa"/>
              <w:left w:w="100" w:type="dxa"/>
              <w:bottom w:w="0" w:type="dxa"/>
              <w:right w:w="100" w:type="dxa"/>
            </w:tcMar>
            <w:hideMark/>
          </w:tcPr>
          <w:p w14:paraId="0F47E99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Rossiet al., 2023</w:t>
            </w:r>
          </w:p>
        </w:tc>
        <w:tc>
          <w:tcPr>
            <w:tcW w:w="2100" w:type="dxa"/>
            <w:tcMar>
              <w:top w:w="0" w:type="dxa"/>
              <w:left w:w="100" w:type="dxa"/>
              <w:bottom w:w="0" w:type="dxa"/>
              <w:right w:w="100" w:type="dxa"/>
            </w:tcMar>
            <w:hideMark/>
          </w:tcPr>
          <w:p w14:paraId="54D8D571"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1D81218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Psychological distress, reduced social interaction, socioeconomic strain, and pre-existing mental health conditions intensified pandemic-related stress</w:t>
            </w:r>
          </w:p>
        </w:tc>
        <w:tc>
          <w:tcPr>
            <w:tcW w:w="3345" w:type="dxa"/>
            <w:tcMar>
              <w:top w:w="0" w:type="dxa"/>
              <w:left w:w="100" w:type="dxa"/>
              <w:bottom w:w="0" w:type="dxa"/>
              <w:right w:w="100" w:type="dxa"/>
            </w:tcMar>
            <w:hideMark/>
          </w:tcPr>
          <w:p w14:paraId="7DEEEFFB"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web-based sampling technique may lead to self-selection bias. This method could result in systematic bias due to reliance on self-reported instruments. Self-reporting can distort estimates of mental health outcomes, impacting the study's validity.</w:t>
            </w:r>
          </w:p>
        </w:tc>
        <w:tc>
          <w:tcPr>
            <w:tcW w:w="4140" w:type="dxa"/>
            <w:tcMar>
              <w:top w:w="0" w:type="dxa"/>
              <w:left w:w="100" w:type="dxa"/>
              <w:bottom w:w="0" w:type="dxa"/>
              <w:right w:w="100" w:type="dxa"/>
            </w:tcMar>
            <w:hideMark/>
          </w:tcPr>
          <w:p w14:paraId="5279712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Recommends prioritizing mental health in public policies </w:t>
            </w:r>
            <w:bookmarkStart w:id="7" w:name="_Hlk181637974"/>
            <w:r w:rsidRPr="00623A39">
              <w:rPr>
                <w:rFonts w:ascii="Times New Roman" w:eastAsia="Calibri" w:hAnsi="Times New Roman" w:cs="Times New Roman"/>
                <w:sz w:val="18"/>
                <w:szCs w:val="18"/>
              </w:rPr>
              <w:t>with targeted interventions, early detection, resilience training, and increased access to psychological services for vulnerable groups</w:t>
            </w:r>
            <w:bookmarkEnd w:id="7"/>
          </w:p>
        </w:tc>
      </w:tr>
      <w:tr w:rsidR="00D260AC" w:rsidRPr="00623A39" w14:paraId="3698DF92" w14:textId="77777777" w:rsidTr="00A94920">
        <w:trPr>
          <w:trHeight w:val="1209"/>
        </w:trPr>
        <w:tc>
          <w:tcPr>
            <w:tcW w:w="420" w:type="dxa"/>
            <w:tcMar>
              <w:top w:w="0" w:type="dxa"/>
              <w:left w:w="100" w:type="dxa"/>
              <w:bottom w:w="0" w:type="dxa"/>
              <w:right w:w="100" w:type="dxa"/>
            </w:tcMar>
            <w:hideMark/>
          </w:tcPr>
          <w:p w14:paraId="56C6E46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22</w:t>
            </w:r>
          </w:p>
        </w:tc>
        <w:tc>
          <w:tcPr>
            <w:tcW w:w="930" w:type="dxa"/>
            <w:tcMar>
              <w:top w:w="0" w:type="dxa"/>
              <w:left w:w="100" w:type="dxa"/>
              <w:bottom w:w="0" w:type="dxa"/>
              <w:right w:w="100" w:type="dxa"/>
            </w:tcMar>
            <w:hideMark/>
          </w:tcPr>
          <w:p w14:paraId="2734517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Reicherts et al., 2022</w:t>
            </w:r>
          </w:p>
        </w:tc>
        <w:tc>
          <w:tcPr>
            <w:tcW w:w="2100" w:type="dxa"/>
            <w:tcMar>
              <w:top w:w="0" w:type="dxa"/>
              <w:left w:w="100" w:type="dxa"/>
              <w:bottom w:w="0" w:type="dxa"/>
              <w:right w:w="100" w:type="dxa"/>
            </w:tcMar>
            <w:hideMark/>
          </w:tcPr>
          <w:p w14:paraId="1D259E6B" w14:textId="77777777" w:rsidR="00D260AC" w:rsidRPr="00623A39" w:rsidRDefault="00D260AC" w:rsidP="00A94920">
            <w:pPr>
              <w:spacing w:after="0" w:line="240" w:lineRule="auto"/>
              <w:rPr>
                <w:rFonts w:ascii="Times New Roman" w:eastAsia="Calibri" w:hAnsi="Times New Roman" w:cs="Times New Roman"/>
                <w:sz w:val="18"/>
                <w:szCs w:val="18"/>
              </w:rPr>
            </w:pPr>
          </w:p>
          <w:p w14:paraId="473B2917"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43A4365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Extra safety protocols created a physical and emotional barrier with patients, increasing stress for healthcare workers.</w:t>
            </w:r>
          </w:p>
        </w:tc>
        <w:tc>
          <w:tcPr>
            <w:tcW w:w="3345" w:type="dxa"/>
            <w:tcMar>
              <w:top w:w="0" w:type="dxa"/>
              <w:left w:w="100" w:type="dxa"/>
              <w:bottom w:w="0" w:type="dxa"/>
              <w:right w:w="100" w:type="dxa"/>
            </w:tcMar>
            <w:hideMark/>
          </w:tcPr>
          <w:p w14:paraId="0DC673EA"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study's cross-sectional data from 286 participants may limit generalizability due to varying impacts of COVID-19 on healthcare settings. Lack of pre-pandemic data and differences in psychological and health aspects between vaccinated and unvaccinated individuals may account for observed variations.</w:t>
            </w:r>
          </w:p>
        </w:tc>
        <w:tc>
          <w:tcPr>
            <w:tcW w:w="4140" w:type="dxa"/>
            <w:tcMar>
              <w:top w:w="0" w:type="dxa"/>
              <w:left w:w="100" w:type="dxa"/>
              <w:bottom w:w="0" w:type="dxa"/>
              <w:right w:w="100" w:type="dxa"/>
            </w:tcMar>
            <w:hideMark/>
          </w:tcPr>
          <w:p w14:paraId="1159A19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Recommends systemic mental health support for healthcare workers, focusing on preventive measures like vaccinations and resources to improve sleep and resilience to ease psychological strain.</w:t>
            </w:r>
          </w:p>
        </w:tc>
      </w:tr>
      <w:tr w:rsidR="00D260AC" w:rsidRPr="00623A39" w14:paraId="1B8FD120" w14:textId="77777777" w:rsidTr="00A94920">
        <w:trPr>
          <w:trHeight w:val="255"/>
        </w:trPr>
        <w:tc>
          <w:tcPr>
            <w:tcW w:w="420" w:type="dxa"/>
            <w:tcMar>
              <w:top w:w="0" w:type="dxa"/>
              <w:left w:w="100" w:type="dxa"/>
              <w:bottom w:w="0" w:type="dxa"/>
              <w:right w:w="100" w:type="dxa"/>
            </w:tcMar>
            <w:hideMark/>
          </w:tcPr>
          <w:p w14:paraId="21C5A2F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23</w:t>
            </w:r>
          </w:p>
        </w:tc>
        <w:tc>
          <w:tcPr>
            <w:tcW w:w="930" w:type="dxa"/>
            <w:tcMar>
              <w:top w:w="0" w:type="dxa"/>
              <w:left w:w="100" w:type="dxa"/>
              <w:bottom w:w="0" w:type="dxa"/>
              <w:right w:w="100" w:type="dxa"/>
            </w:tcMar>
            <w:hideMark/>
          </w:tcPr>
          <w:p w14:paraId="360A40D7" w14:textId="77777777" w:rsidR="00D260AC" w:rsidRPr="00623A39" w:rsidRDefault="00D260AC" w:rsidP="00A94920">
            <w:pPr>
              <w:spacing w:after="0" w:line="240" w:lineRule="auto"/>
              <w:rPr>
                <w:rFonts w:ascii="Times New Roman" w:eastAsia="Calibri" w:hAnsi="Times New Roman" w:cs="Times New Roman"/>
                <w:sz w:val="18"/>
                <w:szCs w:val="18"/>
              </w:rPr>
            </w:pPr>
            <w:r w:rsidRPr="001F34FE">
              <w:rPr>
                <w:rFonts w:ascii="Times New Roman" w:eastAsia="Calibri" w:hAnsi="Times New Roman" w:cs="Times New Roman"/>
                <w:sz w:val="18"/>
                <w:szCs w:val="18"/>
              </w:rPr>
              <w:t>da Silva</w:t>
            </w:r>
            <w:r>
              <w:rPr>
                <w:rFonts w:ascii="Times New Roman" w:eastAsia="Calibri" w:hAnsi="Times New Roman" w:cs="Times New Roman"/>
                <w:sz w:val="18"/>
                <w:szCs w:val="18"/>
              </w:rPr>
              <w:t xml:space="preserve"> </w:t>
            </w:r>
            <w:r w:rsidRPr="00623A39">
              <w:rPr>
                <w:rFonts w:ascii="Times New Roman" w:eastAsia="Calibri" w:hAnsi="Times New Roman" w:cs="Times New Roman"/>
                <w:sz w:val="18"/>
                <w:szCs w:val="18"/>
              </w:rPr>
              <w:t>Pigati et al., 2022</w:t>
            </w:r>
          </w:p>
        </w:tc>
        <w:tc>
          <w:tcPr>
            <w:tcW w:w="2100" w:type="dxa"/>
            <w:tcMar>
              <w:top w:w="0" w:type="dxa"/>
              <w:left w:w="100" w:type="dxa"/>
              <w:bottom w:w="0" w:type="dxa"/>
              <w:right w:w="100" w:type="dxa"/>
            </w:tcMar>
            <w:hideMark/>
          </w:tcPr>
          <w:p w14:paraId="426640C9"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67D0403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High depression, anxiety, trauma, lack of PPE and leadership support, and physical exhaustion heightened distress among physiotherapists working with COVID-19 patients</w:t>
            </w:r>
          </w:p>
        </w:tc>
        <w:tc>
          <w:tcPr>
            <w:tcW w:w="3345" w:type="dxa"/>
            <w:tcMar>
              <w:top w:w="0" w:type="dxa"/>
              <w:left w:w="100" w:type="dxa"/>
              <w:bottom w:w="0" w:type="dxa"/>
              <w:right w:w="100" w:type="dxa"/>
            </w:tcMar>
            <w:hideMark/>
          </w:tcPr>
          <w:p w14:paraId="3B3BD4EC"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could not determine if participants had a previous diagnosis of depression, anxiety, or stress since questionnaires were anonymous and self-administered.</w:t>
            </w:r>
          </w:p>
        </w:tc>
        <w:tc>
          <w:tcPr>
            <w:tcW w:w="4140" w:type="dxa"/>
            <w:tcMar>
              <w:top w:w="0" w:type="dxa"/>
              <w:left w:w="100" w:type="dxa"/>
              <w:bottom w:w="0" w:type="dxa"/>
              <w:right w:w="100" w:type="dxa"/>
            </w:tcMar>
            <w:hideMark/>
          </w:tcPr>
          <w:p w14:paraId="016426E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Design strategies and interventions to boost resilience in frontline physiotherapists. Encourage regular physical activity to reduce depression and enhance resilience</w:t>
            </w:r>
          </w:p>
          <w:p w14:paraId="7A34EBC4" w14:textId="77777777" w:rsidR="00D260AC" w:rsidRPr="00623A39" w:rsidRDefault="00D260AC" w:rsidP="00A94920">
            <w:pPr>
              <w:spacing w:after="0" w:line="240" w:lineRule="auto"/>
              <w:rPr>
                <w:rFonts w:ascii="Times New Roman" w:eastAsia="Calibri" w:hAnsi="Times New Roman" w:cs="Times New Roman"/>
                <w:sz w:val="18"/>
                <w:szCs w:val="18"/>
              </w:rPr>
            </w:pPr>
          </w:p>
          <w:p w14:paraId="5B45B078"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47A4E29A" w14:textId="77777777" w:rsidTr="00A94920">
        <w:trPr>
          <w:trHeight w:val="255"/>
        </w:trPr>
        <w:tc>
          <w:tcPr>
            <w:tcW w:w="420" w:type="dxa"/>
            <w:tcMar>
              <w:top w:w="0" w:type="dxa"/>
              <w:left w:w="100" w:type="dxa"/>
              <w:bottom w:w="0" w:type="dxa"/>
              <w:right w:w="100" w:type="dxa"/>
            </w:tcMar>
            <w:hideMark/>
          </w:tcPr>
          <w:p w14:paraId="775670D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lastRenderedPageBreak/>
              <w:t>24</w:t>
            </w:r>
          </w:p>
        </w:tc>
        <w:tc>
          <w:tcPr>
            <w:tcW w:w="930" w:type="dxa"/>
            <w:tcMar>
              <w:top w:w="0" w:type="dxa"/>
              <w:left w:w="100" w:type="dxa"/>
              <w:bottom w:w="0" w:type="dxa"/>
              <w:right w:w="100" w:type="dxa"/>
            </w:tcMar>
            <w:hideMark/>
          </w:tcPr>
          <w:p w14:paraId="4A330AF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Paredes et al., 2021</w:t>
            </w:r>
          </w:p>
        </w:tc>
        <w:tc>
          <w:tcPr>
            <w:tcW w:w="2100" w:type="dxa"/>
            <w:tcMar>
              <w:top w:w="0" w:type="dxa"/>
              <w:left w:w="100" w:type="dxa"/>
              <w:bottom w:w="0" w:type="dxa"/>
              <w:right w:w="100" w:type="dxa"/>
            </w:tcMar>
            <w:hideMark/>
          </w:tcPr>
          <w:p w14:paraId="2338AE7A"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508A44C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limited access to mental health resources, limited infrastructure and digital accessibility in remote or underserved areas, Unclear communication from authorities also led to confusion and fear. </w:t>
            </w:r>
          </w:p>
        </w:tc>
        <w:tc>
          <w:tcPr>
            <w:tcW w:w="3345" w:type="dxa"/>
            <w:tcMar>
              <w:top w:w="0" w:type="dxa"/>
              <w:left w:w="100" w:type="dxa"/>
              <w:bottom w:w="0" w:type="dxa"/>
              <w:right w:w="100" w:type="dxa"/>
            </w:tcMar>
            <w:hideMark/>
          </w:tcPr>
          <w:p w14:paraId="637C700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The study, conducted during the pandemic, used cross-sectional data and did not assess participants' prior mental health conditions, making long-term effects difficult to infer.</w:t>
            </w:r>
          </w:p>
        </w:tc>
        <w:tc>
          <w:tcPr>
            <w:tcW w:w="4140" w:type="dxa"/>
            <w:tcMar>
              <w:top w:w="0" w:type="dxa"/>
              <w:left w:w="100" w:type="dxa"/>
              <w:bottom w:w="0" w:type="dxa"/>
              <w:right w:w="100" w:type="dxa"/>
            </w:tcMar>
            <w:hideMark/>
          </w:tcPr>
          <w:p w14:paraId="37E3E862" w14:textId="77777777" w:rsidR="00D260AC" w:rsidRPr="00623A39" w:rsidRDefault="00D260AC" w:rsidP="00A94920">
            <w:pPr>
              <w:spacing w:after="0" w:line="240" w:lineRule="auto"/>
              <w:rPr>
                <w:rFonts w:ascii="Times New Roman" w:eastAsia="Calibri" w:hAnsi="Times New Roman" w:cs="Times New Roman"/>
                <w:sz w:val="18"/>
                <w:szCs w:val="18"/>
              </w:rPr>
            </w:pPr>
            <w:bookmarkStart w:id="8" w:name="_Hlk181638127"/>
            <w:r w:rsidRPr="00623A39">
              <w:rPr>
                <w:rFonts w:ascii="Times New Roman" w:eastAsia="Calibri" w:hAnsi="Times New Roman" w:cs="Times New Roman"/>
                <w:sz w:val="18"/>
                <w:szCs w:val="18"/>
              </w:rPr>
              <w:t>Implement clear communication strategies to reduce public fear and anxiety, focusing on preventive actions</w:t>
            </w:r>
            <w:bookmarkEnd w:id="8"/>
            <w:r w:rsidRPr="00623A39">
              <w:rPr>
                <w:rFonts w:ascii="Times New Roman" w:eastAsia="Calibri" w:hAnsi="Times New Roman" w:cs="Times New Roman"/>
                <w:sz w:val="18"/>
                <w:szCs w:val="18"/>
              </w:rPr>
              <w:t xml:space="preserve">. </w:t>
            </w:r>
          </w:p>
          <w:p w14:paraId="3D56D7E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Expand telehealth for mental health, including digital counseling, as remote support is effective for future preparedness.</w:t>
            </w:r>
          </w:p>
        </w:tc>
      </w:tr>
      <w:tr w:rsidR="00D260AC" w:rsidRPr="00623A39" w14:paraId="774F61BC" w14:textId="77777777" w:rsidTr="00A94920">
        <w:trPr>
          <w:trHeight w:val="255"/>
        </w:trPr>
        <w:tc>
          <w:tcPr>
            <w:tcW w:w="420" w:type="dxa"/>
            <w:tcMar>
              <w:top w:w="0" w:type="dxa"/>
              <w:left w:w="100" w:type="dxa"/>
              <w:bottom w:w="0" w:type="dxa"/>
              <w:right w:w="100" w:type="dxa"/>
            </w:tcMar>
            <w:hideMark/>
          </w:tcPr>
          <w:p w14:paraId="1B95FE3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25</w:t>
            </w:r>
          </w:p>
        </w:tc>
        <w:tc>
          <w:tcPr>
            <w:tcW w:w="930" w:type="dxa"/>
            <w:tcMar>
              <w:top w:w="0" w:type="dxa"/>
              <w:left w:w="100" w:type="dxa"/>
              <w:bottom w:w="0" w:type="dxa"/>
              <w:right w:w="100" w:type="dxa"/>
            </w:tcMar>
            <w:hideMark/>
          </w:tcPr>
          <w:p w14:paraId="64458C3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Padmanabhanunni et al., 2023</w:t>
            </w:r>
          </w:p>
        </w:tc>
        <w:tc>
          <w:tcPr>
            <w:tcW w:w="2100" w:type="dxa"/>
            <w:tcMar>
              <w:top w:w="0" w:type="dxa"/>
              <w:left w:w="100" w:type="dxa"/>
              <w:bottom w:w="0" w:type="dxa"/>
              <w:right w:w="100" w:type="dxa"/>
            </w:tcMar>
            <w:hideMark/>
          </w:tcPr>
          <w:p w14:paraId="5B221CAF"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46B3509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 Increased anxiety and fear surrounding the pandemic impacted teachers' ability to maintain a safe learning environment.</w:t>
            </w:r>
          </w:p>
        </w:tc>
        <w:tc>
          <w:tcPr>
            <w:tcW w:w="3345" w:type="dxa"/>
            <w:tcMar>
              <w:top w:w="0" w:type="dxa"/>
              <w:left w:w="100" w:type="dxa"/>
              <w:bottom w:w="0" w:type="dxa"/>
              <w:right w:w="100" w:type="dxa"/>
            </w:tcMar>
            <w:hideMark/>
          </w:tcPr>
          <w:p w14:paraId="6826D990"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employed self-report questionnaires distributed via email and social media, which may introduce selection bias. The sample predominantly came from one province, limiting its representativeness of all South African teachers.</w:t>
            </w:r>
          </w:p>
        </w:tc>
        <w:tc>
          <w:tcPr>
            <w:tcW w:w="4140" w:type="dxa"/>
            <w:tcMar>
              <w:top w:w="0" w:type="dxa"/>
              <w:left w:w="100" w:type="dxa"/>
              <w:bottom w:w="0" w:type="dxa"/>
              <w:right w:w="100" w:type="dxa"/>
            </w:tcMar>
            <w:hideMark/>
          </w:tcPr>
          <w:p w14:paraId="3575521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Implement multilevel resilience interventions: individual resilience practices like stress management and organizational support such as health, digital upskilling and wellness programs.  </w:t>
            </w:r>
          </w:p>
          <w:p w14:paraId="70DA071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-Ensure long-term mental health support for teachers to prevent burnout and promote work-life balance.</w:t>
            </w:r>
          </w:p>
        </w:tc>
      </w:tr>
      <w:tr w:rsidR="00D260AC" w:rsidRPr="00623A39" w14:paraId="7F6E7C3A" w14:textId="77777777" w:rsidTr="00A94920">
        <w:trPr>
          <w:trHeight w:val="255"/>
        </w:trPr>
        <w:tc>
          <w:tcPr>
            <w:tcW w:w="420" w:type="dxa"/>
            <w:tcMar>
              <w:top w:w="0" w:type="dxa"/>
              <w:left w:w="100" w:type="dxa"/>
              <w:bottom w:w="0" w:type="dxa"/>
              <w:right w:w="100" w:type="dxa"/>
            </w:tcMar>
            <w:hideMark/>
          </w:tcPr>
          <w:p w14:paraId="3B655BB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26</w:t>
            </w:r>
          </w:p>
        </w:tc>
        <w:tc>
          <w:tcPr>
            <w:tcW w:w="930" w:type="dxa"/>
            <w:tcMar>
              <w:top w:w="0" w:type="dxa"/>
              <w:left w:w="100" w:type="dxa"/>
              <w:bottom w:w="0" w:type="dxa"/>
              <w:right w:w="100" w:type="dxa"/>
            </w:tcMar>
            <w:hideMark/>
          </w:tcPr>
          <w:p w14:paraId="3A7C3D0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Ouanes et al., 2021</w:t>
            </w:r>
          </w:p>
        </w:tc>
        <w:tc>
          <w:tcPr>
            <w:tcW w:w="2100" w:type="dxa"/>
            <w:tcMar>
              <w:top w:w="0" w:type="dxa"/>
              <w:left w:w="100" w:type="dxa"/>
              <w:bottom w:w="0" w:type="dxa"/>
              <w:right w:w="100" w:type="dxa"/>
            </w:tcMar>
            <w:hideMark/>
          </w:tcPr>
          <w:p w14:paraId="4B3EA65D"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3D810FA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 Suspension of community religious activities during the pandemic might have </w:t>
            </w:r>
            <w:bookmarkStart w:id="9" w:name="_Hlk181548654"/>
            <w:r w:rsidRPr="00623A39">
              <w:rPr>
                <w:rFonts w:ascii="Times New Roman" w:eastAsia="Calibri" w:hAnsi="Times New Roman" w:cs="Times New Roman"/>
                <w:sz w:val="18"/>
                <w:szCs w:val="18"/>
              </w:rPr>
              <w:t>deprived many elderly individuals of a coping mechanism they were used to.</w:t>
            </w:r>
            <w:bookmarkEnd w:id="9"/>
          </w:p>
        </w:tc>
        <w:tc>
          <w:tcPr>
            <w:tcW w:w="3345" w:type="dxa"/>
            <w:tcMar>
              <w:top w:w="0" w:type="dxa"/>
              <w:left w:w="100" w:type="dxa"/>
              <w:bottom w:w="0" w:type="dxa"/>
              <w:right w:w="100" w:type="dxa"/>
            </w:tcMar>
            <w:hideMark/>
          </w:tcPr>
          <w:p w14:paraId="1B437482"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 xml:space="preserve">The study had a small sample size influenced by sociodemographic factors and language barriers. The focus on a younger adult group under quarantine may have revealed specific nuances. Study did not involve non-Arabic speakers and may limit generalizability of findings. </w:t>
            </w:r>
          </w:p>
        </w:tc>
        <w:tc>
          <w:tcPr>
            <w:tcW w:w="4140" w:type="dxa"/>
            <w:tcMar>
              <w:top w:w="0" w:type="dxa"/>
              <w:left w:w="100" w:type="dxa"/>
              <w:bottom w:w="0" w:type="dxa"/>
              <w:right w:w="100" w:type="dxa"/>
            </w:tcMar>
            <w:hideMark/>
          </w:tcPr>
          <w:p w14:paraId="05D9611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Recommends resilience-building mental health interventions for quarantined elderly that incorporate culturally </w:t>
            </w:r>
            <w:bookmarkStart w:id="10" w:name="_Hlk181638731"/>
            <w:r w:rsidRPr="00623A39">
              <w:rPr>
                <w:rFonts w:ascii="Times New Roman" w:eastAsia="Calibri" w:hAnsi="Times New Roman" w:cs="Times New Roman"/>
                <w:sz w:val="18"/>
                <w:szCs w:val="18"/>
              </w:rPr>
              <w:t xml:space="preserve">relevant religious or spiritual coping </w:t>
            </w:r>
            <w:bookmarkEnd w:id="10"/>
            <w:r w:rsidRPr="00623A39">
              <w:rPr>
                <w:rFonts w:ascii="Times New Roman" w:eastAsia="Calibri" w:hAnsi="Times New Roman" w:cs="Times New Roman"/>
                <w:sz w:val="18"/>
                <w:szCs w:val="18"/>
              </w:rPr>
              <w:t xml:space="preserve">strategies to reduce stress </w:t>
            </w:r>
          </w:p>
        </w:tc>
      </w:tr>
      <w:tr w:rsidR="00D260AC" w:rsidRPr="00623A39" w14:paraId="04B980C5" w14:textId="77777777" w:rsidTr="00A94920">
        <w:trPr>
          <w:trHeight w:val="255"/>
        </w:trPr>
        <w:tc>
          <w:tcPr>
            <w:tcW w:w="420" w:type="dxa"/>
            <w:tcMar>
              <w:top w:w="0" w:type="dxa"/>
              <w:left w:w="100" w:type="dxa"/>
              <w:bottom w:w="0" w:type="dxa"/>
              <w:right w:w="100" w:type="dxa"/>
            </w:tcMar>
            <w:hideMark/>
          </w:tcPr>
          <w:p w14:paraId="4CA0CB3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27</w:t>
            </w:r>
          </w:p>
        </w:tc>
        <w:tc>
          <w:tcPr>
            <w:tcW w:w="930" w:type="dxa"/>
            <w:tcMar>
              <w:top w:w="0" w:type="dxa"/>
              <w:left w:w="100" w:type="dxa"/>
              <w:bottom w:w="0" w:type="dxa"/>
              <w:right w:w="100" w:type="dxa"/>
            </w:tcMar>
            <w:hideMark/>
          </w:tcPr>
          <w:p w14:paraId="4FA0A01F" w14:textId="77777777" w:rsidR="00D260AC" w:rsidRPr="00623A39" w:rsidRDefault="00D260AC" w:rsidP="00A94920">
            <w:pPr>
              <w:spacing w:after="0" w:line="240" w:lineRule="auto"/>
              <w:rPr>
                <w:rFonts w:ascii="Times New Roman" w:eastAsia="Calibri" w:hAnsi="Times New Roman" w:cs="Times New Roman"/>
                <w:sz w:val="18"/>
                <w:szCs w:val="18"/>
                <w:lang w:val="pt-BR"/>
              </w:rPr>
            </w:pPr>
            <w:r w:rsidRPr="00623A39">
              <w:rPr>
                <w:rFonts w:ascii="Times New Roman" w:eastAsia="Calibri" w:hAnsi="Times New Roman" w:cs="Times New Roman"/>
                <w:sz w:val="18"/>
                <w:szCs w:val="18"/>
                <w:lang w:val="pt-BR"/>
              </w:rPr>
              <w:t>de Gortari, A. B. O., 2023.</w:t>
            </w:r>
          </w:p>
        </w:tc>
        <w:tc>
          <w:tcPr>
            <w:tcW w:w="2100" w:type="dxa"/>
            <w:tcMar>
              <w:top w:w="0" w:type="dxa"/>
              <w:left w:w="100" w:type="dxa"/>
              <w:bottom w:w="0" w:type="dxa"/>
              <w:right w:w="100" w:type="dxa"/>
            </w:tcMar>
            <w:hideMark/>
          </w:tcPr>
          <w:p w14:paraId="602BA65E" w14:textId="77777777" w:rsidR="00D260AC" w:rsidRPr="00896467" w:rsidRDefault="00D260AC" w:rsidP="00A94920">
            <w:pPr>
              <w:spacing w:after="0" w:line="240" w:lineRule="auto"/>
              <w:rPr>
                <w:rFonts w:ascii="Times New Roman" w:eastAsia="Calibri" w:hAnsi="Times New Roman" w:cs="Times New Roman"/>
                <w:sz w:val="18"/>
                <w:szCs w:val="18"/>
                <w:lang w:val="pt-BR"/>
              </w:rPr>
            </w:pPr>
          </w:p>
        </w:tc>
        <w:tc>
          <w:tcPr>
            <w:tcW w:w="2700" w:type="dxa"/>
            <w:tcMar>
              <w:top w:w="0" w:type="dxa"/>
              <w:left w:w="100" w:type="dxa"/>
              <w:bottom w:w="0" w:type="dxa"/>
              <w:right w:w="100" w:type="dxa"/>
            </w:tcMar>
            <w:hideMark/>
          </w:tcPr>
          <w:p w14:paraId="059A4D9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Game Transfer Phenomena (GTP) can sometimes lead to heightened stress, especially in players with high GTP, who experience negative impacts on real-world perceptions</w:t>
            </w:r>
            <w:r w:rsidRPr="00623A39" w:rsidDel="00580FAA">
              <w:rPr>
                <w:rFonts w:ascii="Times New Roman" w:eastAsia="Calibri" w:hAnsi="Times New Roman" w:cs="Times New Roman"/>
                <w:sz w:val="18"/>
                <w:szCs w:val="18"/>
              </w:rPr>
              <w:t xml:space="preserve"> </w:t>
            </w:r>
          </w:p>
        </w:tc>
        <w:tc>
          <w:tcPr>
            <w:tcW w:w="3345" w:type="dxa"/>
            <w:tcMar>
              <w:top w:w="0" w:type="dxa"/>
              <w:left w:w="100" w:type="dxa"/>
              <w:bottom w:w="0" w:type="dxa"/>
              <w:right w:w="100" w:type="dxa"/>
            </w:tcMar>
            <w:hideMark/>
          </w:tcPr>
          <w:p w14:paraId="0B9EC9B0"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 xml:space="preserve">Reliance on a convenience sample, which introduces potential bias. Anxiety and stress levels among participants were unknown, complicating comparisons with other studies. The study was conducted using self-report measures, which may introduce bias, and the sample was primarily male </w:t>
            </w:r>
          </w:p>
        </w:tc>
        <w:tc>
          <w:tcPr>
            <w:tcW w:w="4140" w:type="dxa"/>
            <w:tcMar>
              <w:top w:w="0" w:type="dxa"/>
              <w:left w:w="100" w:type="dxa"/>
              <w:bottom w:w="0" w:type="dxa"/>
              <w:right w:w="100" w:type="dxa"/>
            </w:tcMar>
            <w:hideMark/>
          </w:tcPr>
          <w:p w14:paraId="65AC0AC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Develop digital platforms with interactive resilience-building activities and emotional regulation training, </w:t>
            </w:r>
            <w:bookmarkStart w:id="11" w:name="_Hlk181638886"/>
            <w:r w:rsidRPr="00623A39">
              <w:rPr>
                <w:rFonts w:ascii="Times New Roman" w:eastAsia="Calibri" w:hAnsi="Times New Roman" w:cs="Times New Roman"/>
                <w:sz w:val="18"/>
                <w:szCs w:val="18"/>
              </w:rPr>
              <w:t xml:space="preserve">and incorporate familiar tools like video games for effective stress relief </w:t>
            </w:r>
            <w:bookmarkEnd w:id="11"/>
            <w:r w:rsidRPr="00623A39">
              <w:rPr>
                <w:rFonts w:ascii="Times New Roman" w:eastAsia="Calibri" w:hAnsi="Times New Roman" w:cs="Times New Roman"/>
                <w:sz w:val="18"/>
                <w:szCs w:val="18"/>
              </w:rPr>
              <w:t>and resilience-building</w:t>
            </w:r>
          </w:p>
          <w:p w14:paraId="142643B8" w14:textId="77777777" w:rsidR="00D260AC" w:rsidRPr="00623A39" w:rsidRDefault="00D260AC" w:rsidP="00A94920">
            <w:pPr>
              <w:spacing w:after="0" w:line="240" w:lineRule="auto"/>
              <w:rPr>
                <w:rFonts w:ascii="Times New Roman" w:eastAsia="Calibri" w:hAnsi="Times New Roman" w:cs="Times New Roman"/>
                <w:sz w:val="18"/>
                <w:szCs w:val="18"/>
              </w:rPr>
            </w:pPr>
          </w:p>
          <w:p w14:paraId="1B00B201"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65D24900" w14:textId="77777777" w:rsidTr="00A94920">
        <w:trPr>
          <w:trHeight w:val="2550"/>
        </w:trPr>
        <w:tc>
          <w:tcPr>
            <w:tcW w:w="420" w:type="dxa"/>
            <w:tcMar>
              <w:top w:w="0" w:type="dxa"/>
              <w:left w:w="100" w:type="dxa"/>
              <w:bottom w:w="0" w:type="dxa"/>
              <w:right w:w="100" w:type="dxa"/>
            </w:tcMar>
            <w:hideMark/>
          </w:tcPr>
          <w:p w14:paraId="5B8DC61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28</w:t>
            </w:r>
          </w:p>
        </w:tc>
        <w:tc>
          <w:tcPr>
            <w:tcW w:w="930" w:type="dxa"/>
            <w:tcMar>
              <w:top w:w="0" w:type="dxa"/>
              <w:left w:w="100" w:type="dxa"/>
              <w:bottom w:w="0" w:type="dxa"/>
              <w:right w:w="100" w:type="dxa"/>
            </w:tcMar>
            <w:hideMark/>
          </w:tcPr>
          <w:p w14:paraId="68F4D62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Na et al., 2022</w:t>
            </w:r>
          </w:p>
        </w:tc>
        <w:tc>
          <w:tcPr>
            <w:tcW w:w="2100" w:type="dxa"/>
            <w:tcMar>
              <w:top w:w="0" w:type="dxa"/>
              <w:left w:w="100" w:type="dxa"/>
              <w:bottom w:w="0" w:type="dxa"/>
              <w:right w:w="100" w:type="dxa"/>
            </w:tcMar>
            <w:hideMark/>
          </w:tcPr>
          <w:p w14:paraId="13C8EE7D"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1E71F41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Social isolation due to COVID-19 intensified loneliness and hindered strategies. </w:t>
            </w:r>
          </w:p>
        </w:tc>
        <w:tc>
          <w:tcPr>
            <w:tcW w:w="3345" w:type="dxa"/>
            <w:tcMar>
              <w:top w:w="0" w:type="dxa"/>
              <w:left w:w="100" w:type="dxa"/>
              <w:bottom w:w="0" w:type="dxa"/>
              <w:right w:w="100" w:type="dxa"/>
            </w:tcMar>
            <w:hideMark/>
          </w:tcPr>
          <w:p w14:paraId="14AE2FE3"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Data was collected from an online sample, which has limitations due to fixed data collection strategies. Generalizability could improve with the inclusion of non-online individuals, though they may represent only a small portion of the population.</w:t>
            </w:r>
          </w:p>
        </w:tc>
        <w:tc>
          <w:tcPr>
            <w:tcW w:w="4140" w:type="dxa"/>
            <w:tcMar>
              <w:top w:w="0" w:type="dxa"/>
              <w:left w:w="100" w:type="dxa"/>
              <w:bottom w:w="0" w:type="dxa"/>
              <w:right w:w="100" w:type="dxa"/>
            </w:tcMar>
            <w:hideMark/>
          </w:tcPr>
          <w:p w14:paraId="796FD1E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Tailor mental health interventions by age, focusing on resilience in younger adults. </w:t>
            </w:r>
          </w:p>
          <w:p w14:paraId="51D4A53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long-term strategies with resilience training, relaxation coping, accessible mental health resources, and structured social support</w:t>
            </w:r>
          </w:p>
        </w:tc>
      </w:tr>
      <w:tr w:rsidR="00D260AC" w:rsidRPr="00623A39" w14:paraId="4C35FC0E" w14:textId="77777777" w:rsidTr="00A94920">
        <w:trPr>
          <w:trHeight w:val="255"/>
        </w:trPr>
        <w:tc>
          <w:tcPr>
            <w:tcW w:w="420" w:type="dxa"/>
            <w:tcMar>
              <w:top w:w="0" w:type="dxa"/>
              <w:left w:w="100" w:type="dxa"/>
              <w:bottom w:w="0" w:type="dxa"/>
              <w:right w:w="100" w:type="dxa"/>
            </w:tcMar>
            <w:hideMark/>
          </w:tcPr>
          <w:p w14:paraId="4F477D0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lastRenderedPageBreak/>
              <w:t>29</w:t>
            </w:r>
          </w:p>
        </w:tc>
        <w:tc>
          <w:tcPr>
            <w:tcW w:w="930" w:type="dxa"/>
            <w:tcMar>
              <w:top w:w="0" w:type="dxa"/>
              <w:left w:w="100" w:type="dxa"/>
              <w:bottom w:w="0" w:type="dxa"/>
              <w:right w:w="100" w:type="dxa"/>
            </w:tcMar>
            <w:hideMark/>
          </w:tcPr>
          <w:p w14:paraId="04949BA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Na &amp; Yang, 2022.</w:t>
            </w:r>
          </w:p>
        </w:tc>
        <w:tc>
          <w:tcPr>
            <w:tcW w:w="2100" w:type="dxa"/>
            <w:tcMar>
              <w:top w:w="0" w:type="dxa"/>
              <w:left w:w="100" w:type="dxa"/>
              <w:bottom w:w="0" w:type="dxa"/>
              <w:right w:w="100" w:type="dxa"/>
            </w:tcMar>
            <w:hideMark/>
          </w:tcPr>
          <w:p w14:paraId="5424709E"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15014F8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Heightened mental distress, reduced healthcare access, passive coping, and low resilience worsened pandemic challenges for individuals with disabilities</w:t>
            </w:r>
          </w:p>
        </w:tc>
        <w:tc>
          <w:tcPr>
            <w:tcW w:w="3345" w:type="dxa"/>
            <w:tcMar>
              <w:top w:w="0" w:type="dxa"/>
              <w:left w:w="100" w:type="dxa"/>
              <w:bottom w:w="0" w:type="dxa"/>
              <w:right w:w="100" w:type="dxa"/>
            </w:tcMar>
            <w:hideMark/>
          </w:tcPr>
          <w:p w14:paraId="6E5446EE"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study's analyses faced limitations due to missing data, including mortality rates and various dimensions of disabilities (ADL, sensory, intellectual). The results were based on a nationally representative online sample. Important disparities affecting morbidity and mortality among individuals with disabilities were not discussed in the study.</w:t>
            </w:r>
          </w:p>
        </w:tc>
        <w:tc>
          <w:tcPr>
            <w:tcW w:w="4140" w:type="dxa"/>
            <w:tcMar>
              <w:top w:w="0" w:type="dxa"/>
              <w:left w:w="100" w:type="dxa"/>
              <w:bottom w:w="0" w:type="dxa"/>
              <w:right w:w="100" w:type="dxa"/>
            </w:tcMar>
            <w:hideMark/>
          </w:tcPr>
          <w:p w14:paraId="3231F95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Enhance access to mental health services via telehealth, develop comprehensive resilience programs, and conduct research to tailor support for people with disabilities in future crises</w:t>
            </w:r>
          </w:p>
          <w:p w14:paraId="42377990" w14:textId="77777777" w:rsidR="00D260AC" w:rsidRPr="00623A39" w:rsidRDefault="00D260AC" w:rsidP="00A94920">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T</w:t>
            </w:r>
            <w:r w:rsidRPr="00623A39">
              <w:rPr>
                <w:rFonts w:ascii="Times New Roman" w:eastAsia="Calibri" w:hAnsi="Times New Roman" w:cs="Times New Roman"/>
                <w:sz w:val="18"/>
                <w:szCs w:val="18"/>
              </w:rPr>
              <w:t>ailored stress-coping education, resilience-focused interventions, long-term mental health policies, disability-inclusive responses, and prioritizing access to resources and support.</w:t>
            </w:r>
          </w:p>
          <w:p w14:paraId="653F65EC" w14:textId="77777777" w:rsidR="00D260AC" w:rsidRPr="00623A39" w:rsidRDefault="00D260AC" w:rsidP="00A94920">
            <w:pPr>
              <w:spacing w:after="0" w:line="240" w:lineRule="auto"/>
              <w:rPr>
                <w:rFonts w:ascii="Times New Roman" w:eastAsia="Calibri" w:hAnsi="Times New Roman" w:cs="Times New Roman"/>
                <w:sz w:val="18"/>
                <w:szCs w:val="18"/>
              </w:rPr>
            </w:pPr>
            <w:bookmarkStart w:id="12" w:name="_Hlk181639026"/>
            <w:r w:rsidRPr="00623A39">
              <w:rPr>
                <w:rFonts w:ascii="Times New Roman" w:eastAsia="Calibri" w:hAnsi="Times New Roman" w:cs="Times New Roman"/>
                <w:sz w:val="18"/>
                <w:szCs w:val="18"/>
              </w:rPr>
              <w:t>Emphasis on support for individuals living with disability as particularly important during public health crises like COVID-19.</w:t>
            </w:r>
            <w:bookmarkEnd w:id="12"/>
          </w:p>
        </w:tc>
      </w:tr>
      <w:tr w:rsidR="00D260AC" w:rsidRPr="00623A39" w14:paraId="679B41F3" w14:textId="77777777" w:rsidTr="00A94920">
        <w:trPr>
          <w:trHeight w:val="255"/>
        </w:trPr>
        <w:tc>
          <w:tcPr>
            <w:tcW w:w="420" w:type="dxa"/>
            <w:tcMar>
              <w:top w:w="0" w:type="dxa"/>
              <w:left w:w="100" w:type="dxa"/>
              <w:bottom w:w="0" w:type="dxa"/>
              <w:right w:w="100" w:type="dxa"/>
            </w:tcMar>
            <w:hideMark/>
          </w:tcPr>
          <w:p w14:paraId="4E137F7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30</w:t>
            </w:r>
          </w:p>
        </w:tc>
        <w:tc>
          <w:tcPr>
            <w:tcW w:w="930" w:type="dxa"/>
            <w:tcMar>
              <w:top w:w="0" w:type="dxa"/>
              <w:left w:w="100" w:type="dxa"/>
              <w:bottom w:w="0" w:type="dxa"/>
              <w:right w:w="100" w:type="dxa"/>
            </w:tcMar>
            <w:hideMark/>
          </w:tcPr>
          <w:p w14:paraId="5D0D3AD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Meynaar et al., 2021</w:t>
            </w:r>
          </w:p>
        </w:tc>
        <w:tc>
          <w:tcPr>
            <w:tcW w:w="2100" w:type="dxa"/>
            <w:tcMar>
              <w:top w:w="0" w:type="dxa"/>
              <w:left w:w="100" w:type="dxa"/>
              <w:bottom w:w="0" w:type="dxa"/>
              <w:right w:w="100" w:type="dxa"/>
            </w:tcMar>
            <w:hideMark/>
          </w:tcPr>
          <w:p w14:paraId="5F981330"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68250FA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ICU resources were stretched, and increased risk of moral distress, post-traumatic stress and burn out among healthcare professionals. </w:t>
            </w:r>
          </w:p>
          <w:p w14:paraId="70D62CC4"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3345" w:type="dxa"/>
            <w:tcMar>
              <w:top w:w="0" w:type="dxa"/>
              <w:left w:w="100" w:type="dxa"/>
              <w:bottom w:w="0" w:type="dxa"/>
              <w:right w:w="100" w:type="dxa"/>
            </w:tcMar>
            <w:hideMark/>
          </w:tcPr>
          <w:p w14:paraId="638056C2"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has limitations, including incomplete responses and potential selection bias. The timing of the study after the COVID-19 crisis in the Netherlands may affect the findings. The study does not account for changes in burnout, engagement, and resilience traits over time.</w:t>
            </w:r>
          </w:p>
        </w:tc>
        <w:tc>
          <w:tcPr>
            <w:tcW w:w="4140" w:type="dxa"/>
            <w:tcMar>
              <w:top w:w="0" w:type="dxa"/>
              <w:left w:w="100" w:type="dxa"/>
              <w:bottom w:w="0" w:type="dxa"/>
              <w:right w:w="100" w:type="dxa"/>
            </w:tcMar>
            <w:hideMark/>
          </w:tcPr>
          <w:p w14:paraId="4D8D3E8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Establish support systems in ICUs/workplaces, promote teamwork, and ensure clear communication to build resilience in frontline health workers</w:t>
            </w:r>
          </w:p>
          <w:p w14:paraId="3EA5542E"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4638BE96" w14:textId="77777777" w:rsidTr="00A94920">
        <w:trPr>
          <w:trHeight w:val="255"/>
        </w:trPr>
        <w:tc>
          <w:tcPr>
            <w:tcW w:w="420" w:type="dxa"/>
            <w:tcMar>
              <w:top w:w="0" w:type="dxa"/>
              <w:left w:w="100" w:type="dxa"/>
              <w:bottom w:w="0" w:type="dxa"/>
              <w:right w:w="100" w:type="dxa"/>
            </w:tcMar>
            <w:hideMark/>
          </w:tcPr>
          <w:p w14:paraId="4A3DEDE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31</w:t>
            </w:r>
          </w:p>
        </w:tc>
        <w:tc>
          <w:tcPr>
            <w:tcW w:w="930" w:type="dxa"/>
            <w:tcMar>
              <w:top w:w="0" w:type="dxa"/>
              <w:left w:w="100" w:type="dxa"/>
              <w:bottom w:w="0" w:type="dxa"/>
              <w:right w:w="100" w:type="dxa"/>
            </w:tcMar>
            <w:hideMark/>
          </w:tcPr>
          <w:p w14:paraId="44DD977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Meyer et al., 2022</w:t>
            </w:r>
          </w:p>
        </w:tc>
        <w:tc>
          <w:tcPr>
            <w:tcW w:w="2100" w:type="dxa"/>
            <w:tcMar>
              <w:top w:w="0" w:type="dxa"/>
              <w:left w:w="100" w:type="dxa"/>
              <w:bottom w:w="0" w:type="dxa"/>
              <w:right w:w="100" w:type="dxa"/>
            </w:tcMar>
            <w:hideMark/>
          </w:tcPr>
          <w:p w14:paraId="04082EBC"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48F5A3D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digital literacy disparities. This difference in digital skills particularly affected vulnerable populations, making it harder for them to access and benefit from online mental health interventions during the pandemic​.</w:t>
            </w:r>
          </w:p>
        </w:tc>
        <w:tc>
          <w:tcPr>
            <w:tcW w:w="3345" w:type="dxa"/>
            <w:tcMar>
              <w:top w:w="0" w:type="dxa"/>
              <w:left w:w="100" w:type="dxa"/>
              <w:bottom w:w="0" w:type="dxa"/>
              <w:right w:w="100" w:type="dxa"/>
            </w:tcMar>
            <w:hideMark/>
          </w:tcPr>
          <w:p w14:paraId="129C064B"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was cross-sectional, therefore limiting its ability to establish causal relationships. It utilized an unvalidated COVID-specific measure for adaptive coping. The lack of established validity raises concerns about the reliability of the findings.</w:t>
            </w:r>
          </w:p>
        </w:tc>
        <w:tc>
          <w:tcPr>
            <w:tcW w:w="4140" w:type="dxa"/>
            <w:tcMar>
              <w:top w:w="0" w:type="dxa"/>
              <w:left w:w="100" w:type="dxa"/>
              <w:bottom w:w="0" w:type="dxa"/>
              <w:right w:w="100" w:type="dxa"/>
            </w:tcMar>
            <w:hideMark/>
          </w:tcPr>
          <w:p w14:paraId="06AA16C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adaptive coping strategies, tailored approaches, and public health messaging that emphasizes gratitude and self-care to support mental health.</w:t>
            </w:r>
          </w:p>
        </w:tc>
      </w:tr>
      <w:tr w:rsidR="00D260AC" w:rsidRPr="00623A39" w14:paraId="1F5F694A" w14:textId="77777777" w:rsidTr="00A94920">
        <w:trPr>
          <w:trHeight w:val="255"/>
        </w:trPr>
        <w:tc>
          <w:tcPr>
            <w:tcW w:w="420" w:type="dxa"/>
            <w:tcMar>
              <w:top w:w="0" w:type="dxa"/>
              <w:left w:w="100" w:type="dxa"/>
              <w:bottom w:w="0" w:type="dxa"/>
              <w:right w:w="100" w:type="dxa"/>
            </w:tcMar>
            <w:hideMark/>
          </w:tcPr>
          <w:p w14:paraId="09F468B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32</w:t>
            </w:r>
          </w:p>
        </w:tc>
        <w:tc>
          <w:tcPr>
            <w:tcW w:w="930" w:type="dxa"/>
            <w:tcMar>
              <w:top w:w="0" w:type="dxa"/>
              <w:left w:w="100" w:type="dxa"/>
              <w:bottom w:w="0" w:type="dxa"/>
              <w:right w:w="100" w:type="dxa"/>
            </w:tcMar>
            <w:hideMark/>
          </w:tcPr>
          <w:p w14:paraId="006227B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Martin et al., 2021</w:t>
            </w:r>
          </w:p>
        </w:tc>
        <w:tc>
          <w:tcPr>
            <w:tcW w:w="2100" w:type="dxa"/>
            <w:tcMar>
              <w:top w:w="0" w:type="dxa"/>
              <w:left w:w="100" w:type="dxa"/>
              <w:bottom w:w="0" w:type="dxa"/>
              <w:right w:w="100" w:type="dxa"/>
            </w:tcMar>
            <w:hideMark/>
          </w:tcPr>
          <w:p w14:paraId="509AA59E"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57D08E3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Access to social support was minimized, likely exaggerating lockdown’s impact. </w:t>
            </w:r>
          </w:p>
        </w:tc>
        <w:tc>
          <w:tcPr>
            <w:tcW w:w="3345" w:type="dxa"/>
            <w:tcMar>
              <w:top w:w="0" w:type="dxa"/>
              <w:left w:w="100" w:type="dxa"/>
              <w:bottom w:w="0" w:type="dxa"/>
              <w:right w:w="100" w:type="dxa"/>
            </w:tcMar>
            <w:hideMark/>
          </w:tcPr>
          <w:p w14:paraId="76EBD653"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Findings may not reflect the immediate impact of COVID-19 with reliance on self-reported retrospective answers potentially leading to information recall bias. The study's predominant ethnicity is Caucasian, potentially misrepresenting the overall population.</w:t>
            </w:r>
          </w:p>
        </w:tc>
        <w:tc>
          <w:tcPr>
            <w:tcW w:w="4140" w:type="dxa"/>
            <w:tcMar>
              <w:top w:w="0" w:type="dxa"/>
              <w:left w:w="100" w:type="dxa"/>
              <w:bottom w:w="0" w:type="dxa"/>
              <w:right w:w="100" w:type="dxa"/>
            </w:tcMar>
            <w:hideMark/>
          </w:tcPr>
          <w:p w14:paraId="508A16E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Promote exercise through media and health campaigns to support resilience and mental health </w:t>
            </w:r>
          </w:p>
          <w:p w14:paraId="5C9D735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 </w:t>
            </w:r>
          </w:p>
        </w:tc>
      </w:tr>
      <w:tr w:rsidR="00D260AC" w:rsidRPr="00623A39" w14:paraId="5273AB7A" w14:textId="77777777" w:rsidTr="00A94920">
        <w:trPr>
          <w:trHeight w:val="255"/>
        </w:trPr>
        <w:tc>
          <w:tcPr>
            <w:tcW w:w="420" w:type="dxa"/>
            <w:tcMar>
              <w:top w:w="0" w:type="dxa"/>
              <w:left w:w="100" w:type="dxa"/>
              <w:bottom w:w="0" w:type="dxa"/>
              <w:right w:w="100" w:type="dxa"/>
            </w:tcMar>
            <w:hideMark/>
          </w:tcPr>
          <w:p w14:paraId="2A56FFB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33</w:t>
            </w:r>
          </w:p>
        </w:tc>
        <w:tc>
          <w:tcPr>
            <w:tcW w:w="930" w:type="dxa"/>
            <w:tcMar>
              <w:top w:w="0" w:type="dxa"/>
              <w:left w:w="100" w:type="dxa"/>
              <w:bottom w:w="0" w:type="dxa"/>
              <w:right w:w="100" w:type="dxa"/>
            </w:tcMar>
            <w:hideMark/>
          </w:tcPr>
          <w:p w14:paraId="669C11E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Manuti et al., 2022</w:t>
            </w:r>
          </w:p>
        </w:tc>
        <w:tc>
          <w:tcPr>
            <w:tcW w:w="2100" w:type="dxa"/>
            <w:tcMar>
              <w:top w:w="0" w:type="dxa"/>
              <w:left w:w="100" w:type="dxa"/>
              <w:bottom w:w="0" w:type="dxa"/>
              <w:right w:w="100" w:type="dxa"/>
            </w:tcMar>
            <w:hideMark/>
          </w:tcPr>
          <w:p w14:paraId="0C679447" w14:textId="77777777" w:rsidR="00D260AC" w:rsidRPr="00623A39" w:rsidRDefault="00D260AC" w:rsidP="00A94920">
            <w:pPr>
              <w:spacing w:after="0" w:line="240" w:lineRule="auto"/>
              <w:rPr>
                <w:rFonts w:ascii="Times New Roman" w:eastAsia="Calibri" w:hAnsi="Times New Roman" w:cs="Times New Roman"/>
                <w:sz w:val="18"/>
                <w:szCs w:val="18"/>
              </w:rPr>
            </w:pPr>
          </w:p>
          <w:p w14:paraId="7CB0149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 </w:t>
            </w:r>
          </w:p>
        </w:tc>
        <w:tc>
          <w:tcPr>
            <w:tcW w:w="2700" w:type="dxa"/>
            <w:tcMar>
              <w:top w:w="0" w:type="dxa"/>
              <w:left w:w="100" w:type="dxa"/>
              <w:bottom w:w="0" w:type="dxa"/>
              <w:right w:w="100" w:type="dxa"/>
            </w:tcMar>
            <w:hideMark/>
          </w:tcPr>
          <w:p w14:paraId="0A13234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Rapid shift to online teaching led to significant work-family conflicts, with a struggle to maintain boundaries. </w:t>
            </w:r>
          </w:p>
        </w:tc>
        <w:tc>
          <w:tcPr>
            <w:tcW w:w="3345" w:type="dxa"/>
            <w:tcMar>
              <w:top w:w="0" w:type="dxa"/>
              <w:left w:w="100" w:type="dxa"/>
              <w:bottom w:w="0" w:type="dxa"/>
              <w:right w:w="100" w:type="dxa"/>
            </w:tcMar>
            <w:hideMark/>
          </w:tcPr>
          <w:p w14:paraId="1B3C16DC"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has limitations due to its cross-sectional nature, which prevents establishing causality. It utilized convenience sampling, potentially introducing bias. Self-report measures may not accurately reflect teachers' perceptions during the emergency. The use of online questionnaires may lead to inaccuracies in measuring the constructs involved.</w:t>
            </w:r>
          </w:p>
        </w:tc>
        <w:tc>
          <w:tcPr>
            <w:tcW w:w="4140" w:type="dxa"/>
            <w:tcMar>
              <w:top w:w="0" w:type="dxa"/>
              <w:left w:w="100" w:type="dxa"/>
              <w:bottom w:w="0" w:type="dxa"/>
              <w:right w:w="100" w:type="dxa"/>
            </w:tcMar>
            <w:hideMark/>
          </w:tcPr>
          <w:p w14:paraId="6B45A9C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training to boost resilience and self-efficacy in teachers, encourage autonomy-supportive leadership, and conduct research on the long-term impact of job demands on teachers’ well-being and resilience across education levels.</w:t>
            </w:r>
          </w:p>
          <w:p w14:paraId="6A8EDF14" w14:textId="77777777" w:rsidR="00D260AC" w:rsidRPr="00623A39" w:rsidRDefault="00D260AC" w:rsidP="00A94920">
            <w:pPr>
              <w:spacing w:after="0" w:line="240" w:lineRule="auto"/>
              <w:rPr>
                <w:rFonts w:ascii="Times New Roman" w:eastAsia="Calibri" w:hAnsi="Times New Roman" w:cs="Times New Roman"/>
                <w:sz w:val="18"/>
                <w:szCs w:val="18"/>
              </w:rPr>
            </w:pPr>
          </w:p>
          <w:p w14:paraId="0610ED7E"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6E9F9B04" w14:textId="77777777" w:rsidTr="00A94920">
        <w:trPr>
          <w:trHeight w:val="255"/>
        </w:trPr>
        <w:tc>
          <w:tcPr>
            <w:tcW w:w="420" w:type="dxa"/>
            <w:tcMar>
              <w:top w:w="0" w:type="dxa"/>
              <w:left w:w="100" w:type="dxa"/>
              <w:bottom w:w="0" w:type="dxa"/>
              <w:right w:w="100" w:type="dxa"/>
            </w:tcMar>
            <w:hideMark/>
          </w:tcPr>
          <w:p w14:paraId="3A8643B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lastRenderedPageBreak/>
              <w:t>34</w:t>
            </w:r>
          </w:p>
        </w:tc>
        <w:tc>
          <w:tcPr>
            <w:tcW w:w="930" w:type="dxa"/>
            <w:tcMar>
              <w:top w:w="0" w:type="dxa"/>
              <w:left w:w="100" w:type="dxa"/>
              <w:bottom w:w="0" w:type="dxa"/>
              <w:right w:w="100" w:type="dxa"/>
            </w:tcMar>
            <w:hideMark/>
          </w:tcPr>
          <w:p w14:paraId="4BE04F2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Lo et al., 2023</w:t>
            </w:r>
          </w:p>
        </w:tc>
        <w:tc>
          <w:tcPr>
            <w:tcW w:w="2100" w:type="dxa"/>
            <w:tcMar>
              <w:top w:w="0" w:type="dxa"/>
              <w:left w:w="100" w:type="dxa"/>
              <w:bottom w:w="0" w:type="dxa"/>
              <w:right w:w="100" w:type="dxa"/>
            </w:tcMar>
            <w:hideMark/>
          </w:tcPr>
          <w:p w14:paraId="774A0B58"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6EA2304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Persistent negative thoughts, loneliness, ineffective coping strategies, and low resilience increased depression and hindered adaptation during the pandemic</w:t>
            </w:r>
          </w:p>
        </w:tc>
        <w:tc>
          <w:tcPr>
            <w:tcW w:w="3345" w:type="dxa"/>
            <w:tcMar>
              <w:top w:w="0" w:type="dxa"/>
              <w:left w:w="100" w:type="dxa"/>
              <w:bottom w:w="0" w:type="dxa"/>
              <w:right w:w="100" w:type="dxa"/>
            </w:tcMar>
            <w:hideMark/>
          </w:tcPr>
          <w:p w14:paraId="5F239AD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Cross-sectional design precluded establishing causality among variables</w:t>
            </w:r>
          </w:p>
          <w:p w14:paraId="73F9069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Findings may not be generalizable to entire Hong Kong population due to online data collection.</w:t>
            </w:r>
          </w:p>
        </w:tc>
        <w:tc>
          <w:tcPr>
            <w:tcW w:w="4140" w:type="dxa"/>
            <w:tcMar>
              <w:top w:w="0" w:type="dxa"/>
              <w:left w:w="100" w:type="dxa"/>
              <w:bottom w:w="0" w:type="dxa"/>
              <w:right w:w="100" w:type="dxa"/>
            </w:tcMar>
            <w:hideMark/>
          </w:tcPr>
          <w:p w14:paraId="337EEE2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Increase accessibility to mental health support via telemedicine and self-help resources, emphasize resilience training and community engagement, and promote emotion-focused coping techniques for future crises</w:t>
            </w:r>
          </w:p>
          <w:p w14:paraId="27832E9A"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46F0B62B" w14:textId="77777777" w:rsidTr="00A94920">
        <w:trPr>
          <w:trHeight w:val="255"/>
        </w:trPr>
        <w:tc>
          <w:tcPr>
            <w:tcW w:w="420" w:type="dxa"/>
            <w:tcMar>
              <w:top w:w="0" w:type="dxa"/>
              <w:left w:w="100" w:type="dxa"/>
              <w:bottom w:w="0" w:type="dxa"/>
              <w:right w:w="100" w:type="dxa"/>
            </w:tcMar>
            <w:hideMark/>
          </w:tcPr>
          <w:p w14:paraId="7C0AD6D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35</w:t>
            </w:r>
          </w:p>
        </w:tc>
        <w:tc>
          <w:tcPr>
            <w:tcW w:w="930" w:type="dxa"/>
            <w:tcMar>
              <w:top w:w="0" w:type="dxa"/>
              <w:left w:w="100" w:type="dxa"/>
              <w:bottom w:w="0" w:type="dxa"/>
              <w:right w:w="100" w:type="dxa"/>
            </w:tcMar>
            <w:hideMark/>
          </w:tcPr>
          <w:p w14:paraId="46E0258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Liu et al., 2023</w:t>
            </w:r>
          </w:p>
        </w:tc>
        <w:tc>
          <w:tcPr>
            <w:tcW w:w="2100" w:type="dxa"/>
            <w:tcMar>
              <w:top w:w="0" w:type="dxa"/>
              <w:left w:w="100" w:type="dxa"/>
              <w:bottom w:w="0" w:type="dxa"/>
              <w:right w:w="100" w:type="dxa"/>
            </w:tcMar>
            <w:hideMark/>
          </w:tcPr>
          <w:p w14:paraId="200DAEC0"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47F5C06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High-risk exposure, isolation, rumination, and low resilience led to fear, anxiety, and trauma symptoms among nurses treating COVID-19 patients</w:t>
            </w:r>
          </w:p>
        </w:tc>
        <w:tc>
          <w:tcPr>
            <w:tcW w:w="3345" w:type="dxa"/>
            <w:tcMar>
              <w:top w:w="0" w:type="dxa"/>
              <w:left w:w="100" w:type="dxa"/>
              <w:bottom w:w="0" w:type="dxa"/>
              <w:right w:w="100" w:type="dxa"/>
            </w:tcMar>
            <w:hideMark/>
          </w:tcPr>
          <w:p w14:paraId="39E25821"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cross-sectional design prevents longitudinal understanding. The online survey may not capture all elements of nurses' experiences accurately</w:t>
            </w:r>
          </w:p>
        </w:tc>
        <w:tc>
          <w:tcPr>
            <w:tcW w:w="4140" w:type="dxa"/>
            <w:tcMar>
              <w:top w:w="0" w:type="dxa"/>
              <w:left w:w="100" w:type="dxa"/>
              <w:bottom w:w="0" w:type="dxa"/>
              <w:right w:w="100" w:type="dxa"/>
            </w:tcMar>
            <w:hideMark/>
          </w:tcPr>
          <w:p w14:paraId="3B5BAC6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Targeted training and education can significantly enhance the psychological resilience of nurses.</w:t>
            </w:r>
          </w:p>
        </w:tc>
      </w:tr>
      <w:tr w:rsidR="00D260AC" w:rsidRPr="00623A39" w14:paraId="2DB37670" w14:textId="77777777" w:rsidTr="00A94920">
        <w:trPr>
          <w:trHeight w:val="255"/>
        </w:trPr>
        <w:tc>
          <w:tcPr>
            <w:tcW w:w="420" w:type="dxa"/>
            <w:tcMar>
              <w:top w:w="0" w:type="dxa"/>
              <w:left w:w="100" w:type="dxa"/>
              <w:bottom w:w="0" w:type="dxa"/>
              <w:right w:w="100" w:type="dxa"/>
            </w:tcMar>
            <w:hideMark/>
          </w:tcPr>
          <w:p w14:paraId="1B895A8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36</w:t>
            </w:r>
          </w:p>
        </w:tc>
        <w:tc>
          <w:tcPr>
            <w:tcW w:w="930" w:type="dxa"/>
            <w:tcMar>
              <w:top w:w="0" w:type="dxa"/>
              <w:left w:w="100" w:type="dxa"/>
              <w:bottom w:w="0" w:type="dxa"/>
              <w:right w:w="100" w:type="dxa"/>
            </w:tcMar>
            <w:hideMark/>
          </w:tcPr>
          <w:p w14:paraId="7F639F4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Lim et al., 2021</w:t>
            </w:r>
          </w:p>
        </w:tc>
        <w:tc>
          <w:tcPr>
            <w:tcW w:w="2100" w:type="dxa"/>
            <w:tcMar>
              <w:top w:w="0" w:type="dxa"/>
              <w:left w:w="100" w:type="dxa"/>
              <w:bottom w:w="0" w:type="dxa"/>
              <w:right w:w="100" w:type="dxa"/>
            </w:tcMar>
            <w:hideMark/>
          </w:tcPr>
          <w:p w14:paraId="2BE22848"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1E3022B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Increased burnout, career concerns, loss of control, and need for resilience support strained oncology professionals during the pandemic.</w:t>
            </w:r>
          </w:p>
        </w:tc>
        <w:tc>
          <w:tcPr>
            <w:tcW w:w="3345" w:type="dxa"/>
            <w:tcMar>
              <w:top w:w="0" w:type="dxa"/>
              <w:left w:w="100" w:type="dxa"/>
              <w:bottom w:w="0" w:type="dxa"/>
              <w:right w:w="100" w:type="dxa"/>
            </w:tcMar>
            <w:hideMark/>
          </w:tcPr>
          <w:p w14:paraId="37B03759"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small sample size of the survey limits the ability to generalize findings. The cross-sectional design restricts the capacity to differentiate between regions free of COVID-19 and those with higher prevalence rates.</w:t>
            </w:r>
          </w:p>
        </w:tc>
        <w:tc>
          <w:tcPr>
            <w:tcW w:w="4140" w:type="dxa"/>
            <w:tcMar>
              <w:top w:w="0" w:type="dxa"/>
              <w:left w:w="100" w:type="dxa"/>
              <w:bottom w:w="0" w:type="dxa"/>
              <w:right w:w="100" w:type="dxa"/>
            </w:tcMar>
            <w:hideMark/>
          </w:tcPr>
          <w:p w14:paraId="7E4810A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Increasing access to counseling, support networks, and building personal traits like  mindfulness and meditation.</w:t>
            </w:r>
          </w:p>
        </w:tc>
      </w:tr>
      <w:tr w:rsidR="00D260AC" w:rsidRPr="00623A39" w14:paraId="66E3837D" w14:textId="77777777" w:rsidTr="00A94920">
        <w:trPr>
          <w:trHeight w:val="255"/>
        </w:trPr>
        <w:tc>
          <w:tcPr>
            <w:tcW w:w="420" w:type="dxa"/>
            <w:tcMar>
              <w:top w:w="0" w:type="dxa"/>
              <w:left w:w="100" w:type="dxa"/>
              <w:bottom w:w="0" w:type="dxa"/>
              <w:right w:w="100" w:type="dxa"/>
            </w:tcMar>
            <w:hideMark/>
          </w:tcPr>
          <w:p w14:paraId="58D3812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37</w:t>
            </w:r>
          </w:p>
        </w:tc>
        <w:tc>
          <w:tcPr>
            <w:tcW w:w="930" w:type="dxa"/>
            <w:tcMar>
              <w:top w:w="0" w:type="dxa"/>
              <w:left w:w="100" w:type="dxa"/>
              <w:bottom w:w="0" w:type="dxa"/>
              <w:right w:w="100" w:type="dxa"/>
            </w:tcMar>
            <w:hideMark/>
          </w:tcPr>
          <w:p w14:paraId="450D8BA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Letcher et al., 2023</w:t>
            </w:r>
          </w:p>
        </w:tc>
        <w:tc>
          <w:tcPr>
            <w:tcW w:w="2100" w:type="dxa"/>
            <w:tcMar>
              <w:top w:w="0" w:type="dxa"/>
              <w:left w:w="100" w:type="dxa"/>
              <w:bottom w:w="0" w:type="dxa"/>
              <w:right w:w="100" w:type="dxa"/>
            </w:tcMar>
            <w:hideMark/>
          </w:tcPr>
          <w:p w14:paraId="33B470FF"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C5FB7D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Mothers with mental health challenges faced higher stress from caregiving responsibilities during the pandemic. </w:t>
            </w:r>
          </w:p>
        </w:tc>
        <w:tc>
          <w:tcPr>
            <w:tcW w:w="3345" w:type="dxa"/>
            <w:tcMar>
              <w:top w:w="0" w:type="dxa"/>
              <w:left w:w="100" w:type="dxa"/>
              <w:bottom w:w="0" w:type="dxa"/>
              <w:right w:w="100" w:type="dxa"/>
            </w:tcMar>
            <w:hideMark/>
          </w:tcPr>
          <w:p w14:paraId="6F1D48D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The study involved Australian parents aged 37-39 with children aged 1-10, which may limit generalizability due to selective attrition issues.</w:t>
            </w:r>
          </w:p>
        </w:tc>
        <w:tc>
          <w:tcPr>
            <w:tcW w:w="4140" w:type="dxa"/>
            <w:tcMar>
              <w:top w:w="0" w:type="dxa"/>
              <w:left w:w="100" w:type="dxa"/>
              <w:bottom w:w="0" w:type="dxa"/>
              <w:right w:w="100" w:type="dxa"/>
            </w:tcMar>
            <w:hideMark/>
          </w:tcPr>
          <w:p w14:paraId="51812D3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Invest in long-term mental health programs to support emotional resilience, establish mobilizable community support systems, and implement educational programs on emotional regulation and optimism to build lifelong resilience.</w:t>
            </w:r>
          </w:p>
          <w:p w14:paraId="63B146D0" w14:textId="77777777" w:rsidR="00D260AC" w:rsidRPr="00623A39" w:rsidRDefault="00D260AC" w:rsidP="00A94920">
            <w:pPr>
              <w:spacing w:after="0" w:line="240" w:lineRule="auto"/>
              <w:rPr>
                <w:rFonts w:ascii="Times New Roman" w:eastAsia="Calibri" w:hAnsi="Times New Roman" w:cs="Times New Roman"/>
                <w:sz w:val="18"/>
                <w:szCs w:val="18"/>
              </w:rPr>
            </w:pPr>
          </w:p>
          <w:p w14:paraId="22F6889C"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2DEE30CA" w14:textId="77777777" w:rsidTr="00A94920">
        <w:trPr>
          <w:trHeight w:val="255"/>
        </w:trPr>
        <w:tc>
          <w:tcPr>
            <w:tcW w:w="420" w:type="dxa"/>
            <w:tcMar>
              <w:top w:w="0" w:type="dxa"/>
              <w:left w:w="100" w:type="dxa"/>
              <w:bottom w:w="0" w:type="dxa"/>
              <w:right w:w="100" w:type="dxa"/>
            </w:tcMar>
            <w:hideMark/>
          </w:tcPr>
          <w:p w14:paraId="413842C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38</w:t>
            </w:r>
          </w:p>
        </w:tc>
        <w:tc>
          <w:tcPr>
            <w:tcW w:w="930" w:type="dxa"/>
            <w:tcMar>
              <w:top w:w="0" w:type="dxa"/>
              <w:left w:w="100" w:type="dxa"/>
              <w:bottom w:w="0" w:type="dxa"/>
              <w:right w:w="100" w:type="dxa"/>
            </w:tcMar>
            <w:hideMark/>
          </w:tcPr>
          <w:p w14:paraId="26679DF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Lassri, 2023.</w:t>
            </w:r>
          </w:p>
        </w:tc>
        <w:tc>
          <w:tcPr>
            <w:tcW w:w="2100" w:type="dxa"/>
            <w:tcMar>
              <w:top w:w="0" w:type="dxa"/>
              <w:left w:w="100" w:type="dxa"/>
              <w:bottom w:w="0" w:type="dxa"/>
              <w:right w:w="100" w:type="dxa"/>
            </w:tcMar>
            <w:hideMark/>
          </w:tcPr>
          <w:p w14:paraId="70250C36"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585265E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-Staffing shortages and stigma further complicate the situation.</w:t>
            </w:r>
          </w:p>
          <w:p w14:paraId="6C1B691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w:t>
            </w:r>
            <w:r>
              <w:rPr>
                <w:rFonts w:ascii="Times New Roman" w:eastAsia="Calibri" w:hAnsi="Times New Roman" w:cs="Times New Roman"/>
                <w:sz w:val="18"/>
                <w:szCs w:val="18"/>
              </w:rPr>
              <w:t xml:space="preserve"> R</w:t>
            </w:r>
            <w:r w:rsidRPr="00623A39">
              <w:rPr>
                <w:rFonts w:ascii="Times New Roman" w:eastAsia="Calibri" w:hAnsi="Times New Roman" w:cs="Times New Roman"/>
                <w:sz w:val="18"/>
                <w:szCs w:val="18"/>
              </w:rPr>
              <w:t xml:space="preserve">apid transition to online teaching added to teacher’s workload and challenged their ability to balance personal and professional lives. </w:t>
            </w:r>
          </w:p>
        </w:tc>
        <w:tc>
          <w:tcPr>
            <w:tcW w:w="3345" w:type="dxa"/>
            <w:tcMar>
              <w:top w:w="0" w:type="dxa"/>
              <w:left w:w="100" w:type="dxa"/>
              <w:bottom w:w="0" w:type="dxa"/>
              <w:right w:w="100" w:type="dxa"/>
            </w:tcMar>
            <w:hideMark/>
          </w:tcPr>
          <w:p w14:paraId="729B76F6"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study's sample size, self-reported measures and reliance on convenience sampling may limit generalizability of findings</w:t>
            </w:r>
          </w:p>
        </w:tc>
        <w:tc>
          <w:tcPr>
            <w:tcW w:w="4140" w:type="dxa"/>
            <w:tcMar>
              <w:top w:w="0" w:type="dxa"/>
              <w:left w:w="100" w:type="dxa"/>
              <w:bottom w:w="0" w:type="dxa"/>
              <w:right w:w="100" w:type="dxa"/>
            </w:tcMar>
            <w:hideMark/>
          </w:tcPr>
          <w:p w14:paraId="512FB2E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resilience-focused professional development with mental health support and trauma-informed training, and enhance supportive leadership in schools to foster a resilient work environment and improve teachers' well-being</w:t>
            </w:r>
            <w:r>
              <w:rPr>
                <w:rFonts w:ascii="Times New Roman" w:eastAsia="Calibri" w:hAnsi="Times New Roman" w:cs="Times New Roman"/>
                <w:sz w:val="18"/>
                <w:szCs w:val="18"/>
              </w:rPr>
              <w:t>.</w:t>
            </w:r>
          </w:p>
        </w:tc>
      </w:tr>
      <w:tr w:rsidR="00D260AC" w:rsidRPr="00623A39" w14:paraId="4155D99E" w14:textId="77777777" w:rsidTr="00A94920">
        <w:trPr>
          <w:trHeight w:val="255"/>
        </w:trPr>
        <w:tc>
          <w:tcPr>
            <w:tcW w:w="420" w:type="dxa"/>
            <w:tcMar>
              <w:top w:w="0" w:type="dxa"/>
              <w:left w:w="100" w:type="dxa"/>
              <w:bottom w:w="0" w:type="dxa"/>
              <w:right w:w="100" w:type="dxa"/>
            </w:tcMar>
            <w:hideMark/>
          </w:tcPr>
          <w:p w14:paraId="25D2811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39</w:t>
            </w:r>
          </w:p>
        </w:tc>
        <w:tc>
          <w:tcPr>
            <w:tcW w:w="930" w:type="dxa"/>
            <w:tcMar>
              <w:top w:w="0" w:type="dxa"/>
              <w:left w:w="100" w:type="dxa"/>
              <w:bottom w:w="0" w:type="dxa"/>
              <w:right w:w="100" w:type="dxa"/>
            </w:tcMar>
            <w:hideMark/>
          </w:tcPr>
          <w:p w14:paraId="17AE07D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Kural &amp; Kovacs, 2021.</w:t>
            </w:r>
          </w:p>
        </w:tc>
        <w:tc>
          <w:tcPr>
            <w:tcW w:w="2100" w:type="dxa"/>
            <w:tcMar>
              <w:top w:w="0" w:type="dxa"/>
              <w:left w:w="100" w:type="dxa"/>
              <w:bottom w:w="0" w:type="dxa"/>
              <w:right w:w="100" w:type="dxa"/>
            </w:tcMar>
            <w:hideMark/>
          </w:tcPr>
          <w:p w14:paraId="0A6EE84C"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5BD2596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High attachment anxiety, dependency, low resilience, and need for coping support increased psychological vulnerability during the pandemic.</w:t>
            </w:r>
          </w:p>
        </w:tc>
        <w:tc>
          <w:tcPr>
            <w:tcW w:w="3345" w:type="dxa"/>
            <w:tcMar>
              <w:top w:w="0" w:type="dxa"/>
              <w:left w:w="100" w:type="dxa"/>
              <w:bottom w:w="0" w:type="dxa"/>
              <w:right w:w="100" w:type="dxa"/>
            </w:tcMar>
            <w:hideMark/>
          </w:tcPr>
          <w:p w14:paraId="2FBC2A7E"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study’s non-WEIRD (Western, Educated, Industrialized, Rich, Democratic) sample limits generalizability to other populations. It employs a cross-sectional design and is gender-specific.</w:t>
            </w:r>
          </w:p>
        </w:tc>
        <w:tc>
          <w:tcPr>
            <w:tcW w:w="4140" w:type="dxa"/>
            <w:tcMar>
              <w:top w:w="0" w:type="dxa"/>
              <w:left w:w="100" w:type="dxa"/>
              <w:bottom w:w="0" w:type="dxa"/>
              <w:right w:w="100" w:type="dxa"/>
            </w:tcMar>
            <w:hideMark/>
          </w:tcPr>
          <w:p w14:paraId="60B7037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resilience training that incorporates cognitive-behavioral and coping techniques</w:t>
            </w:r>
          </w:p>
          <w:p w14:paraId="680C779E"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4F9298CA" w14:textId="77777777" w:rsidTr="00A94920">
        <w:trPr>
          <w:trHeight w:val="255"/>
        </w:trPr>
        <w:tc>
          <w:tcPr>
            <w:tcW w:w="420" w:type="dxa"/>
            <w:tcMar>
              <w:top w:w="0" w:type="dxa"/>
              <w:left w:w="100" w:type="dxa"/>
              <w:bottom w:w="0" w:type="dxa"/>
              <w:right w:w="100" w:type="dxa"/>
            </w:tcMar>
            <w:hideMark/>
          </w:tcPr>
          <w:p w14:paraId="158A477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40</w:t>
            </w:r>
          </w:p>
        </w:tc>
        <w:tc>
          <w:tcPr>
            <w:tcW w:w="930" w:type="dxa"/>
            <w:tcMar>
              <w:top w:w="0" w:type="dxa"/>
              <w:left w:w="100" w:type="dxa"/>
              <w:bottom w:w="0" w:type="dxa"/>
              <w:right w:w="100" w:type="dxa"/>
            </w:tcMar>
            <w:hideMark/>
          </w:tcPr>
          <w:p w14:paraId="74E525A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Kuhlman et al., 2021</w:t>
            </w:r>
          </w:p>
        </w:tc>
        <w:tc>
          <w:tcPr>
            <w:tcW w:w="2100" w:type="dxa"/>
            <w:tcMar>
              <w:top w:w="0" w:type="dxa"/>
              <w:left w:w="100" w:type="dxa"/>
              <w:bottom w:w="0" w:type="dxa"/>
              <w:right w:w="100" w:type="dxa"/>
            </w:tcMar>
            <w:hideMark/>
          </w:tcPr>
          <w:p w14:paraId="15E26E0F"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AA4E8A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variability in adolescents’ ability to apply cognitive reappraisal consistently, as it requires a level of emotional regulation that was difficult for some to maintain under prolonged stress</w:t>
            </w:r>
          </w:p>
        </w:tc>
        <w:tc>
          <w:tcPr>
            <w:tcW w:w="3345" w:type="dxa"/>
            <w:tcMar>
              <w:top w:w="0" w:type="dxa"/>
              <w:left w:w="100" w:type="dxa"/>
              <w:bottom w:w="0" w:type="dxa"/>
              <w:right w:w="100" w:type="dxa"/>
            </w:tcMar>
            <w:hideMark/>
          </w:tcPr>
          <w:p w14:paraId="137D1E4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All measures in the present study were cross-sectional, and no causal inferences can be inferred</w:t>
            </w:r>
          </w:p>
          <w:p w14:paraId="41FFC065"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4140" w:type="dxa"/>
            <w:tcMar>
              <w:top w:w="0" w:type="dxa"/>
              <w:left w:w="100" w:type="dxa"/>
              <w:bottom w:w="0" w:type="dxa"/>
              <w:right w:w="100" w:type="dxa"/>
            </w:tcMar>
            <w:hideMark/>
          </w:tcPr>
          <w:p w14:paraId="0B84AF6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Invest in strategies to mitigate long-term mental health consequences of stressors </w:t>
            </w:r>
          </w:p>
          <w:p w14:paraId="7C4A75B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Recommend experimental studies and interventions that modify cognitive reappraisal and humor and test the bidirectionality of the association between the pandemic’s impact and psychiatric symptoms. </w:t>
            </w:r>
          </w:p>
        </w:tc>
      </w:tr>
      <w:tr w:rsidR="00D260AC" w:rsidRPr="00623A39" w14:paraId="7C1962FC" w14:textId="77777777" w:rsidTr="00A94920">
        <w:trPr>
          <w:trHeight w:val="255"/>
        </w:trPr>
        <w:tc>
          <w:tcPr>
            <w:tcW w:w="420" w:type="dxa"/>
            <w:tcMar>
              <w:top w:w="0" w:type="dxa"/>
              <w:left w:w="100" w:type="dxa"/>
              <w:bottom w:w="0" w:type="dxa"/>
              <w:right w:w="100" w:type="dxa"/>
            </w:tcMar>
            <w:hideMark/>
          </w:tcPr>
          <w:p w14:paraId="45FC56E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lastRenderedPageBreak/>
              <w:t>41</w:t>
            </w:r>
          </w:p>
        </w:tc>
        <w:tc>
          <w:tcPr>
            <w:tcW w:w="930" w:type="dxa"/>
            <w:tcMar>
              <w:top w:w="0" w:type="dxa"/>
              <w:left w:w="100" w:type="dxa"/>
              <w:bottom w:w="0" w:type="dxa"/>
              <w:right w:w="100" w:type="dxa"/>
            </w:tcMar>
            <w:hideMark/>
          </w:tcPr>
          <w:p w14:paraId="7C9F77E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Kubo</w:t>
            </w:r>
            <w:r>
              <w:rPr>
                <w:rFonts w:ascii="Times New Roman" w:eastAsia="Calibri" w:hAnsi="Times New Roman" w:cs="Times New Roman"/>
                <w:sz w:val="18"/>
                <w:szCs w:val="18"/>
              </w:rPr>
              <w:t xml:space="preserve"> </w:t>
            </w:r>
            <w:r w:rsidRPr="00623A39">
              <w:rPr>
                <w:rFonts w:ascii="Times New Roman" w:eastAsia="Calibri" w:hAnsi="Times New Roman" w:cs="Times New Roman"/>
                <w:sz w:val="18"/>
                <w:szCs w:val="18"/>
              </w:rPr>
              <w:t>et al., 2021</w:t>
            </w:r>
          </w:p>
        </w:tc>
        <w:tc>
          <w:tcPr>
            <w:tcW w:w="2100" w:type="dxa"/>
            <w:tcMar>
              <w:top w:w="0" w:type="dxa"/>
              <w:left w:w="100" w:type="dxa"/>
              <w:bottom w:w="0" w:type="dxa"/>
              <w:right w:w="100" w:type="dxa"/>
            </w:tcMar>
            <w:hideMark/>
          </w:tcPr>
          <w:p w14:paraId="0CC77612"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5B0936F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difficulty in maintaining high levels of self-restraint, as prolonged isolation heightened stress and impacted mental resilience</w:t>
            </w:r>
          </w:p>
        </w:tc>
        <w:tc>
          <w:tcPr>
            <w:tcW w:w="3345" w:type="dxa"/>
            <w:tcMar>
              <w:top w:w="0" w:type="dxa"/>
              <w:left w:w="100" w:type="dxa"/>
              <w:bottom w:w="0" w:type="dxa"/>
              <w:right w:w="100" w:type="dxa"/>
            </w:tcMar>
            <w:hideMark/>
          </w:tcPr>
          <w:p w14:paraId="0B8EF5A2"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This cross-sectional study relied on self-report questionnaires to collect data on self-restraint and changing income.</w:t>
            </w:r>
          </w:p>
          <w:p w14:paraId="0671EF0B"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4140" w:type="dxa"/>
            <w:tcMar>
              <w:top w:w="0" w:type="dxa"/>
              <w:left w:w="100" w:type="dxa"/>
              <w:bottom w:w="0" w:type="dxa"/>
              <w:right w:w="100" w:type="dxa"/>
            </w:tcMar>
            <w:hideMark/>
          </w:tcPr>
          <w:p w14:paraId="5BEC2C6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Promote better hygiene, infection prevention behaviors, reduced COVID-19 exposure, and ego-resiliency training </w:t>
            </w:r>
          </w:p>
          <w:p w14:paraId="0E700FC3"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41D80D85" w14:textId="77777777" w:rsidTr="00A94920">
        <w:trPr>
          <w:trHeight w:val="255"/>
        </w:trPr>
        <w:tc>
          <w:tcPr>
            <w:tcW w:w="420" w:type="dxa"/>
            <w:tcMar>
              <w:top w:w="0" w:type="dxa"/>
              <w:left w:w="100" w:type="dxa"/>
              <w:bottom w:w="0" w:type="dxa"/>
              <w:right w:w="100" w:type="dxa"/>
            </w:tcMar>
            <w:hideMark/>
          </w:tcPr>
          <w:p w14:paraId="74F751C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42</w:t>
            </w:r>
          </w:p>
        </w:tc>
        <w:tc>
          <w:tcPr>
            <w:tcW w:w="930" w:type="dxa"/>
            <w:tcMar>
              <w:top w:w="0" w:type="dxa"/>
              <w:left w:w="100" w:type="dxa"/>
              <w:bottom w:w="0" w:type="dxa"/>
              <w:right w:w="100" w:type="dxa"/>
            </w:tcMar>
            <w:hideMark/>
          </w:tcPr>
          <w:p w14:paraId="4F08753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Koi</w:t>
            </w:r>
            <w:r>
              <w:rPr>
                <w:rFonts w:ascii="Times New Roman" w:eastAsia="Calibri" w:hAnsi="Times New Roman" w:cs="Times New Roman"/>
                <w:sz w:val="18"/>
                <w:szCs w:val="18"/>
              </w:rPr>
              <w:t>r</w:t>
            </w:r>
            <w:r w:rsidRPr="00623A39">
              <w:rPr>
                <w:rFonts w:ascii="Times New Roman" w:eastAsia="Calibri" w:hAnsi="Times New Roman" w:cs="Times New Roman"/>
                <w:sz w:val="18"/>
                <w:szCs w:val="18"/>
              </w:rPr>
              <w:t>e</w:t>
            </w:r>
            <w:r>
              <w:rPr>
                <w:rFonts w:ascii="Times New Roman" w:eastAsia="Calibri" w:hAnsi="Times New Roman" w:cs="Times New Roman"/>
                <w:sz w:val="18"/>
                <w:szCs w:val="18"/>
              </w:rPr>
              <w:t xml:space="preserve"> </w:t>
            </w:r>
            <w:r w:rsidRPr="00623A39">
              <w:rPr>
                <w:rFonts w:ascii="Times New Roman" w:eastAsia="Calibri" w:hAnsi="Times New Roman" w:cs="Times New Roman"/>
                <w:sz w:val="18"/>
                <w:szCs w:val="18"/>
              </w:rPr>
              <w:t>et al., 2023</w:t>
            </w:r>
          </w:p>
        </w:tc>
        <w:tc>
          <w:tcPr>
            <w:tcW w:w="2100" w:type="dxa"/>
            <w:tcMar>
              <w:top w:w="0" w:type="dxa"/>
              <w:left w:w="100" w:type="dxa"/>
              <w:bottom w:w="0" w:type="dxa"/>
              <w:right w:w="100" w:type="dxa"/>
            </w:tcMar>
            <w:hideMark/>
          </w:tcPr>
          <w:p w14:paraId="12849A11"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041739A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Lack of a perinatal-specific screening tool for GAD and stigma around mental health care created barriers to treatment</w:t>
            </w:r>
            <w:r w:rsidRPr="00623A39" w:rsidDel="00F07B71">
              <w:rPr>
                <w:rFonts w:ascii="Times New Roman" w:eastAsia="Calibri" w:hAnsi="Times New Roman" w:cs="Times New Roman"/>
                <w:sz w:val="18"/>
                <w:szCs w:val="18"/>
              </w:rPr>
              <w:t xml:space="preserve"> </w:t>
            </w:r>
          </w:p>
        </w:tc>
        <w:tc>
          <w:tcPr>
            <w:tcW w:w="3345" w:type="dxa"/>
            <w:tcMar>
              <w:top w:w="0" w:type="dxa"/>
              <w:left w:w="100" w:type="dxa"/>
              <w:bottom w:w="0" w:type="dxa"/>
              <w:right w:w="100" w:type="dxa"/>
            </w:tcMar>
            <w:hideMark/>
          </w:tcPr>
          <w:p w14:paraId="0A0C3781"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 xml:space="preserve">The study exhibits bias toward educated white participants, which may limit its applicability to diverse populations. It lacks specific details on treatment decision-making, hindering understanding of patient choices. It also relied on self-reported diagnoses which may result in inaccuracies </w:t>
            </w:r>
          </w:p>
        </w:tc>
        <w:tc>
          <w:tcPr>
            <w:tcW w:w="4140" w:type="dxa"/>
            <w:tcMar>
              <w:top w:w="0" w:type="dxa"/>
              <w:left w:w="100" w:type="dxa"/>
              <w:bottom w:w="0" w:type="dxa"/>
              <w:right w:w="100" w:type="dxa"/>
            </w:tcMar>
            <w:hideMark/>
          </w:tcPr>
          <w:p w14:paraId="11BA164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Enhance access to effective mental health resources to support adaptation to stress </w:t>
            </w:r>
          </w:p>
          <w:p w14:paraId="2AF6318F"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00DDF133" w14:textId="77777777" w:rsidTr="00A94920">
        <w:trPr>
          <w:trHeight w:val="255"/>
        </w:trPr>
        <w:tc>
          <w:tcPr>
            <w:tcW w:w="420" w:type="dxa"/>
            <w:tcMar>
              <w:top w:w="0" w:type="dxa"/>
              <w:left w:w="100" w:type="dxa"/>
              <w:bottom w:w="0" w:type="dxa"/>
              <w:right w:w="100" w:type="dxa"/>
            </w:tcMar>
            <w:hideMark/>
          </w:tcPr>
          <w:p w14:paraId="188B879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43</w:t>
            </w:r>
          </w:p>
        </w:tc>
        <w:tc>
          <w:tcPr>
            <w:tcW w:w="930" w:type="dxa"/>
            <w:tcMar>
              <w:top w:w="0" w:type="dxa"/>
              <w:left w:w="100" w:type="dxa"/>
              <w:bottom w:w="0" w:type="dxa"/>
              <w:right w:w="100" w:type="dxa"/>
            </w:tcMar>
            <w:hideMark/>
          </w:tcPr>
          <w:p w14:paraId="3BDDE21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Kleimeieret al., 2023</w:t>
            </w:r>
          </w:p>
        </w:tc>
        <w:tc>
          <w:tcPr>
            <w:tcW w:w="2100" w:type="dxa"/>
            <w:tcMar>
              <w:top w:w="0" w:type="dxa"/>
              <w:left w:w="100" w:type="dxa"/>
              <w:bottom w:w="0" w:type="dxa"/>
              <w:right w:w="100" w:type="dxa"/>
            </w:tcMar>
            <w:hideMark/>
          </w:tcPr>
          <w:p w14:paraId="4A370FE0"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3D68F2D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Government support does not solve all financial problems for people of all income levels </w:t>
            </w:r>
          </w:p>
          <w:p w14:paraId="7E38321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Limited availability of mental health resources, particularly in remote or underserved areas</w:t>
            </w:r>
          </w:p>
        </w:tc>
        <w:tc>
          <w:tcPr>
            <w:tcW w:w="3345" w:type="dxa"/>
            <w:tcMar>
              <w:top w:w="0" w:type="dxa"/>
              <w:left w:w="100" w:type="dxa"/>
              <w:bottom w:w="0" w:type="dxa"/>
              <w:right w:w="100" w:type="dxa"/>
            </w:tcMar>
            <w:hideMark/>
          </w:tcPr>
          <w:p w14:paraId="4CE660FD"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Cross-sectional approach prevents causal conclusions. self-reported data may be subject to biases.</w:t>
            </w:r>
          </w:p>
          <w:p w14:paraId="3D23B270"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4140" w:type="dxa"/>
            <w:tcMar>
              <w:top w:w="0" w:type="dxa"/>
              <w:left w:w="100" w:type="dxa"/>
              <w:bottom w:w="0" w:type="dxa"/>
              <w:right w:w="100" w:type="dxa"/>
            </w:tcMar>
            <w:hideMark/>
          </w:tcPr>
          <w:p w14:paraId="1D81351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resilience workshops on cognitive restructuring and uncertainty management, alongside mental health support and empowerment programs to promote internal control</w:t>
            </w:r>
          </w:p>
        </w:tc>
      </w:tr>
      <w:tr w:rsidR="00D260AC" w:rsidRPr="00623A39" w14:paraId="186624CC" w14:textId="77777777" w:rsidTr="00A94920">
        <w:trPr>
          <w:trHeight w:val="525"/>
        </w:trPr>
        <w:tc>
          <w:tcPr>
            <w:tcW w:w="420" w:type="dxa"/>
            <w:tcMar>
              <w:top w:w="0" w:type="dxa"/>
              <w:left w:w="100" w:type="dxa"/>
              <w:bottom w:w="0" w:type="dxa"/>
              <w:right w:w="100" w:type="dxa"/>
            </w:tcMar>
            <w:hideMark/>
          </w:tcPr>
          <w:p w14:paraId="5D7AD61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44</w:t>
            </w:r>
          </w:p>
        </w:tc>
        <w:tc>
          <w:tcPr>
            <w:tcW w:w="930" w:type="dxa"/>
            <w:tcMar>
              <w:top w:w="0" w:type="dxa"/>
              <w:left w:w="100" w:type="dxa"/>
              <w:bottom w:w="0" w:type="dxa"/>
              <w:right w:w="100" w:type="dxa"/>
            </w:tcMar>
            <w:hideMark/>
          </w:tcPr>
          <w:p w14:paraId="4C7422C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Kimhi et al., 2021</w:t>
            </w:r>
          </w:p>
        </w:tc>
        <w:tc>
          <w:tcPr>
            <w:tcW w:w="2100" w:type="dxa"/>
            <w:tcMar>
              <w:top w:w="0" w:type="dxa"/>
              <w:left w:w="100" w:type="dxa"/>
              <w:bottom w:w="0" w:type="dxa"/>
              <w:right w:w="100" w:type="dxa"/>
            </w:tcMar>
            <w:hideMark/>
          </w:tcPr>
          <w:p w14:paraId="1E66D2E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w:t>
            </w:r>
          </w:p>
        </w:tc>
        <w:tc>
          <w:tcPr>
            <w:tcW w:w="2700" w:type="dxa"/>
            <w:tcMar>
              <w:top w:w="0" w:type="dxa"/>
              <w:left w:w="100" w:type="dxa"/>
              <w:bottom w:w="0" w:type="dxa"/>
              <w:right w:w="100" w:type="dxa"/>
            </w:tcMar>
            <w:hideMark/>
          </w:tcPr>
          <w:p w14:paraId="69B4F07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Economic hardship served a predictor of anxiety, depression and resilience building </w:t>
            </w:r>
          </w:p>
          <w:p w14:paraId="5D7A8A5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inconsistency in financial aid distribution, particularly for households without digital access</w:t>
            </w:r>
          </w:p>
        </w:tc>
        <w:tc>
          <w:tcPr>
            <w:tcW w:w="3345" w:type="dxa"/>
            <w:tcMar>
              <w:top w:w="0" w:type="dxa"/>
              <w:left w:w="100" w:type="dxa"/>
              <w:bottom w:w="0" w:type="dxa"/>
              <w:right w:w="100" w:type="dxa"/>
            </w:tcMar>
            <w:hideMark/>
          </w:tcPr>
          <w:p w14:paraId="411A9F92"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utilized a representative Israeli population sample from a web survey provider, which was not random due to requirements for digital literacy. Data collection relied on self-reported measures, introducing potential bias and limiting causal interpretations. Notably, health status prior to COVID-19 was not assessed, affecting the comprehensiveness of the findings.</w:t>
            </w:r>
          </w:p>
        </w:tc>
        <w:tc>
          <w:tcPr>
            <w:tcW w:w="4140" w:type="dxa"/>
            <w:tcMar>
              <w:top w:w="0" w:type="dxa"/>
              <w:left w:w="100" w:type="dxa"/>
              <w:bottom w:w="0" w:type="dxa"/>
              <w:right w:w="100" w:type="dxa"/>
            </w:tcMar>
            <w:hideMark/>
          </w:tcPr>
          <w:p w14:paraId="35688E1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Invest in support systems for at-risk groups </w:t>
            </w:r>
          </w:p>
          <w:p w14:paraId="071ED67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Expand telemedicine for better mental health access</w:t>
            </w:r>
          </w:p>
          <w:p w14:paraId="4516D7E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Use strength-based approaches for targeted mental health policies.</w:t>
            </w:r>
          </w:p>
        </w:tc>
      </w:tr>
      <w:tr w:rsidR="00D260AC" w:rsidRPr="00623A39" w14:paraId="78734479" w14:textId="77777777" w:rsidTr="00A94920">
        <w:trPr>
          <w:trHeight w:val="255"/>
        </w:trPr>
        <w:tc>
          <w:tcPr>
            <w:tcW w:w="420" w:type="dxa"/>
            <w:tcMar>
              <w:top w:w="0" w:type="dxa"/>
              <w:left w:w="100" w:type="dxa"/>
              <w:bottom w:w="0" w:type="dxa"/>
              <w:right w:w="100" w:type="dxa"/>
            </w:tcMar>
            <w:hideMark/>
          </w:tcPr>
          <w:p w14:paraId="219E521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45</w:t>
            </w:r>
          </w:p>
        </w:tc>
        <w:tc>
          <w:tcPr>
            <w:tcW w:w="930" w:type="dxa"/>
            <w:tcMar>
              <w:top w:w="0" w:type="dxa"/>
              <w:left w:w="100" w:type="dxa"/>
              <w:bottom w:w="0" w:type="dxa"/>
              <w:right w:w="100" w:type="dxa"/>
            </w:tcMar>
            <w:hideMark/>
          </w:tcPr>
          <w:p w14:paraId="51C02E1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Karataş &amp; Tagay, 2021.</w:t>
            </w:r>
          </w:p>
        </w:tc>
        <w:tc>
          <w:tcPr>
            <w:tcW w:w="2100" w:type="dxa"/>
            <w:tcMar>
              <w:top w:w="0" w:type="dxa"/>
              <w:left w:w="100" w:type="dxa"/>
              <w:bottom w:w="0" w:type="dxa"/>
              <w:right w:w="100" w:type="dxa"/>
            </w:tcMar>
            <w:hideMark/>
          </w:tcPr>
          <w:p w14:paraId="54B54494"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4914D74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Intolerance of uncertainty and COVID-19 fear</w:t>
            </w:r>
          </w:p>
        </w:tc>
        <w:tc>
          <w:tcPr>
            <w:tcW w:w="3345" w:type="dxa"/>
            <w:tcMar>
              <w:top w:w="0" w:type="dxa"/>
              <w:left w:w="100" w:type="dxa"/>
              <w:bottom w:w="0" w:type="dxa"/>
              <w:right w:w="100" w:type="dxa"/>
            </w:tcMar>
            <w:hideMark/>
          </w:tcPr>
          <w:p w14:paraId="3F92AB4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The study used self-reported measures to collect data, but its findings are limited to the studied group and the pandemic period.</w:t>
            </w:r>
          </w:p>
        </w:tc>
        <w:tc>
          <w:tcPr>
            <w:tcW w:w="4140" w:type="dxa"/>
            <w:tcMar>
              <w:top w:w="0" w:type="dxa"/>
              <w:left w:w="100" w:type="dxa"/>
              <w:bottom w:w="0" w:type="dxa"/>
              <w:right w:w="100" w:type="dxa"/>
            </w:tcMar>
            <w:hideMark/>
          </w:tcPr>
          <w:p w14:paraId="78C0EA3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Implementing trauma-informed care and self-regulation training is essential for enhancing resilience in future crises.</w:t>
            </w:r>
          </w:p>
          <w:p w14:paraId="1BE69873"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4FBF3733" w14:textId="77777777" w:rsidTr="00A94920">
        <w:trPr>
          <w:trHeight w:val="255"/>
        </w:trPr>
        <w:tc>
          <w:tcPr>
            <w:tcW w:w="420" w:type="dxa"/>
            <w:tcMar>
              <w:top w:w="0" w:type="dxa"/>
              <w:left w:w="100" w:type="dxa"/>
              <w:bottom w:w="0" w:type="dxa"/>
              <w:right w:w="100" w:type="dxa"/>
            </w:tcMar>
            <w:hideMark/>
          </w:tcPr>
          <w:p w14:paraId="7916C7D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46</w:t>
            </w:r>
          </w:p>
        </w:tc>
        <w:tc>
          <w:tcPr>
            <w:tcW w:w="930" w:type="dxa"/>
            <w:tcMar>
              <w:top w:w="0" w:type="dxa"/>
              <w:left w:w="100" w:type="dxa"/>
              <w:bottom w:w="0" w:type="dxa"/>
              <w:right w:w="100" w:type="dxa"/>
            </w:tcMar>
            <w:hideMark/>
          </w:tcPr>
          <w:p w14:paraId="79FDAD4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Kaim</w:t>
            </w:r>
            <w:r>
              <w:rPr>
                <w:rFonts w:ascii="Times New Roman" w:eastAsia="Calibri" w:hAnsi="Times New Roman" w:cs="Times New Roman"/>
                <w:sz w:val="18"/>
                <w:szCs w:val="18"/>
              </w:rPr>
              <w:t xml:space="preserve"> </w:t>
            </w:r>
            <w:r w:rsidRPr="00623A39">
              <w:rPr>
                <w:rFonts w:ascii="Times New Roman" w:eastAsia="Calibri" w:hAnsi="Times New Roman" w:cs="Times New Roman"/>
                <w:sz w:val="18"/>
                <w:szCs w:val="18"/>
              </w:rPr>
              <w:t>et al., 2021.</w:t>
            </w:r>
          </w:p>
        </w:tc>
        <w:tc>
          <w:tcPr>
            <w:tcW w:w="2100" w:type="dxa"/>
            <w:tcMar>
              <w:top w:w="0" w:type="dxa"/>
              <w:left w:w="100" w:type="dxa"/>
              <w:bottom w:w="0" w:type="dxa"/>
              <w:right w:w="100" w:type="dxa"/>
            </w:tcMar>
            <w:hideMark/>
          </w:tcPr>
          <w:p w14:paraId="13ECF707"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04CD7B9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economic strain, as financial losses from restricted work opportunities led to distress and, </w:t>
            </w:r>
            <w:bookmarkStart w:id="13" w:name="_Hlk181551061"/>
            <w:r w:rsidRPr="00623A39">
              <w:rPr>
                <w:rFonts w:ascii="Times New Roman" w:eastAsia="Calibri" w:hAnsi="Times New Roman" w:cs="Times New Roman"/>
                <w:sz w:val="18"/>
                <w:szCs w:val="18"/>
              </w:rPr>
              <w:t>in some cases, decreased compliance with isolation guidelines</w:t>
            </w:r>
            <w:bookmarkEnd w:id="13"/>
          </w:p>
        </w:tc>
        <w:tc>
          <w:tcPr>
            <w:tcW w:w="3345" w:type="dxa"/>
            <w:tcMar>
              <w:top w:w="0" w:type="dxa"/>
              <w:left w:w="100" w:type="dxa"/>
              <w:bottom w:w="0" w:type="dxa"/>
              <w:right w:w="100" w:type="dxa"/>
            </w:tcMar>
            <w:hideMark/>
          </w:tcPr>
          <w:p w14:paraId="5A0C3F74"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 xml:space="preserve">The study relies on self-reported compliance levels, making actual compliance verification impossible.  </w:t>
            </w:r>
          </w:p>
          <w:p w14:paraId="22EB23ED"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research is limited to individuals with internet access, high computing skills, and digital literacy. Participants who are not fluent in Hebrew were excluded from the study.</w:t>
            </w:r>
          </w:p>
        </w:tc>
        <w:tc>
          <w:tcPr>
            <w:tcW w:w="4140" w:type="dxa"/>
            <w:tcMar>
              <w:top w:w="0" w:type="dxa"/>
              <w:left w:w="100" w:type="dxa"/>
              <w:bottom w:w="0" w:type="dxa"/>
              <w:right w:w="100" w:type="dxa"/>
            </w:tcMar>
            <w:hideMark/>
          </w:tcPr>
          <w:p w14:paraId="31CE0C5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Authorities should prioritize strengthening public resilience through economic support, social assistance, and effective emergency guidance.  </w:t>
            </w:r>
          </w:p>
          <w:p w14:paraId="48BB7BB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Clear communication of health protocols and promoting self-care practices, such as physical distancing and maintaining mental wellness</w:t>
            </w:r>
          </w:p>
          <w:p w14:paraId="5B869BE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Fostering a supportive environment can enhance compliance with health measures during outbreaks.  </w:t>
            </w:r>
          </w:p>
          <w:p w14:paraId="56171CF8"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68E59ECC" w14:textId="77777777" w:rsidTr="00A94920">
        <w:trPr>
          <w:trHeight w:val="255"/>
        </w:trPr>
        <w:tc>
          <w:tcPr>
            <w:tcW w:w="420" w:type="dxa"/>
            <w:tcMar>
              <w:top w:w="0" w:type="dxa"/>
              <w:left w:w="100" w:type="dxa"/>
              <w:bottom w:w="0" w:type="dxa"/>
              <w:right w:w="100" w:type="dxa"/>
            </w:tcMar>
            <w:hideMark/>
          </w:tcPr>
          <w:p w14:paraId="75B588F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lastRenderedPageBreak/>
              <w:t>47</w:t>
            </w:r>
          </w:p>
        </w:tc>
        <w:tc>
          <w:tcPr>
            <w:tcW w:w="930" w:type="dxa"/>
            <w:tcMar>
              <w:top w:w="0" w:type="dxa"/>
              <w:left w:w="100" w:type="dxa"/>
              <w:bottom w:w="0" w:type="dxa"/>
              <w:right w:w="100" w:type="dxa"/>
            </w:tcMar>
            <w:hideMark/>
          </w:tcPr>
          <w:p w14:paraId="5053C1E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Hu et al., 2020</w:t>
            </w:r>
          </w:p>
        </w:tc>
        <w:tc>
          <w:tcPr>
            <w:tcW w:w="2100" w:type="dxa"/>
            <w:tcMar>
              <w:top w:w="0" w:type="dxa"/>
              <w:left w:w="100" w:type="dxa"/>
              <w:bottom w:w="0" w:type="dxa"/>
              <w:right w:w="100" w:type="dxa"/>
            </w:tcMar>
            <w:hideMark/>
          </w:tcPr>
          <w:p w14:paraId="38434716"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080AF45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high patient loads and limited access to PPE</w:t>
            </w:r>
            <w:r>
              <w:rPr>
                <w:rFonts w:ascii="Times New Roman" w:eastAsia="Calibri" w:hAnsi="Times New Roman" w:cs="Times New Roman"/>
                <w:sz w:val="18"/>
                <w:szCs w:val="18"/>
              </w:rPr>
              <w:t>,</w:t>
            </w:r>
            <w:r w:rsidRPr="00623A39">
              <w:rPr>
                <w:rFonts w:ascii="Times New Roman" w:eastAsia="Calibri" w:hAnsi="Times New Roman" w:cs="Times New Roman"/>
                <w:sz w:val="18"/>
                <w:szCs w:val="18"/>
              </w:rPr>
              <w:t xml:space="preserve"> which increased stress and reduced the ability to engage in resilience-building practice</w:t>
            </w:r>
          </w:p>
        </w:tc>
        <w:tc>
          <w:tcPr>
            <w:tcW w:w="3345" w:type="dxa"/>
            <w:tcMar>
              <w:top w:w="0" w:type="dxa"/>
              <w:left w:w="100" w:type="dxa"/>
              <w:bottom w:w="0" w:type="dxa"/>
              <w:right w:w="100" w:type="dxa"/>
            </w:tcMar>
            <w:hideMark/>
          </w:tcPr>
          <w:p w14:paraId="274D06F9"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 xml:space="preserve">The study's generalizability may be limited due to social desirability bias and self-reported data, which may have yielded an underreporting of mental health issues like burnout, anxiety, and depression.  </w:t>
            </w:r>
          </w:p>
          <w:p w14:paraId="511155F9"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 xml:space="preserve">The study’s cross-sectional design limits causal conclusions. </w:t>
            </w:r>
          </w:p>
        </w:tc>
        <w:tc>
          <w:tcPr>
            <w:tcW w:w="4140" w:type="dxa"/>
            <w:tcMar>
              <w:top w:w="0" w:type="dxa"/>
              <w:left w:w="100" w:type="dxa"/>
              <w:bottom w:w="0" w:type="dxa"/>
              <w:right w:w="100" w:type="dxa"/>
            </w:tcMar>
            <w:hideMark/>
          </w:tcPr>
          <w:p w14:paraId="211C114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building self-efficacy and resilience, enhancing social support, preventing burnout and fear among frontline nurses, and implementing regular mental health check-ins with established support systems</w:t>
            </w:r>
          </w:p>
          <w:p w14:paraId="4CD029E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Suggested interventions include addressing skin lesions, enhancing self-efficacy, providing social support, and ensuring a willingness to work.  </w:t>
            </w:r>
          </w:p>
        </w:tc>
      </w:tr>
      <w:tr w:rsidR="00D260AC" w:rsidRPr="00623A39" w14:paraId="0FC45A1D" w14:textId="77777777" w:rsidTr="00A94920">
        <w:trPr>
          <w:trHeight w:val="255"/>
        </w:trPr>
        <w:tc>
          <w:tcPr>
            <w:tcW w:w="420" w:type="dxa"/>
            <w:tcMar>
              <w:top w:w="0" w:type="dxa"/>
              <w:left w:w="100" w:type="dxa"/>
              <w:bottom w:w="0" w:type="dxa"/>
              <w:right w:w="100" w:type="dxa"/>
            </w:tcMar>
            <w:hideMark/>
          </w:tcPr>
          <w:p w14:paraId="4C09E44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48</w:t>
            </w:r>
          </w:p>
        </w:tc>
        <w:tc>
          <w:tcPr>
            <w:tcW w:w="930" w:type="dxa"/>
            <w:tcMar>
              <w:top w:w="0" w:type="dxa"/>
              <w:left w:w="100" w:type="dxa"/>
              <w:bottom w:w="0" w:type="dxa"/>
              <w:right w:w="100" w:type="dxa"/>
            </w:tcMar>
            <w:hideMark/>
          </w:tcPr>
          <w:p w14:paraId="3288694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Hébert et al., 2022</w:t>
            </w:r>
          </w:p>
        </w:tc>
        <w:tc>
          <w:tcPr>
            <w:tcW w:w="2100" w:type="dxa"/>
            <w:tcMar>
              <w:top w:w="0" w:type="dxa"/>
              <w:left w:w="100" w:type="dxa"/>
              <w:bottom w:w="0" w:type="dxa"/>
              <w:right w:w="100" w:type="dxa"/>
            </w:tcMar>
            <w:hideMark/>
          </w:tcPr>
          <w:p w14:paraId="363B22E1" w14:textId="77777777" w:rsidR="00D260AC" w:rsidRPr="00623A39" w:rsidRDefault="00D260AC" w:rsidP="00A94920">
            <w:pPr>
              <w:spacing w:after="0" w:line="240" w:lineRule="auto"/>
              <w:rPr>
                <w:rFonts w:ascii="Times New Roman" w:eastAsia="Calibri" w:hAnsi="Times New Roman" w:cs="Times New Roman"/>
                <w:sz w:val="18"/>
                <w:szCs w:val="18"/>
              </w:rPr>
            </w:pPr>
          </w:p>
          <w:p w14:paraId="15B5EF07"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7F9F987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High psychological distress, PTSD risk, emotion dysregulation, and reduced well-being hindered youth resilience during the pandemic.</w:t>
            </w:r>
          </w:p>
        </w:tc>
        <w:tc>
          <w:tcPr>
            <w:tcW w:w="3345" w:type="dxa"/>
            <w:tcMar>
              <w:top w:w="0" w:type="dxa"/>
              <w:left w:w="100" w:type="dxa"/>
              <w:bottom w:w="0" w:type="dxa"/>
              <w:right w:w="100" w:type="dxa"/>
            </w:tcMar>
            <w:hideMark/>
          </w:tcPr>
          <w:p w14:paraId="28A9CF0D"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relied on a convenience sample and a cross-sectional design.</w:t>
            </w:r>
          </w:p>
          <w:p w14:paraId="1578DEE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The sample only provided cross-sectional data, which means resilience profiles could not be observed over time. Future studies need longitudinal data to capture dynamic resilience patterns.</w:t>
            </w:r>
          </w:p>
        </w:tc>
        <w:tc>
          <w:tcPr>
            <w:tcW w:w="4140" w:type="dxa"/>
            <w:tcMar>
              <w:top w:w="0" w:type="dxa"/>
              <w:left w:w="100" w:type="dxa"/>
              <w:bottom w:w="0" w:type="dxa"/>
              <w:right w:w="100" w:type="dxa"/>
            </w:tcMar>
            <w:hideMark/>
          </w:tcPr>
          <w:p w14:paraId="590BC15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Innovative strategies such as internet access and online support groups are vital for enhancing mental health during the pandemic.  </w:t>
            </w:r>
          </w:p>
          <w:p w14:paraId="33062C9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Self-help apps can foster solidarity and interconnectedness among individuals, providing crucial support.  </w:t>
            </w:r>
          </w:p>
          <w:p w14:paraId="0EEA210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These approaches significantly improve accessibility to mental health services, helping to address challenges posed by the pandemic.</w:t>
            </w:r>
          </w:p>
          <w:p w14:paraId="4701166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Increased funding for mental health services, especially to vulnerable groups. </w:t>
            </w:r>
          </w:p>
        </w:tc>
      </w:tr>
      <w:tr w:rsidR="00D260AC" w:rsidRPr="00623A39" w14:paraId="211AD108" w14:textId="77777777" w:rsidTr="00A94920">
        <w:trPr>
          <w:trHeight w:val="255"/>
        </w:trPr>
        <w:tc>
          <w:tcPr>
            <w:tcW w:w="420" w:type="dxa"/>
            <w:tcMar>
              <w:top w:w="0" w:type="dxa"/>
              <w:left w:w="100" w:type="dxa"/>
              <w:bottom w:w="0" w:type="dxa"/>
              <w:right w:w="100" w:type="dxa"/>
            </w:tcMar>
            <w:hideMark/>
          </w:tcPr>
          <w:p w14:paraId="7AC1B9F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49</w:t>
            </w:r>
          </w:p>
        </w:tc>
        <w:tc>
          <w:tcPr>
            <w:tcW w:w="930" w:type="dxa"/>
            <w:tcMar>
              <w:top w:w="0" w:type="dxa"/>
              <w:left w:w="100" w:type="dxa"/>
              <w:bottom w:w="0" w:type="dxa"/>
              <w:right w:w="100" w:type="dxa"/>
            </w:tcMar>
            <w:hideMark/>
          </w:tcPr>
          <w:p w14:paraId="750811B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Han et al., 2022</w:t>
            </w:r>
          </w:p>
        </w:tc>
        <w:tc>
          <w:tcPr>
            <w:tcW w:w="2100" w:type="dxa"/>
            <w:tcMar>
              <w:top w:w="0" w:type="dxa"/>
              <w:left w:w="100" w:type="dxa"/>
              <w:bottom w:w="0" w:type="dxa"/>
              <w:right w:w="100" w:type="dxa"/>
            </w:tcMar>
            <w:hideMark/>
          </w:tcPr>
          <w:p w14:paraId="519D9E22"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6C85EC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limited resources and social isolation, especially for individuals with disabilities, reducing access to necessary support.</w:t>
            </w:r>
          </w:p>
          <w:p w14:paraId="6FE9161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Dependence on caregivers and the lack of alternatives further hampered resilience</w:t>
            </w:r>
          </w:p>
        </w:tc>
        <w:tc>
          <w:tcPr>
            <w:tcW w:w="3345" w:type="dxa"/>
            <w:tcMar>
              <w:top w:w="0" w:type="dxa"/>
              <w:left w:w="100" w:type="dxa"/>
              <w:bottom w:w="0" w:type="dxa"/>
              <w:right w:w="100" w:type="dxa"/>
            </w:tcMar>
            <w:hideMark/>
          </w:tcPr>
          <w:p w14:paraId="5C015EB9"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conducted during the COVID-19 crisis, targeted only potential Korean tourists due to time and location constraints, and may limit the generalizability of the findings.</w:t>
            </w:r>
          </w:p>
          <w:p w14:paraId="3B9BCE7A"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4140" w:type="dxa"/>
            <w:tcMar>
              <w:top w:w="0" w:type="dxa"/>
              <w:left w:w="100" w:type="dxa"/>
              <w:bottom w:w="0" w:type="dxa"/>
              <w:right w:w="100" w:type="dxa"/>
            </w:tcMar>
            <w:hideMark/>
          </w:tcPr>
          <w:p w14:paraId="634CEE0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Enhance risk communication strategies and promote emotional resilience through resilience-focused interventions to help individuals manage perceived risks and reduce stress in future health crises</w:t>
            </w:r>
          </w:p>
          <w:p w14:paraId="19550007" w14:textId="77777777" w:rsidR="00D260AC" w:rsidRPr="00623A39" w:rsidRDefault="00D260AC" w:rsidP="00A94920">
            <w:pPr>
              <w:spacing w:after="0" w:line="240" w:lineRule="auto"/>
              <w:rPr>
                <w:rFonts w:ascii="Times New Roman" w:eastAsia="Calibri" w:hAnsi="Times New Roman" w:cs="Times New Roman"/>
                <w:sz w:val="18"/>
                <w:szCs w:val="18"/>
              </w:rPr>
            </w:pPr>
          </w:p>
          <w:p w14:paraId="6CEED2D3"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4881F63A" w14:textId="77777777" w:rsidTr="00A94920">
        <w:trPr>
          <w:trHeight w:val="255"/>
        </w:trPr>
        <w:tc>
          <w:tcPr>
            <w:tcW w:w="420" w:type="dxa"/>
            <w:tcMar>
              <w:top w:w="0" w:type="dxa"/>
              <w:left w:w="100" w:type="dxa"/>
              <w:bottom w:w="0" w:type="dxa"/>
              <w:right w:w="100" w:type="dxa"/>
            </w:tcMar>
            <w:hideMark/>
          </w:tcPr>
          <w:p w14:paraId="1CD1D46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50</w:t>
            </w:r>
          </w:p>
        </w:tc>
        <w:tc>
          <w:tcPr>
            <w:tcW w:w="930" w:type="dxa"/>
            <w:tcMar>
              <w:top w:w="0" w:type="dxa"/>
              <w:left w:w="100" w:type="dxa"/>
              <w:bottom w:w="0" w:type="dxa"/>
              <w:right w:w="100" w:type="dxa"/>
            </w:tcMar>
            <w:hideMark/>
          </w:tcPr>
          <w:p w14:paraId="38CF667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Haldorai et al., 2023</w:t>
            </w:r>
          </w:p>
        </w:tc>
        <w:tc>
          <w:tcPr>
            <w:tcW w:w="2100" w:type="dxa"/>
            <w:tcMar>
              <w:top w:w="0" w:type="dxa"/>
              <w:left w:w="100" w:type="dxa"/>
              <w:bottom w:w="0" w:type="dxa"/>
              <w:right w:w="100" w:type="dxa"/>
            </w:tcMar>
            <w:hideMark/>
          </w:tcPr>
          <w:p w14:paraId="079AA94B"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535D4F5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Fear of COVID-19, resource depletion, low resilience, and information overload heightened stress and mental health strain for quarantine hotel employees</w:t>
            </w:r>
          </w:p>
        </w:tc>
        <w:tc>
          <w:tcPr>
            <w:tcW w:w="3345" w:type="dxa"/>
            <w:tcMar>
              <w:top w:w="0" w:type="dxa"/>
              <w:left w:w="100" w:type="dxa"/>
              <w:bottom w:w="0" w:type="dxa"/>
              <w:right w:w="100" w:type="dxa"/>
            </w:tcMar>
            <w:hideMark/>
          </w:tcPr>
          <w:p w14:paraId="3DBA16DF"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Self-reported measures might introduce bias due to the subjective nature of stress and well-being. The cross-sectional study design prevents drawing causal conclusions. The absence of clinical evaluations for mental health issues, such as depressive conditions, limits the generalizability of the findings.</w:t>
            </w:r>
          </w:p>
        </w:tc>
        <w:tc>
          <w:tcPr>
            <w:tcW w:w="4140" w:type="dxa"/>
            <w:tcMar>
              <w:top w:w="0" w:type="dxa"/>
              <w:left w:w="100" w:type="dxa"/>
              <w:bottom w:w="0" w:type="dxa"/>
              <w:right w:w="100" w:type="dxa"/>
            </w:tcMar>
            <w:hideMark/>
          </w:tcPr>
          <w:p w14:paraId="270C476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Foster strong social connections, encourage wellness, set realistic goals, promote positivity, and provide training on stress management. </w:t>
            </w:r>
          </w:p>
          <w:p w14:paraId="1D1CCEFB" w14:textId="77777777" w:rsidR="00D260AC" w:rsidRPr="00623A39" w:rsidRDefault="00D260AC" w:rsidP="00A94920">
            <w:pPr>
              <w:spacing w:after="0" w:line="240" w:lineRule="auto"/>
              <w:rPr>
                <w:rFonts w:ascii="Times New Roman" w:eastAsia="Calibri" w:hAnsi="Times New Roman" w:cs="Times New Roman"/>
                <w:sz w:val="18"/>
                <w:szCs w:val="18"/>
              </w:rPr>
            </w:pPr>
          </w:p>
          <w:p w14:paraId="753D375E"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5DE099C7" w14:textId="77777777" w:rsidTr="00A94920">
        <w:trPr>
          <w:trHeight w:val="1128"/>
        </w:trPr>
        <w:tc>
          <w:tcPr>
            <w:tcW w:w="420" w:type="dxa"/>
            <w:tcMar>
              <w:top w:w="0" w:type="dxa"/>
              <w:left w:w="100" w:type="dxa"/>
              <w:bottom w:w="0" w:type="dxa"/>
              <w:right w:w="100" w:type="dxa"/>
            </w:tcMar>
            <w:hideMark/>
          </w:tcPr>
          <w:p w14:paraId="3CCFEA4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51</w:t>
            </w:r>
          </w:p>
        </w:tc>
        <w:tc>
          <w:tcPr>
            <w:tcW w:w="930" w:type="dxa"/>
            <w:tcMar>
              <w:top w:w="0" w:type="dxa"/>
              <w:left w:w="100" w:type="dxa"/>
              <w:bottom w:w="0" w:type="dxa"/>
              <w:right w:w="100" w:type="dxa"/>
            </w:tcMar>
            <w:hideMark/>
          </w:tcPr>
          <w:p w14:paraId="0F5AC1F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Gizdic et al., 2023</w:t>
            </w:r>
          </w:p>
        </w:tc>
        <w:tc>
          <w:tcPr>
            <w:tcW w:w="2100" w:type="dxa"/>
            <w:tcMar>
              <w:top w:w="0" w:type="dxa"/>
              <w:left w:w="100" w:type="dxa"/>
              <w:bottom w:w="0" w:type="dxa"/>
              <w:right w:w="100" w:type="dxa"/>
            </w:tcMar>
            <w:hideMark/>
          </w:tcPr>
          <w:p w14:paraId="27D0E2D9"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139B73C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Challenges in implementing the resilience strategies included limited access to </w:t>
            </w:r>
            <w:bookmarkStart w:id="14" w:name="_Hlk181551752"/>
            <w:r w:rsidRPr="00623A39">
              <w:rPr>
                <w:rFonts w:ascii="Times New Roman" w:eastAsia="Calibri" w:hAnsi="Times New Roman" w:cs="Times New Roman"/>
                <w:sz w:val="18"/>
                <w:szCs w:val="18"/>
              </w:rPr>
              <w:t xml:space="preserve">virtual resources </w:t>
            </w:r>
            <w:bookmarkEnd w:id="14"/>
            <w:r w:rsidRPr="00623A39">
              <w:rPr>
                <w:rFonts w:ascii="Times New Roman" w:eastAsia="Calibri" w:hAnsi="Times New Roman" w:cs="Times New Roman"/>
                <w:sz w:val="18"/>
                <w:szCs w:val="18"/>
              </w:rPr>
              <w:t>for all participants.</w:t>
            </w:r>
          </w:p>
        </w:tc>
        <w:tc>
          <w:tcPr>
            <w:tcW w:w="3345" w:type="dxa"/>
            <w:tcMar>
              <w:top w:w="0" w:type="dxa"/>
              <w:left w:w="100" w:type="dxa"/>
              <w:bottom w:w="0" w:type="dxa"/>
              <w:right w:w="100" w:type="dxa"/>
            </w:tcMar>
            <w:hideMark/>
          </w:tcPr>
          <w:p w14:paraId="4DB65890"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A primary limitation was the reliance on self-reported measures, which could lead to response bias</w:t>
            </w:r>
          </w:p>
        </w:tc>
        <w:tc>
          <w:tcPr>
            <w:tcW w:w="4140" w:type="dxa"/>
            <w:tcMar>
              <w:top w:w="0" w:type="dxa"/>
              <w:left w:w="100" w:type="dxa"/>
              <w:bottom w:w="0" w:type="dxa"/>
              <w:right w:w="100" w:type="dxa"/>
            </w:tcMar>
            <w:hideMark/>
          </w:tcPr>
          <w:p w14:paraId="6770650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Public health strategies should prioritize promoting social connectedness and resilience to mitigate the pandemic's long-term mental health impacts.</w:t>
            </w:r>
          </w:p>
        </w:tc>
      </w:tr>
      <w:tr w:rsidR="00D260AC" w:rsidRPr="00623A39" w14:paraId="36D9FEBE" w14:textId="77777777" w:rsidTr="00A94920">
        <w:trPr>
          <w:trHeight w:val="255"/>
        </w:trPr>
        <w:tc>
          <w:tcPr>
            <w:tcW w:w="420" w:type="dxa"/>
            <w:tcMar>
              <w:top w:w="0" w:type="dxa"/>
              <w:left w:w="100" w:type="dxa"/>
              <w:bottom w:w="0" w:type="dxa"/>
              <w:right w:w="100" w:type="dxa"/>
            </w:tcMar>
            <w:hideMark/>
          </w:tcPr>
          <w:p w14:paraId="0C78582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52</w:t>
            </w:r>
          </w:p>
        </w:tc>
        <w:tc>
          <w:tcPr>
            <w:tcW w:w="930" w:type="dxa"/>
            <w:tcMar>
              <w:top w:w="0" w:type="dxa"/>
              <w:left w:w="100" w:type="dxa"/>
              <w:bottom w:w="0" w:type="dxa"/>
              <w:right w:w="100" w:type="dxa"/>
            </w:tcMar>
            <w:hideMark/>
          </w:tcPr>
          <w:p w14:paraId="7FD9FF5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Giusti et al., 2023</w:t>
            </w:r>
          </w:p>
        </w:tc>
        <w:tc>
          <w:tcPr>
            <w:tcW w:w="2100" w:type="dxa"/>
            <w:tcMar>
              <w:top w:w="0" w:type="dxa"/>
              <w:left w:w="100" w:type="dxa"/>
              <w:bottom w:w="0" w:type="dxa"/>
              <w:right w:w="100" w:type="dxa"/>
            </w:tcMar>
            <w:hideMark/>
          </w:tcPr>
          <w:p w14:paraId="6924C700"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42F33F8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difficulty in sustaining resilience interventions amidst ongoing high </w:t>
            </w:r>
            <w:r w:rsidRPr="00623A39">
              <w:rPr>
                <w:rFonts w:ascii="Times New Roman" w:eastAsia="Calibri" w:hAnsi="Times New Roman" w:cs="Times New Roman"/>
                <w:sz w:val="18"/>
                <w:szCs w:val="18"/>
              </w:rPr>
              <w:lastRenderedPageBreak/>
              <w:t xml:space="preserve">work demands and limited resources during the pandemic. </w:t>
            </w:r>
          </w:p>
        </w:tc>
        <w:tc>
          <w:tcPr>
            <w:tcW w:w="3345" w:type="dxa"/>
            <w:tcMar>
              <w:top w:w="0" w:type="dxa"/>
              <w:left w:w="100" w:type="dxa"/>
              <w:bottom w:w="0" w:type="dxa"/>
              <w:right w:w="100" w:type="dxa"/>
            </w:tcMar>
            <w:hideMark/>
          </w:tcPr>
          <w:p w14:paraId="08D86FB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lastRenderedPageBreak/>
              <w:t xml:space="preserve">The longitudinal design of the study, while providing valuable insights, faced </w:t>
            </w:r>
            <w:r w:rsidRPr="00623A39">
              <w:rPr>
                <w:rFonts w:ascii="Times New Roman" w:eastAsia="Calibri" w:hAnsi="Times New Roman" w:cs="Times New Roman"/>
                <w:sz w:val="18"/>
                <w:szCs w:val="18"/>
              </w:rPr>
              <w:lastRenderedPageBreak/>
              <w:t>limitations in terms of sample size and generalizability to other healthcare settings</w:t>
            </w:r>
          </w:p>
          <w:p w14:paraId="724375C1"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4140" w:type="dxa"/>
            <w:tcMar>
              <w:top w:w="0" w:type="dxa"/>
              <w:left w:w="100" w:type="dxa"/>
              <w:bottom w:w="0" w:type="dxa"/>
              <w:right w:w="100" w:type="dxa"/>
            </w:tcMar>
            <w:hideMark/>
          </w:tcPr>
          <w:p w14:paraId="210973F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lastRenderedPageBreak/>
              <w:t xml:space="preserve">Implement preventive measures against burnout by addressing organizational issues, improving support </w:t>
            </w:r>
            <w:r w:rsidRPr="00623A39">
              <w:rPr>
                <w:rFonts w:ascii="Times New Roman" w:eastAsia="Calibri" w:hAnsi="Times New Roman" w:cs="Times New Roman"/>
                <w:sz w:val="18"/>
                <w:szCs w:val="18"/>
              </w:rPr>
              <w:lastRenderedPageBreak/>
              <w:t>systems, and enhancing resilience-focused training to protect healthcare workers' mental health in future crises</w:t>
            </w:r>
          </w:p>
          <w:p w14:paraId="02B3629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Actions are required to contrast previously existing emotional exhaustion (EE) and to increase personal resources to protect healthcare workers (HCWs) from mental health disorders</w:t>
            </w:r>
          </w:p>
        </w:tc>
      </w:tr>
      <w:tr w:rsidR="00D260AC" w:rsidRPr="00623A39" w14:paraId="59316993" w14:textId="77777777" w:rsidTr="00A94920">
        <w:trPr>
          <w:trHeight w:val="255"/>
        </w:trPr>
        <w:tc>
          <w:tcPr>
            <w:tcW w:w="420" w:type="dxa"/>
            <w:tcMar>
              <w:top w:w="0" w:type="dxa"/>
              <w:left w:w="100" w:type="dxa"/>
              <w:bottom w:w="0" w:type="dxa"/>
              <w:right w:w="100" w:type="dxa"/>
            </w:tcMar>
            <w:hideMark/>
          </w:tcPr>
          <w:p w14:paraId="640E883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lastRenderedPageBreak/>
              <w:t>53</w:t>
            </w:r>
          </w:p>
        </w:tc>
        <w:tc>
          <w:tcPr>
            <w:tcW w:w="930" w:type="dxa"/>
            <w:tcMar>
              <w:top w:w="0" w:type="dxa"/>
              <w:left w:w="100" w:type="dxa"/>
              <w:bottom w:w="0" w:type="dxa"/>
              <w:right w:w="100" w:type="dxa"/>
            </w:tcMar>
            <w:hideMark/>
          </w:tcPr>
          <w:p w14:paraId="1C8D1BA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Giri et al., 2021</w:t>
            </w:r>
          </w:p>
        </w:tc>
        <w:tc>
          <w:tcPr>
            <w:tcW w:w="2100" w:type="dxa"/>
            <w:tcMar>
              <w:top w:w="0" w:type="dxa"/>
              <w:left w:w="100" w:type="dxa"/>
              <w:bottom w:w="0" w:type="dxa"/>
              <w:right w:w="100" w:type="dxa"/>
            </w:tcMar>
            <w:hideMark/>
          </w:tcPr>
          <w:p w14:paraId="6C6B5FF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Exposure to different types of COVID-19 news (positive, neutral, negative) produced different resilience and emotional outcomes</w:t>
            </w:r>
          </w:p>
        </w:tc>
        <w:tc>
          <w:tcPr>
            <w:tcW w:w="2700" w:type="dxa"/>
            <w:tcMar>
              <w:top w:w="0" w:type="dxa"/>
              <w:left w:w="100" w:type="dxa"/>
              <w:bottom w:w="0" w:type="dxa"/>
              <w:right w:w="100" w:type="dxa"/>
            </w:tcMar>
            <w:hideMark/>
          </w:tcPr>
          <w:p w14:paraId="6E4D4F5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heightened difficulty in promoting resilience among individuals exposed to negative news</w:t>
            </w:r>
          </w:p>
        </w:tc>
        <w:tc>
          <w:tcPr>
            <w:tcW w:w="3345" w:type="dxa"/>
            <w:tcMar>
              <w:top w:w="0" w:type="dxa"/>
              <w:left w:w="100" w:type="dxa"/>
              <w:bottom w:w="0" w:type="dxa"/>
              <w:right w:w="100" w:type="dxa"/>
            </w:tcMar>
            <w:hideMark/>
          </w:tcPr>
          <w:p w14:paraId="26E9708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It focused on only one form of media i.e., traditional/mass media exposure. Mass media comes in various forms like print, audio and visual, it may also cause varying degrees of effect. </w:t>
            </w:r>
          </w:p>
        </w:tc>
        <w:tc>
          <w:tcPr>
            <w:tcW w:w="4140" w:type="dxa"/>
            <w:tcMar>
              <w:top w:w="0" w:type="dxa"/>
              <w:left w:w="100" w:type="dxa"/>
              <w:bottom w:w="0" w:type="dxa"/>
              <w:right w:w="100" w:type="dxa"/>
            </w:tcMar>
            <w:hideMark/>
          </w:tcPr>
          <w:p w14:paraId="648EE69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Encourage balanced news production by mass media and positive news exposure.</w:t>
            </w:r>
          </w:p>
        </w:tc>
      </w:tr>
      <w:tr w:rsidR="00D260AC" w:rsidRPr="00623A39" w14:paraId="379E518A" w14:textId="77777777" w:rsidTr="00A94920">
        <w:trPr>
          <w:trHeight w:val="255"/>
        </w:trPr>
        <w:tc>
          <w:tcPr>
            <w:tcW w:w="420" w:type="dxa"/>
            <w:tcMar>
              <w:top w:w="0" w:type="dxa"/>
              <w:left w:w="100" w:type="dxa"/>
              <w:bottom w:w="0" w:type="dxa"/>
              <w:right w:w="100" w:type="dxa"/>
            </w:tcMar>
            <w:hideMark/>
          </w:tcPr>
          <w:p w14:paraId="57AC1F1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54</w:t>
            </w:r>
          </w:p>
        </w:tc>
        <w:tc>
          <w:tcPr>
            <w:tcW w:w="930" w:type="dxa"/>
            <w:tcMar>
              <w:top w:w="0" w:type="dxa"/>
              <w:left w:w="100" w:type="dxa"/>
              <w:bottom w:w="0" w:type="dxa"/>
              <w:right w:w="100" w:type="dxa"/>
            </w:tcMar>
            <w:hideMark/>
          </w:tcPr>
          <w:p w14:paraId="01329F4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Gabarrell-Pascuet et al., 2023</w:t>
            </w:r>
          </w:p>
        </w:tc>
        <w:tc>
          <w:tcPr>
            <w:tcW w:w="2100" w:type="dxa"/>
            <w:tcMar>
              <w:top w:w="0" w:type="dxa"/>
              <w:left w:w="100" w:type="dxa"/>
              <w:bottom w:w="0" w:type="dxa"/>
              <w:right w:w="100" w:type="dxa"/>
            </w:tcMar>
            <w:hideMark/>
          </w:tcPr>
          <w:p w14:paraId="0E148D42"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457BCE2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limited access to mental health resources due to pandemic restrictions, which constrained the availability of in-person support services.</w:t>
            </w:r>
          </w:p>
        </w:tc>
        <w:tc>
          <w:tcPr>
            <w:tcW w:w="3345" w:type="dxa"/>
            <w:tcMar>
              <w:top w:w="0" w:type="dxa"/>
              <w:left w:w="100" w:type="dxa"/>
              <w:bottom w:w="0" w:type="dxa"/>
              <w:right w:w="100" w:type="dxa"/>
            </w:tcMar>
            <w:hideMark/>
          </w:tcPr>
          <w:p w14:paraId="399FB35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Reliance on self-report data and limited to the Spanish population, which limits generalizability </w:t>
            </w:r>
          </w:p>
          <w:p w14:paraId="3EAF4587"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4140" w:type="dxa"/>
            <w:tcMar>
              <w:top w:w="0" w:type="dxa"/>
              <w:left w:w="100" w:type="dxa"/>
              <w:bottom w:w="0" w:type="dxa"/>
              <w:right w:w="100" w:type="dxa"/>
            </w:tcMar>
            <w:hideMark/>
          </w:tcPr>
          <w:p w14:paraId="650B25B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long-term resilience training, particularly for younger individuals, to enhance coping skills for future crises. </w:t>
            </w:r>
          </w:p>
          <w:p w14:paraId="77B3610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Policies should address economic support and mental health resources to ensure preparedness for similar events</w:t>
            </w:r>
          </w:p>
        </w:tc>
      </w:tr>
      <w:tr w:rsidR="00D260AC" w:rsidRPr="00623A39" w14:paraId="009B1D63" w14:textId="77777777" w:rsidTr="00A94920">
        <w:trPr>
          <w:trHeight w:val="255"/>
        </w:trPr>
        <w:tc>
          <w:tcPr>
            <w:tcW w:w="420" w:type="dxa"/>
            <w:tcMar>
              <w:top w:w="0" w:type="dxa"/>
              <w:left w:w="100" w:type="dxa"/>
              <w:bottom w:w="0" w:type="dxa"/>
              <w:right w:w="100" w:type="dxa"/>
            </w:tcMar>
            <w:hideMark/>
          </w:tcPr>
          <w:p w14:paraId="4FAAE8A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55</w:t>
            </w:r>
          </w:p>
        </w:tc>
        <w:tc>
          <w:tcPr>
            <w:tcW w:w="930" w:type="dxa"/>
            <w:tcMar>
              <w:top w:w="0" w:type="dxa"/>
              <w:left w:w="100" w:type="dxa"/>
              <w:bottom w:w="0" w:type="dxa"/>
              <w:right w:w="100" w:type="dxa"/>
            </w:tcMar>
            <w:hideMark/>
          </w:tcPr>
          <w:p w14:paraId="6AAD5B5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Fernández et al., 2020</w:t>
            </w:r>
          </w:p>
        </w:tc>
        <w:tc>
          <w:tcPr>
            <w:tcW w:w="2100" w:type="dxa"/>
            <w:tcMar>
              <w:top w:w="0" w:type="dxa"/>
              <w:left w:w="100" w:type="dxa"/>
              <w:bottom w:w="0" w:type="dxa"/>
              <w:right w:w="100" w:type="dxa"/>
            </w:tcMar>
            <w:hideMark/>
          </w:tcPr>
          <w:p w14:paraId="1795E350"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6C3E2B3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lack of access to reliable information source, which increased fear and hindered effective coping</w:t>
            </w:r>
          </w:p>
        </w:tc>
        <w:tc>
          <w:tcPr>
            <w:tcW w:w="3345" w:type="dxa"/>
            <w:tcMar>
              <w:top w:w="0" w:type="dxa"/>
              <w:left w:w="100" w:type="dxa"/>
              <w:bottom w:w="0" w:type="dxa"/>
              <w:right w:w="100" w:type="dxa"/>
            </w:tcMar>
            <w:hideMark/>
          </w:tcPr>
          <w:p w14:paraId="280C847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The study ‘s cross-sectional design limits causal inferences, and sample was predominantly made of Argentine participants, which restricts generalizability. </w:t>
            </w:r>
          </w:p>
        </w:tc>
        <w:tc>
          <w:tcPr>
            <w:tcW w:w="4140" w:type="dxa"/>
            <w:tcMar>
              <w:top w:w="0" w:type="dxa"/>
              <w:left w:w="100" w:type="dxa"/>
              <w:bottom w:w="0" w:type="dxa"/>
              <w:right w:w="100" w:type="dxa"/>
            </w:tcMar>
            <w:hideMark/>
          </w:tcPr>
          <w:p w14:paraId="0342BEF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media literacy programs and public health campaigns to reduce COVID-related fear</w:t>
            </w:r>
          </w:p>
          <w:p w14:paraId="32A40B1A" w14:textId="77777777" w:rsidR="00D260AC" w:rsidRPr="00623A39" w:rsidRDefault="00D260AC" w:rsidP="00A94920">
            <w:pPr>
              <w:spacing w:after="0" w:line="240" w:lineRule="auto"/>
              <w:rPr>
                <w:rFonts w:ascii="Times New Roman" w:eastAsia="Calibri" w:hAnsi="Times New Roman" w:cs="Times New Roman"/>
                <w:sz w:val="18"/>
                <w:szCs w:val="18"/>
              </w:rPr>
            </w:pPr>
          </w:p>
          <w:p w14:paraId="5A4ABF56"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5C3D63E0" w14:textId="77777777" w:rsidTr="00A94920">
        <w:trPr>
          <w:trHeight w:val="255"/>
        </w:trPr>
        <w:tc>
          <w:tcPr>
            <w:tcW w:w="420" w:type="dxa"/>
            <w:tcMar>
              <w:top w:w="0" w:type="dxa"/>
              <w:left w:w="100" w:type="dxa"/>
              <w:bottom w:w="0" w:type="dxa"/>
              <w:right w:w="100" w:type="dxa"/>
            </w:tcMar>
            <w:hideMark/>
          </w:tcPr>
          <w:p w14:paraId="59C31BF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56</w:t>
            </w:r>
          </w:p>
        </w:tc>
        <w:tc>
          <w:tcPr>
            <w:tcW w:w="930" w:type="dxa"/>
            <w:tcMar>
              <w:top w:w="0" w:type="dxa"/>
              <w:left w:w="100" w:type="dxa"/>
              <w:bottom w:w="0" w:type="dxa"/>
              <w:right w:w="100" w:type="dxa"/>
            </w:tcMar>
            <w:hideMark/>
          </w:tcPr>
          <w:p w14:paraId="2D145A4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Fagnani et al., 2024</w:t>
            </w:r>
          </w:p>
        </w:tc>
        <w:tc>
          <w:tcPr>
            <w:tcW w:w="2100" w:type="dxa"/>
            <w:tcMar>
              <w:top w:w="0" w:type="dxa"/>
              <w:left w:w="100" w:type="dxa"/>
              <w:bottom w:w="0" w:type="dxa"/>
              <w:right w:w="100" w:type="dxa"/>
            </w:tcMar>
            <w:hideMark/>
          </w:tcPr>
          <w:p w14:paraId="00D9082E"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211B75C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lack of uniform access to mental health support, as some regions lacked resources to provide continuous psychosocial interventions </w:t>
            </w:r>
          </w:p>
        </w:tc>
        <w:tc>
          <w:tcPr>
            <w:tcW w:w="3345" w:type="dxa"/>
            <w:tcMar>
              <w:top w:w="0" w:type="dxa"/>
              <w:left w:w="100" w:type="dxa"/>
              <w:bottom w:w="0" w:type="dxa"/>
              <w:right w:w="100" w:type="dxa"/>
            </w:tcMar>
            <w:hideMark/>
          </w:tcPr>
          <w:p w14:paraId="3581F51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The cross-sectional nature of the data necessitated longitudinal studies for definitive causal conclusions. Also, self-report measures could introduce bias. </w:t>
            </w:r>
          </w:p>
        </w:tc>
        <w:tc>
          <w:tcPr>
            <w:tcW w:w="4140" w:type="dxa"/>
            <w:tcMar>
              <w:top w:w="0" w:type="dxa"/>
              <w:left w:w="100" w:type="dxa"/>
              <w:bottom w:w="0" w:type="dxa"/>
              <w:right w:w="100" w:type="dxa"/>
            </w:tcMar>
            <w:hideMark/>
          </w:tcPr>
          <w:p w14:paraId="55A42F4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public health campaigns that encourage building social support networks</w:t>
            </w:r>
          </w:p>
          <w:p w14:paraId="16B5EC78"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044B2D8A" w14:textId="77777777" w:rsidTr="00A94920">
        <w:trPr>
          <w:trHeight w:val="255"/>
        </w:trPr>
        <w:tc>
          <w:tcPr>
            <w:tcW w:w="420" w:type="dxa"/>
            <w:tcMar>
              <w:top w:w="0" w:type="dxa"/>
              <w:left w:w="100" w:type="dxa"/>
              <w:bottom w:w="0" w:type="dxa"/>
              <w:right w:w="100" w:type="dxa"/>
            </w:tcMar>
            <w:hideMark/>
          </w:tcPr>
          <w:p w14:paraId="3A2D6FA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57</w:t>
            </w:r>
          </w:p>
        </w:tc>
        <w:tc>
          <w:tcPr>
            <w:tcW w:w="930" w:type="dxa"/>
            <w:tcMar>
              <w:top w:w="0" w:type="dxa"/>
              <w:left w:w="100" w:type="dxa"/>
              <w:bottom w:w="0" w:type="dxa"/>
              <w:right w:w="100" w:type="dxa"/>
            </w:tcMar>
            <w:hideMark/>
          </w:tcPr>
          <w:p w14:paraId="7C20328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de Oliveira, 2021.</w:t>
            </w:r>
          </w:p>
        </w:tc>
        <w:tc>
          <w:tcPr>
            <w:tcW w:w="2100" w:type="dxa"/>
            <w:tcMar>
              <w:top w:w="0" w:type="dxa"/>
              <w:left w:w="100" w:type="dxa"/>
              <w:bottom w:w="0" w:type="dxa"/>
              <w:right w:w="100" w:type="dxa"/>
            </w:tcMar>
            <w:hideMark/>
          </w:tcPr>
          <w:p w14:paraId="7A3E4F7C"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437C32F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Limited access to digital resources for diabetes self-care, </w:t>
            </w:r>
          </w:p>
          <w:p w14:paraId="0EBC35B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unreliable internet and access issues</w:t>
            </w:r>
          </w:p>
        </w:tc>
        <w:tc>
          <w:tcPr>
            <w:tcW w:w="3345" w:type="dxa"/>
            <w:tcMar>
              <w:top w:w="0" w:type="dxa"/>
              <w:left w:w="100" w:type="dxa"/>
              <w:bottom w:w="0" w:type="dxa"/>
              <w:right w:w="100" w:type="dxa"/>
            </w:tcMar>
            <w:hideMark/>
          </w:tcPr>
          <w:p w14:paraId="6565EE0B"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Limitations included a lack of external validity due to non-probabilistic sampling methods.</w:t>
            </w:r>
          </w:p>
          <w:p w14:paraId="126A1529"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A high number of incomplete responses affected the data quality. Anonymity of responses may have influenced participant honesty. The pandemic increased the number of web surveys, which may have diluted the study's reach.</w:t>
            </w:r>
          </w:p>
        </w:tc>
        <w:tc>
          <w:tcPr>
            <w:tcW w:w="4140" w:type="dxa"/>
            <w:tcMar>
              <w:top w:w="0" w:type="dxa"/>
              <w:left w:w="100" w:type="dxa"/>
              <w:bottom w:w="0" w:type="dxa"/>
              <w:right w:w="100" w:type="dxa"/>
            </w:tcMar>
            <w:hideMark/>
          </w:tcPr>
          <w:p w14:paraId="0ABA6E5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Expand digital health support for chronic disease management, foster community-based resilience programs, and ensure accessible mental health resources for diabetic individuals to improve crisis preparedness </w:t>
            </w:r>
          </w:p>
          <w:p w14:paraId="2D287632"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715A962D" w14:textId="77777777" w:rsidTr="00A94920">
        <w:trPr>
          <w:trHeight w:val="255"/>
        </w:trPr>
        <w:tc>
          <w:tcPr>
            <w:tcW w:w="420" w:type="dxa"/>
            <w:tcMar>
              <w:top w:w="0" w:type="dxa"/>
              <w:left w:w="100" w:type="dxa"/>
              <w:bottom w:w="0" w:type="dxa"/>
              <w:right w:w="100" w:type="dxa"/>
            </w:tcMar>
            <w:hideMark/>
          </w:tcPr>
          <w:p w14:paraId="531EC4A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58</w:t>
            </w:r>
          </w:p>
        </w:tc>
        <w:tc>
          <w:tcPr>
            <w:tcW w:w="930" w:type="dxa"/>
            <w:tcMar>
              <w:top w:w="0" w:type="dxa"/>
              <w:left w:w="100" w:type="dxa"/>
              <w:bottom w:w="0" w:type="dxa"/>
              <w:right w:w="100" w:type="dxa"/>
            </w:tcMar>
            <w:hideMark/>
          </w:tcPr>
          <w:p w14:paraId="5E6AF30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Dai et al., 2022</w:t>
            </w:r>
          </w:p>
        </w:tc>
        <w:tc>
          <w:tcPr>
            <w:tcW w:w="2100" w:type="dxa"/>
            <w:tcMar>
              <w:top w:w="0" w:type="dxa"/>
              <w:left w:w="100" w:type="dxa"/>
              <w:bottom w:w="0" w:type="dxa"/>
              <w:right w:w="100" w:type="dxa"/>
            </w:tcMar>
            <w:hideMark/>
          </w:tcPr>
          <w:p w14:paraId="47F9AAB5"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5016BBD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limited digital literacy, which hindered some participants’ online mindfulness resources. </w:t>
            </w:r>
          </w:p>
        </w:tc>
        <w:tc>
          <w:tcPr>
            <w:tcW w:w="3345" w:type="dxa"/>
            <w:tcMar>
              <w:top w:w="0" w:type="dxa"/>
              <w:left w:w="100" w:type="dxa"/>
              <w:bottom w:w="0" w:type="dxa"/>
              <w:right w:w="100" w:type="dxa"/>
            </w:tcMar>
            <w:hideMark/>
          </w:tcPr>
          <w:p w14:paraId="13302781"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 xml:space="preserve">The study's cross-sectional design prevents establishing causal relationships among the variables. Limited participant diversity from a specific, convenience-sampled </w:t>
            </w:r>
            <w:r w:rsidRPr="3173E500">
              <w:rPr>
                <w:rFonts w:ascii="Times New Roman" w:eastAsia="Calibri" w:hAnsi="Times New Roman" w:cs="Times New Roman"/>
                <w:sz w:val="18"/>
                <w:szCs w:val="18"/>
              </w:rPr>
              <w:lastRenderedPageBreak/>
              <w:t>group affects the representativeness of the findings.</w:t>
            </w:r>
          </w:p>
        </w:tc>
        <w:tc>
          <w:tcPr>
            <w:tcW w:w="4140" w:type="dxa"/>
            <w:tcMar>
              <w:top w:w="0" w:type="dxa"/>
              <w:left w:w="100" w:type="dxa"/>
              <w:bottom w:w="0" w:type="dxa"/>
              <w:right w:w="100" w:type="dxa"/>
            </w:tcMar>
            <w:hideMark/>
          </w:tcPr>
          <w:p w14:paraId="39684CE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lastRenderedPageBreak/>
              <w:t>Implement mindfulness-based interventions to support resilience and well-being during future pandemics</w:t>
            </w:r>
          </w:p>
        </w:tc>
      </w:tr>
      <w:tr w:rsidR="00D260AC" w:rsidRPr="00623A39" w14:paraId="51E9AED4" w14:textId="77777777" w:rsidTr="00A94920">
        <w:trPr>
          <w:trHeight w:val="255"/>
        </w:trPr>
        <w:tc>
          <w:tcPr>
            <w:tcW w:w="420" w:type="dxa"/>
            <w:tcMar>
              <w:top w:w="0" w:type="dxa"/>
              <w:left w:w="100" w:type="dxa"/>
              <w:bottom w:w="0" w:type="dxa"/>
              <w:right w:w="100" w:type="dxa"/>
            </w:tcMar>
            <w:hideMark/>
          </w:tcPr>
          <w:p w14:paraId="3B4023E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59</w:t>
            </w:r>
          </w:p>
        </w:tc>
        <w:tc>
          <w:tcPr>
            <w:tcW w:w="930" w:type="dxa"/>
            <w:tcMar>
              <w:top w:w="0" w:type="dxa"/>
              <w:left w:w="100" w:type="dxa"/>
              <w:bottom w:w="0" w:type="dxa"/>
              <w:right w:w="100" w:type="dxa"/>
            </w:tcMar>
            <w:hideMark/>
          </w:tcPr>
          <w:p w14:paraId="26AE099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Chrisinger et al., 2021</w:t>
            </w:r>
          </w:p>
        </w:tc>
        <w:tc>
          <w:tcPr>
            <w:tcW w:w="2100" w:type="dxa"/>
            <w:tcMar>
              <w:top w:w="0" w:type="dxa"/>
              <w:left w:w="100" w:type="dxa"/>
              <w:bottom w:w="0" w:type="dxa"/>
              <w:right w:w="100" w:type="dxa"/>
            </w:tcMar>
            <w:hideMark/>
          </w:tcPr>
          <w:p w14:paraId="7DB2DA4A"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516D536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Prolonged uncertainty, low resilience, social isolation, and health-related fear intensified psychosocial distress during the pandemic</w:t>
            </w:r>
          </w:p>
        </w:tc>
        <w:tc>
          <w:tcPr>
            <w:tcW w:w="3345" w:type="dxa"/>
            <w:tcMar>
              <w:top w:w="0" w:type="dxa"/>
              <w:left w:w="100" w:type="dxa"/>
              <w:bottom w:w="0" w:type="dxa"/>
              <w:right w:w="100" w:type="dxa"/>
            </w:tcMar>
            <w:hideMark/>
          </w:tcPr>
          <w:p w14:paraId="6A2650E4"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WELL registry includes primarily high-income and educated participants, which affects the applicability of findings to the general population. Generalizability is limited due to varying entry dates for participants. The use of a single-item measure for depression presents limitations in accurately assessing depressive symptoms.</w:t>
            </w:r>
          </w:p>
        </w:tc>
        <w:tc>
          <w:tcPr>
            <w:tcW w:w="4140" w:type="dxa"/>
            <w:tcMar>
              <w:top w:w="0" w:type="dxa"/>
              <w:left w:w="100" w:type="dxa"/>
              <w:bottom w:w="0" w:type="dxa"/>
              <w:right w:w="100" w:type="dxa"/>
            </w:tcMar>
            <w:hideMark/>
          </w:tcPr>
          <w:p w14:paraId="5AFA21E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Enhance access to contemplative practice behaviors, including mindfulness and self-compassion practices </w:t>
            </w:r>
          </w:p>
          <w:p w14:paraId="48F47EE7" w14:textId="77777777" w:rsidR="00D260AC" w:rsidRPr="00623A39" w:rsidRDefault="00D260AC" w:rsidP="00A94920">
            <w:pPr>
              <w:spacing w:after="0" w:line="240" w:lineRule="auto"/>
              <w:rPr>
                <w:rFonts w:ascii="Times New Roman" w:eastAsia="Calibri" w:hAnsi="Times New Roman" w:cs="Times New Roman"/>
                <w:sz w:val="18"/>
                <w:szCs w:val="18"/>
              </w:rPr>
            </w:pPr>
          </w:p>
          <w:p w14:paraId="66B53CC8"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2BDCA010" w14:textId="77777777" w:rsidTr="00A94920">
        <w:trPr>
          <w:trHeight w:val="1128"/>
        </w:trPr>
        <w:tc>
          <w:tcPr>
            <w:tcW w:w="420" w:type="dxa"/>
            <w:tcMar>
              <w:top w:w="0" w:type="dxa"/>
              <w:left w:w="100" w:type="dxa"/>
              <w:bottom w:w="0" w:type="dxa"/>
              <w:right w:w="100" w:type="dxa"/>
            </w:tcMar>
            <w:hideMark/>
          </w:tcPr>
          <w:p w14:paraId="0CE4E39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60</w:t>
            </w:r>
          </w:p>
        </w:tc>
        <w:tc>
          <w:tcPr>
            <w:tcW w:w="930" w:type="dxa"/>
            <w:tcMar>
              <w:top w:w="0" w:type="dxa"/>
              <w:left w:w="100" w:type="dxa"/>
              <w:bottom w:w="0" w:type="dxa"/>
              <w:right w:w="100" w:type="dxa"/>
            </w:tcMar>
            <w:hideMark/>
          </w:tcPr>
          <w:p w14:paraId="43FCEDC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Chesterman et al., 2021</w:t>
            </w:r>
          </w:p>
        </w:tc>
        <w:tc>
          <w:tcPr>
            <w:tcW w:w="2100" w:type="dxa"/>
            <w:tcMar>
              <w:top w:w="0" w:type="dxa"/>
              <w:left w:w="100" w:type="dxa"/>
              <w:bottom w:w="0" w:type="dxa"/>
              <w:right w:w="100" w:type="dxa"/>
            </w:tcMar>
            <w:hideMark/>
          </w:tcPr>
          <w:p w14:paraId="5939D848"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1B2B33D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inequality in access to household resources, which limited the resilience-building potential for low-income households</w:t>
            </w:r>
          </w:p>
        </w:tc>
        <w:tc>
          <w:tcPr>
            <w:tcW w:w="3345" w:type="dxa"/>
            <w:tcMar>
              <w:top w:w="0" w:type="dxa"/>
              <w:left w:w="100" w:type="dxa"/>
              <w:bottom w:w="0" w:type="dxa"/>
              <w:right w:w="100" w:type="dxa"/>
            </w:tcMar>
            <w:hideMark/>
          </w:tcPr>
          <w:p w14:paraId="636FEE2E"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A homogeneous sample and reliance on self-reported data, which may not fully capture diverse lockdown experiences</w:t>
            </w:r>
          </w:p>
        </w:tc>
        <w:tc>
          <w:tcPr>
            <w:tcW w:w="4140" w:type="dxa"/>
            <w:tcMar>
              <w:top w:w="0" w:type="dxa"/>
              <w:left w:w="100" w:type="dxa"/>
              <w:bottom w:w="0" w:type="dxa"/>
              <w:right w:w="100" w:type="dxa"/>
            </w:tcMar>
            <w:hideMark/>
          </w:tcPr>
          <w:p w14:paraId="58115452"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Future lockdowns should emphasize emotion-focused coping and social support strategies to promote recovery after stressful events</w:t>
            </w:r>
          </w:p>
        </w:tc>
      </w:tr>
      <w:tr w:rsidR="00D260AC" w:rsidRPr="00623A39" w14:paraId="4F716965" w14:textId="77777777" w:rsidTr="00A94920">
        <w:trPr>
          <w:trHeight w:val="255"/>
        </w:trPr>
        <w:tc>
          <w:tcPr>
            <w:tcW w:w="420" w:type="dxa"/>
            <w:tcMar>
              <w:top w:w="0" w:type="dxa"/>
              <w:left w:w="100" w:type="dxa"/>
              <w:bottom w:w="0" w:type="dxa"/>
              <w:right w:w="100" w:type="dxa"/>
            </w:tcMar>
            <w:hideMark/>
          </w:tcPr>
          <w:p w14:paraId="49F54A3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61</w:t>
            </w:r>
          </w:p>
        </w:tc>
        <w:tc>
          <w:tcPr>
            <w:tcW w:w="930" w:type="dxa"/>
            <w:tcMar>
              <w:top w:w="0" w:type="dxa"/>
              <w:left w:w="100" w:type="dxa"/>
              <w:bottom w:w="0" w:type="dxa"/>
              <w:right w:w="100" w:type="dxa"/>
            </w:tcMar>
            <w:hideMark/>
          </w:tcPr>
          <w:p w14:paraId="622D405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Chen et al., 2022</w:t>
            </w:r>
          </w:p>
        </w:tc>
        <w:tc>
          <w:tcPr>
            <w:tcW w:w="2100" w:type="dxa"/>
            <w:tcMar>
              <w:top w:w="0" w:type="dxa"/>
              <w:left w:w="100" w:type="dxa"/>
              <w:bottom w:w="0" w:type="dxa"/>
              <w:right w:w="100" w:type="dxa"/>
            </w:tcMar>
            <w:hideMark/>
          </w:tcPr>
          <w:p w14:paraId="7D09A543"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7615F7D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limited access to emotional support for residents in rural or isolated areas</w:t>
            </w:r>
          </w:p>
        </w:tc>
        <w:tc>
          <w:tcPr>
            <w:tcW w:w="3345" w:type="dxa"/>
            <w:tcMar>
              <w:top w:w="0" w:type="dxa"/>
              <w:left w:w="100" w:type="dxa"/>
              <w:bottom w:w="0" w:type="dxa"/>
              <w:right w:w="100" w:type="dxa"/>
            </w:tcMar>
            <w:hideMark/>
          </w:tcPr>
          <w:p w14:paraId="43D2FBA8"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based on Hubei residents, lacks generalizability. The study's online data collection, sociodemographic profile, and limited use of a single item for measuring negative emotions may limit its ability to draw definitive conclusions about resilience during a 2-year pandemic</w:t>
            </w:r>
          </w:p>
        </w:tc>
        <w:tc>
          <w:tcPr>
            <w:tcW w:w="4140" w:type="dxa"/>
            <w:tcMar>
              <w:top w:w="0" w:type="dxa"/>
              <w:left w:w="100" w:type="dxa"/>
              <w:bottom w:w="0" w:type="dxa"/>
              <w:right w:w="100" w:type="dxa"/>
            </w:tcMar>
            <w:hideMark/>
          </w:tcPr>
          <w:p w14:paraId="100D273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psychological health interventions and long-term mental health services for vulnerable groups</w:t>
            </w:r>
          </w:p>
          <w:p w14:paraId="63A51708"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5E4BCAF7" w14:textId="77777777" w:rsidTr="00A94920">
        <w:trPr>
          <w:trHeight w:val="255"/>
        </w:trPr>
        <w:tc>
          <w:tcPr>
            <w:tcW w:w="420" w:type="dxa"/>
            <w:tcMar>
              <w:top w:w="0" w:type="dxa"/>
              <w:left w:w="100" w:type="dxa"/>
              <w:bottom w:w="0" w:type="dxa"/>
              <w:right w:w="100" w:type="dxa"/>
            </w:tcMar>
            <w:hideMark/>
          </w:tcPr>
          <w:p w14:paraId="4CE5193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62</w:t>
            </w:r>
          </w:p>
        </w:tc>
        <w:tc>
          <w:tcPr>
            <w:tcW w:w="930" w:type="dxa"/>
            <w:tcMar>
              <w:top w:w="0" w:type="dxa"/>
              <w:left w:w="100" w:type="dxa"/>
              <w:bottom w:w="0" w:type="dxa"/>
              <w:right w:w="100" w:type="dxa"/>
            </w:tcMar>
            <w:hideMark/>
          </w:tcPr>
          <w:p w14:paraId="0C051E7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Chen et al., 2023</w:t>
            </w:r>
          </w:p>
        </w:tc>
        <w:tc>
          <w:tcPr>
            <w:tcW w:w="2100" w:type="dxa"/>
            <w:tcMar>
              <w:top w:w="0" w:type="dxa"/>
              <w:left w:w="100" w:type="dxa"/>
              <w:bottom w:w="0" w:type="dxa"/>
              <w:right w:w="100" w:type="dxa"/>
            </w:tcMar>
            <w:hideMark/>
          </w:tcPr>
          <w:p w14:paraId="3B6D5ECB"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6DDA5CB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limited availability of mental health resources and low mental health literacy in rural areas, which restricted children’s ability to access resilience-building programs</w:t>
            </w:r>
          </w:p>
        </w:tc>
        <w:tc>
          <w:tcPr>
            <w:tcW w:w="3345" w:type="dxa"/>
            <w:tcMar>
              <w:top w:w="0" w:type="dxa"/>
              <w:left w:w="100" w:type="dxa"/>
              <w:bottom w:w="0" w:type="dxa"/>
              <w:right w:w="100" w:type="dxa"/>
            </w:tcMar>
            <w:hideMark/>
          </w:tcPr>
          <w:p w14:paraId="6D2504C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The study, involving third and fourth grade students from rural China, focused on depressive symptoms rather than depression. This may limit the generalizability of findings</w:t>
            </w:r>
          </w:p>
        </w:tc>
        <w:tc>
          <w:tcPr>
            <w:tcW w:w="4140" w:type="dxa"/>
            <w:tcMar>
              <w:top w:w="0" w:type="dxa"/>
              <w:left w:w="100" w:type="dxa"/>
              <w:bottom w:w="0" w:type="dxa"/>
              <w:right w:w="100" w:type="dxa"/>
            </w:tcMar>
            <w:hideMark/>
          </w:tcPr>
          <w:p w14:paraId="4034DD4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Develop school-based programs that focus on building resilience among students.</w:t>
            </w:r>
          </w:p>
          <w:p w14:paraId="471A7D7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Emphasize comprehensive depression prevention and intervention by fostering children's inner resilience and enhancing their ability to navigate interpersonal resources</w:t>
            </w:r>
          </w:p>
        </w:tc>
      </w:tr>
      <w:tr w:rsidR="00D260AC" w:rsidRPr="00623A39" w14:paraId="0F0F69C8" w14:textId="77777777" w:rsidTr="00A94920">
        <w:trPr>
          <w:trHeight w:val="255"/>
        </w:trPr>
        <w:tc>
          <w:tcPr>
            <w:tcW w:w="420" w:type="dxa"/>
            <w:tcMar>
              <w:top w:w="0" w:type="dxa"/>
              <w:left w:w="100" w:type="dxa"/>
              <w:bottom w:w="0" w:type="dxa"/>
              <w:right w:w="100" w:type="dxa"/>
            </w:tcMar>
            <w:hideMark/>
          </w:tcPr>
          <w:p w14:paraId="1CB6614A"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63</w:t>
            </w:r>
          </w:p>
        </w:tc>
        <w:tc>
          <w:tcPr>
            <w:tcW w:w="930" w:type="dxa"/>
            <w:tcMar>
              <w:top w:w="0" w:type="dxa"/>
              <w:left w:w="100" w:type="dxa"/>
              <w:bottom w:w="0" w:type="dxa"/>
              <w:right w:w="100" w:type="dxa"/>
            </w:tcMar>
            <w:hideMark/>
          </w:tcPr>
          <w:p w14:paraId="1BBF1B8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Chan et al., 2021</w:t>
            </w:r>
          </w:p>
        </w:tc>
        <w:tc>
          <w:tcPr>
            <w:tcW w:w="2100" w:type="dxa"/>
            <w:tcMar>
              <w:top w:w="0" w:type="dxa"/>
              <w:left w:w="100" w:type="dxa"/>
              <w:bottom w:w="0" w:type="dxa"/>
              <w:right w:w="100" w:type="dxa"/>
            </w:tcMar>
            <w:hideMark/>
          </w:tcPr>
          <w:p w14:paraId="0D8F634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w:t>
            </w:r>
          </w:p>
        </w:tc>
        <w:tc>
          <w:tcPr>
            <w:tcW w:w="2700" w:type="dxa"/>
            <w:tcMar>
              <w:top w:w="0" w:type="dxa"/>
              <w:left w:w="100" w:type="dxa"/>
              <w:bottom w:w="0" w:type="dxa"/>
              <w:right w:w="100" w:type="dxa"/>
            </w:tcMar>
            <w:hideMark/>
          </w:tcPr>
          <w:p w14:paraId="50E184B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shortage of trained mental health professionals available to support the </w:t>
            </w:r>
            <w:bookmarkStart w:id="15" w:name="_Hlk181552760"/>
            <w:r w:rsidRPr="00623A39">
              <w:rPr>
                <w:rFonts w:ascii="Times New Roman" w:eastAsia="Calibri" w:hAnsi="Times New Roman" w:cs="Times New Roman"/>
                <w:sz w:val="18"/>
                <w:szCs w:val="18"/>
              </w:rPr>
              <w:t>high number of healthcare workers in need</w:t>
            </w:r>
            <w:bookmarkEnd w:id="15"/>
          </w:p>
        </w:tc>
        <w:tc>
          <w:tcPr>
            <w:tcW w:w="3345" w:type="dxa"/>
            <w:tcMar>
              <w:top w:w="0" w:type="dxa"/>
              <w:left w:w="100" w:type="dxa"/>
              <w:bottom w:w="0" w:type="dxa"/>
              <w:right w:w="100" w:type="dxa"/>
            </w:tcMar>
            <w:hideMark/>
          </w:tcPr>
          <w:p w14:paraId="76AC86F0"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The study's cross-sectional design, self-reported data, and convenience sampling biases limit generalizability due to potential method variance, biases, and convenience sampling bias towards female participants.</w:t>
            </w:r>
          </w:p>
        </w:tc>
        <w:tc>
          <w:tcPr>
            <w:tcW w:w="4140" w:type="dxa"/>
            <w:tcMar>
              <w:top w:w="0" w:type="dxa"/>
              <w:left w:w="100" w:type="dxa"/>
              <w:bottom w:w="0" w:type="dxa"/>
              <w:right w:w="100" w:type="dxa"/>
            </w:tcMar>
            <w:hideMark/>
          </w:tcPr>
          <w:p w14:paraId="53C1A311"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Implementing universal interventions can mitigate negative effects and aid recovery post-pandemic.</w:t>
            </w:r>
          </w:p>
          <w:p w14:paraId="4699A302"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208DB3C5" w14:textId="77777777" w:rsidTr="00A94920">
        <w:trPr>
          <w:trHeight w:val="255"/>
        </w:trPr>
        <w:tc>
          <w:tcPr>
            <w:tcW w:w="420" w:type="dxa"/>
            <w:tcMar>
              <w:top w:w="0" w:type="dxa"/>
              <w:left w:w="100" w:type="dxa"/>
              <w:bottom w:w="0" w:type="dxa"/>
              <w:right w:w="100" w:type="dxa"/>
            </w:tcMar>
            <w:hideMark/>
          </w:tcPr>
          <w:p w14:paraId="5D59E04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64</w:t>
            </w:r>
          </w:p>
        </w:tc>
        <w:tc>
          <w:tcPr>
            <w:tcW w:w="930" w:type="dxa"/>
            <w:tcMar>
              <w:top w:w="0" w:type="dxa"/>
              <w:left w:w="100" w:type="dxa"/>
              <w:bottom w:w="0" w:type="dxa"/>
              <w:right w:w="100" w:type="dxa"/>
            </w:tcMar>
            <w:hideMark/>
          </w:tcPr>
          <w:p w14:paraId="5BFD7CE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Cai et al., 2020</w:t>
            </w:r>
          </w:p>
        </w:tc>
        <w:tc>
          <w:tcPr>
            <w:tcW w:w="2100" w:type="dxa"/>
            <w:tcMar>
              <w:top w:w="0" w:type="dxa"/>
              <w:left w:w="100" w:type="dxa"/>
              <w:bottom w:w="0" w:type="dxa"/>
              <w:right w:w="100" w:type="dxa"/>
            </w:tcMar>
            <w:hideMark/>
          </w:tcPr>
          <w:p w14:paraId="26AD687C"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658E2A3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limited social support due to isolation measures.</w:t>
            </w:r>
          </w:p>
        </w:tc>
        <w:tc>
          <w:tcPr>
            <w:tcW w:w="3345" w:type="dxa"/>
            <w:tcMar>
              <w:top w:w="0" w:type="dxa"/>
              <w:left w:w="100" w:type="dxa"/>
              <w:bottom w:w="0" w:type="dxa"/>
              <w:right w:w="100" w:type="dxa"/>
            </w:tcMar>
            <w:hideMark/>
          </w:tcPr>
          <w:p w14:paraId="19F6A9F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The cross-sectional design limits the study’s ability to explain whether weak resilience and reduced social support in newer staff are the reasons for their higher levels of psychological distress.</w:t>
            </w:r>
          </w:p>
        </w:tc>
        <w:tc>
          <w:tcPr>
            <w:tcW w:w="4140" w:type="dxa"/>
            <w:tcMar>
              <w:top w:w="0" w:type="dxa"/>
              <w:left w:w="100" w:type="dxa"/>
              <w:bottom w:w="0" w:type="dxa"/>
              <w:right w:w="100" w:type="dxa"/>
            </w:tcMar>
            <w:hideMark/>
          </w:tcPr>
          <w:p w14:paraId="26E4549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Provide high levels of training and professional experience, along with early support and resources for healthcare workers </w:t>
            </w:r>
          </w:p>
        </w:tc>
      </w:tr>
      <w:tr w:rsidR="00D260AC" w:rsidRPr="00623A39" w14:paraId="744596D0" w14:textId="77777777" w:rsidTr="00A94920">
        <w:trPr>
          <w:trHeight w:val="255"/>
        </w:trPr>
        <w:tc>
          <w:tcPr>
            <w:tcW w:w="420" w:type="dxa"/>
            <w:tcMar>
              <w:top w:w="0" w:type="dxa"/>
              <w:left w:w="100" w:type="dxa"/>
              <w:bottom w:w="0" w:type="dxa"/>
              <w:right w:w="100" w:type="dxa"/>
            </w:tcMar>
            <w:hideMark/>
          </w:tcPr>
          <w:p w14:paraId="773645A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lastRenderedPageBreak/>
              <w:t>65</w:t>
            </w:r>
          </w:p>
        </w:tc>
        <w:tc>
          <w:tcPr>
            <w:tcW w:w="930" w:type="dxa"/>
            <w:tcMar>
              <w:top w:w="0" w:type="dxa"/>
              <w:left w:w="100" w:type="dxa"/>
              <w:bottom w:w="0" w:type="dxa"/>
              <w:right w:w="100" w:type="dxa"/>
            </w:tcMar>
            <w:hideMark/>
          </w:tcPr>
          <w:p w14:paraId="781B4DF7"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Cabello-Toscanoet al., 2023</w:t>
            </w:r>
          </w:p>
        </w:tc>
        <w:tc>
          <w:tcPr>
            <w:tcW w:w="2100" w:type="dxa"/>
            <w:tcMar>
              <w:top w:w="0" w:type="dxa"/>
              <w:left w:w="100" w:type="dxa"/>
              <w:bottom w:w="0" w:type="dxa"/>
              <w:right w:w="100" w:type="dxa"/>
            </w:tcMar>
            <w:hideMark/>
          </w:tcPr>
          <w:p w14:paraId="4A8AFA63"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50B472F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Rising anxiety and depression, age and gender vulnerabilities, and brain network connectivity impacted mental health resilience during the pandemic</w:t>
            </w:r>
          </w:p>
        </w:tc>
        <w:tc>
          <w:tcPr>
            <w:tcW w:w="3345" w:type="dxa"/>
            <w:tcMar>
              <w:top w:w="0" w:type="dxa"/>
              <w:left w:w="100" w:type="dxa"/>
              <w:bottom w:w="0" w:type="dxa"/>
              <w:right w:w="100" w:type="dxa"/>
            </w:tcMar>
            <w:hideMark/>
          </w:tcPr>
          <w:p w14:paraId="35AB671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The sample consisted of mostly middle-aged adults with high educational backgrounds, which may limit generalizability to broader populations. </w:t>
            </w:r>
          </w:p>
        </w:tc>
        <w:tc>
          <w:tcPr>
            <w:tcW w:w="4140" w:type="dxa"/>
            <w:tcMar>
              <w:top w:w="0" w:type="dxa"/>
              <w:left w:w="100" w:type="dxa"/>
              <w:bottom w:w="0" w:type="dxa"/>
              <w:right w:w="100" w:type="dxa"/>
            </w:tcMar>
            <w:hideMark/>
          </w:tcPr>
          <w:p w14:paraId="0B9FA74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cognitive-behavioral interventions focused on managing stress and incorporate neurobiological monitoring for effective stress management in future pandemics</w:t>
            </w:r>
          </w:p>
          <w:p w14:paraId="06E0AC7B" w14:textId="77777777" w:rsidR="00D260AC" w:rsidRPr="00623A39" w:rsidRDefault="00D260AC" w:rsidP="00A94920">
            <w:pPr>
              <w:spacing w:after="0" w:line="240" w:lineRule="auto"/>
              <w:rPr>
                <w:rFonts w:ascii="Times New Roman" w:eastAsia="Calibri" w:hAnsi="Times New Roman" w:cs="Times New Roman"/>
                <w:sz w:val="18"/>
                <w:szCs w:val="18"/>
              </w:rPr>
            </w:pPr>
          </w:p>
        </w:tc>
      </w:tr>
      <w:tr w:rsidR="00D260AC" w:rsidRPr="00623A39" w14:paraId="353CAF75" w14:textId="77777777" w:rsidTr="00A94920">
        <w:trPr>
          <w:trHeight w:val="255"/>
        </w:trPr>
        <w:tc>
          <w:tcPr>
            <w:tcW w:w="420" w:type="dxa"/>
            <w:tcMar>
              <w:top w:w="0" w:type="dxa"/>
              <w:left w:w="100" w:type="dxa"/>
              <w:bottom w:w="0" w:type="dxa"/>
              <w:right w:w="100" w:type="dxa"/>
            </w:tcMar>
            <w:hideMark/>
          </w:tcPr>
          <w:p w14:paraId="2CB7A93E"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66</w:t>
            </w:r>
          </w:p>
        </w:tc>
        <w:tc>
          <w:tcPr>
            <w:tcW w:w="930" w:type="dxa"/>
            <w:tcMar>
              <w:top w:w="0" w:type="dxa"/>
              <w:left w:w="100" w:type="dxa"/>
              <w:bottom w:w="0" w:type="dxa"/>
              <w:right w:w="100" w:type="dxa"/>
            </w:tcMar>
            <w:hideMark/>
          </w:tcPr>
          <w:p w14:paraId="1CE476C8"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Candido et al., 2023</w:t>
            </w:r>
          </w:p>
        </w:tc>
        <w:tc>
          <w:tcPr>
            <w:tcW w:w="2100" w:type="dxa"/>
            <w:tcMar>
              <w:top w:w="0" w:type="dxa"/>
              <w:left w:w="100" w:type="dxa"/>
              <w:bottom w:w="0" w:type="dxa"/>
              <w:right w:w="100" w:type="dxa"/>
            </w:tcMar>
            <w:hideMark/>
          </w:tcPr>
          <w:p w14:paraId="03ADA689"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 </w:t>
            </w:r>
          </w:p>
        </w:tc>
        <w:tc>
          <w:tcPr>
            <w:tcW w:w="2700" w:type="dxa"/>
            <w:tcMar>
              <w:top w:w="0" w:type="dxa"/>
              <w:left w:w="100" w:type="dxa"/>
              <w:bottom w:w="0" w:type="dxa"/>
              <w:right w:w="100" w:type="dxa"/>
            </w:tcMar>
            <w:hideMark/>
          </w:tcPr>
          <w:p w14:paraId="37DA7B02"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the </w:t>
            </w:r>
            <w:bookmarkStart w:id="16" w:name="_Hlk181552977"/>
            <w:r w:rsidRPr="00623A39">
              <w:rPr>
                <w:rFonts w:ascii="Times New Roman" w:eastAsia="Calibri" w:hAnsi="Times New Roman" w:cs="Times New Roman"/>
                <w:sz w:val="18"/>
                <w:szCs w:val="18"/>
              </w:rPr>
              <w:t xml:space="preserve">constantly changing contexts of the pandemic situation, leading to diverse impacts on the psychological </w:t>
            </w:r>
            <w:bookmarkEnd w:id="16"/>
            <w:r w:rsidRPr="00623A39">
              <w:rPr>
                <w:rFonts w:ascii="Times New Roman" w:eastAsia="Calibri" w:hAnsi="Times New Roman" w:cs="Times New Roman"/>
                <w:sz w:val="18"/>
                <w:szCs w:val="18"/>
              </w:rPr>
              <w:t>and mental health of the HCW</w:t>
            </w:r>
          </w:p>
          <w:p w14:paraId="53ADE021" w14:textId="77777777" w:rsidR="00D260AC" w:rsidRPr="00623A39" w:rsidRDefault="00D260AC" w:rsidP="00A94920">
            <w:pPr>
              <w:spacing w:after="0" w:line="240" w:lineRule="auto"/>
              <w:rPr>
                <w:rFonts w:ascii="Times New Roman" w:eastAsia="Calibri" w:hAnsi="Times New Roman" w:cs="Times New Roman"/>
                <w:sz w:val="18"/>
                <w:szCs w:val="18"/>
              </w:rPr>
            </w:pPr>
          </w:p>
          <w:p w14:paraId="507C3B1D"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limited access to mental health services and the high physical strain associated with prolonged PPE use</w:t>
            </w:r>
          </w:p>
        </w:tc>
        <w:tc>
          <w:tcPr>
            <w:tcW w:w="3345" w:type="dxa"/>
            <w:tcMar>
              <w:top w:w="0" w:type="dxa"/>
              <w:left w:w="100" w:type="dxa"/>
              <w:bottom w:w="0" w:type="dxa"/>
              <w:right w:w="100" w:type="dxa"/>
            </w:tcMar>
            <w:hideMark/>
          </w:tcPr>
          <w:p w14:paraId="48F49B4E"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study has limitations, including selection and recall bias, affecting generalizability and response accuracy.</w:t>
            </w:r>
          </w:p>
          <w:p w14:paraId="6AF6DC05"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cross-sectional design restricts causal relationship determination. The sample size was unbalanced by gender, primarily consisting of Italian healthcare workers in university hospitals. Findings may not apply to other countries with different health systems and clinical settings.</w:t>
            </w:r>
          </w:p>
        </w:tc>
        <w:tc>
          <w:tcPr>
            <w:tcW w:w="4140" w:type="dxa"/>
            <w:tcMar>
              <w:top w:w="0" w:type="dxa"/>
              <w:left w:w="100" w:type="dxa"/>
              <w:bottom w:w="0" w:type="dxa"/>
              <w:right w:w="100" w:type="dxa"/>
            </w:tcMar>
            <w:hideMark/>
          </w:tcPr>
          <w:p w14:paraId="1B63A01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Periodic monitoring and screening of healthcare professionals, and implement clinical protocols focused on sleep, resilience, and anxiety to support their overall well-being</w:t>
            </w:r>
          </w:p>
          <w:p w14:paraId="5802020D" w14:textId="77777777" w:rsidR="00D260AC" w:rsidRPr="00623A39" w:rsidRDefault="00D260AC" w:rsidP="00A94920">
            <w:pPr>
              <w:spacing w:after="0" w:line="240" w:lineRule="auto"/>
              <w:rPr>
                <w:rFonts w:ascii="Times New Roman" w:eastAsia="Calibri" w:hAnsi="Times New Roman" w:cs="Times New Roman"/>
                <w:sz w:val="18"/>
                <w:szCs w:val="18"/>
              </w:rPr>
            </w:pPr>
          </w:p>
          <w:p w14:paraId="6015892F"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Advocate for interventions that enhance mental wellness and improve work performance</w:t>
            </w:r>
          </w:p>
        </w:tc>
      </w:tr>
      <w:tr w:rsidR="00D260AC" w:rsidRPr="00623A39" w14:paraId="60CEF723" w14:textId="77777777" w:rsidTr="00A94920">
        <w:trPr>
          <w:trHeight w:val="255"/>
        </w:trPr>
        <w:tc>
          <w:tcPr>
            <w:tcW w:w="420" w:type="dxa"/>
            <w:tcMar>
              <w:top w:w="0" w:type="dxa"/>
              <w:left w:w="100" w:type="dxa"/>
              <w:bottom w:w="0" w:type="dxa"/>
              <w:right w:w="100" w:type="dxa"/>
            </w:tcMar>
            <w:hideMark/>
          </w:tcPr>
          <w:p w14:paraId="7423FE1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67</w:t>
            </w:r>
          </w:p>
        </w:tc>
        <w:tc>
          <w:tcPr>
            <w:tcW w:w="930" w:type="dxa"/>
            <w:tcMar>
              <w:top w:w="0" w:type="dxa"/>
              <w:left w:w="100" w:type="dxa"/>
              <w:bottom w:w="0" w:type="dxa"/>
              <w:right w:w="100" w:type="dxa"/>
            </w:tcMar>
            <w:hideMark/>
          </w:tcPr>
          <w:p w14:paraId="23D85383"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Bahmer et al., 2022</w:t>
            </w:r>
          </w:p>
        </w:tc>
        <w:tc>
          <w:tcPr>
            <w:tcW w:w="2100" w:type="dxa"/>
            <w:tcMar>
              <w:top w:w="0" w:type="dxa"/>
              <w:left w:w="100" w:type="dxa"/>
              <w:bottom w:w="0" w:type="dxa"/>
              <w:right w:w="100" w:type="dxa"/>
            </w:tcMar>
            <w:hideMark/>
          </w:tcPr>
          <w:p w14:paraId="3D088C40"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0BF94DEB" w14:textId="77777777" w:rsidR="00D260AC" w:rsidRPr="00623A39" w:rsidRDefault="00D260AC" w:rsidP="00A94920">
            <w:pPr>
              <w:spacing w:after="0" w:line="240" w:lineRule="auto"/>
              <w:rPr>
                <w:rFonts w:ascii="Times New Roman" w:eastAsia="Calibri" w:hAnsi="Times New Roman" w:cs="Times New Roman"/>
                <w:sz w:val="18"/>
                <w:szCs w:val="18"/>
              </w:rPr>
            </w:pPr>
            <w:bookmarkStart w:id="17" w:name="_Hlk181553094"/>
            <w:r w:rsidRPr="00623A39">
              <w:rPr>
                <w:rFonts w:ascii="Times New Roman" w:eastAsia="Calibri" w:hAnsi="Times New Roman" w:cs="Times New Roman"/>
                <w:sz w:val="18"/>
                <w:szCs w:val="18"/>
              </w:rPr>
              <w:t xml:space="preserve">technological barrier, as some lacked internet or devices. </w:t>
            </w:r>
            <w:bookmarkEnd w:id="17"/>
          </w:p>
        </w:tc>
        <w:tc>
          <w:tcPr>
            <w:tcW w:w="3345" w:type="dxa"/>
            <w:tcMar>
              <w:top w:w="0" w:type="dxa"/>
              <w:left w:w="100" w:type="dxa"/>
              <w:bottom w:w="0" w:type="dxa"/>
              <w:right w:w="100" w:type="dxa"/>
            </w:tcMar>
            <w:hideMark/>
          </w:tcPr>
          <w:p w14:paraId="762EDB9A"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the cross-sectional design prevents an analysis of long-term resilient impacts.</w:t>
            </w:r>
          </w:p>
          <w:p w14:paraId="7EAB9BBA"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Selection bias and lack of diversity in sample may impact the representativeness of the sample.</w:t>
            </w:r>
          </w:p>
          <w:p w14:paraId="18822748"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4140" w:type="dxa"/>
            <w:tcMar>
              <w:top w:w="0" w:type="dxa"/>
              <w:left w:w="100" w:type="dxa"/>
              <w:bottom w:w="0" w:type="dxa"/>
              <w:right w:w="100" w:type="dxa"/>
            </w:tcMar>
            <w:hideMark/>
          </w:tcPr>
          <w:p w14:paraId="5429C09C"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Promote social connectedness through online support groups and implement early identification, monitoring, patient education, strengthening personal resources, structured rehabilitation programs, targeted care for high-risk groups, mental health support, and improved health communication and public health strategies.</w:t>
            </w:r>
          </w:p>
        </w:tc>
      </w:tr>
      <w:tr w:rsidR="00D260AC" w:rsidRPr="00623A39" w14:paraId="11849566" w14:textId="77777777" w:rsidTr="00A94920">
        <w:trPr>
          <w:trHeight w:val="255"/>
        </w:trPr>
        <w:tc>
          <w:tcPr>
            <w:tcW w:w="420" w:type="dxa"/>
            <w:tcMar>
              <w:top w:w="0" w:type="dxa"/>
              <w:left w:w="100" w:type="dxa"/>
              <w:bottom w:w="0" w:type="dxa"/>
              <w:right w:w="100" w:type="dxa"/>
            </w:tcMar>
            <w:hideMark/>
          </w:tcPr>
          <w:p w14:paraId="7EEBEB14"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b/>
                <w:bCs/>
                <w:sz w:val="18"/>
                <w:szCs w:val="18"/>
              </w:rPr>
              <w:t>68</w:t>
            </w:r>
          </w:p>
        </w:tc>
        <w:tc>
          <w:tcPr>
            <w:tcW w:w="930" w:type="dxa"/>
            <w:tcMar>
              <w:top w:w="0" w:type="dxa"/>
              <w:left w:w="100" w:type="dxa"/>
              <w:bottom w:w="0" w:type="dxa"/>
              <w:right w:w="100" w:type="dxa"/>
            </w:tcMar>
            <w:hideMark/>
          </w:tcPr>
          <w:p w14:paraId="3BA657A6"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Abtahi et al., 2021</w:t>
            </w:r>
          </w:p>
        </w:tc>
        <w:tc>
          <w:tcPr>
            <w:tcW w:w="2100" w:type="dxa"/>
            <w:tcMar>
              <w:top w:w="0" w:type="dxa"/>
              <w:left w:w="100" w:type="dxa"/>
              <w:bottom w:w="0" w:type="dxa"/>
              <w:right w:w="100" w:type="dxa"/>
            </w:tcMar>
            <w:hideMark/>
          </w:tcPr>
          <w:p w14:paraId="777D5F08" w14:textId="77777777" w:rsidR="00D260AC" w:rsidRPr="00623A39" w:rsidRDefault="00D260AC" w:rsidP="00A94920">
            <w:pPr>
              <w:spacing w:after="0" w:line="240" w:lineRule="auto"/>
              <w:rPr>
                <w:rFonts w:ascii="Times New Roman" w:eastAsia="Calibri" w:hAnsi="Times New Roman" w:cs="Times New Roman"/>
                <w:sz w:val="18"/>
                <w:szCs w:val="18"/>
              </w:rPr>
            </w:pPr>
          </w:p>
        </w:tc>
        <w:tc>
          <w:tcPr>
            <w:tcW w:w="2700" w:type="dxa"/>
            <w:tcMar>
              <w:top w:w="0" w:type="dxa"/>
              <w:left w:w="100" w:type="dxa"/>
              <w:bottom w:w="0" w:type="dxa"/>
              <w:right w:w="100" w:type="dxa"/>
            </w:tcMar>
            <w:hideMark/>
          </w:tcPr>
          <w:p w14:paraId="1FB3AD0B"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 xml:space="preserve">participant’s initial resistance to mindfulness exercises, due to unfamiliarity with the technique </w:t>
            </w:r>
          </w:p>
        </w:tc>
        <w:tc>
          <w:tcPr>
            <w:tcW w:w="3345" w:type="dxa"/>
            <w:tcMar>
              <w:top w:w="0" w:type="dxa"/>
              <w:left w:w="100" w:type="dxa"/>
              <w:bottom w:w="0" w:type="dxa"/>
              <w:right w:w="100" w:type="dxa"/>
            </w:tcMar>
            <w:hideMark/>
          </w:tcPr>
          <w:p w14:paraId="4B0251A4" w14:textId="77777777" w:rsidR="00D260AC" w:rsidRPr="00623A39" w:rsidRDefault="00D260AC" w:rsidP="00A94920">
            <w:pPr>
              <w:spacing w:after="0" w:line="240" w:lineRule="auto"/>
              <w:rPr>
                <w:rFonts w:ascii="Times New Roman" w:eastAsia="Calibri" w:hAnsi="Times New Roman" w:cs="Times New Roman"/>
                <w:sz w:val="18"/>
                <w:szCs w:val="18"/>
              </w:rPr>
            </w:pPr>
            <w:r w:rsidRPr="3173E500">
              <w:rPr>
                <w:rFonts w:ascii="Times New Roman" w:eastAsia="Calibri" w:hAnsi="Times New Roman" w:cs="Times New Roman"/>
                <w:sz w:val="18"/>
                <w:szCs w:val="18"/>
              </w:rPr>
              <w:t>Limitations in the study include a lack of comprehensive factors affecting employee vulnerability. The focus on specific demographics may lead to measurement bias. Absence of psychological factors, such as stress and anxiety from the pandemic, could impact overall vulnerability. The cross-sectional design limits the ability to capture changes in vulnerability over time. The assumption of a uniform impact may overlook individual variations within specific categories.</w:t>
            </w:r>
          </w:p>
        </w:tc>
        <w:tc>
          <w:tcPr>
            <w:tcW w:w="4140" w:type="dxa"/>
            <w:tcMar>
              <w:top w:w="0" w:type="dxa"/>
              <w:left w:w="100" w:type="dxa"/>
              <w:bottom w:w="0" w:type="dxa"/>
              <w:right w:w="100" w:type="dxa"/>
            </w:tcMar>
            <w:hideMark/>
          </w:tcPr>
          <w:p w14:paraId="3302E7D5" w14:textId="77777777" w:rsidR="00D260AC" w:rsidRPr="00623A39" w:rsidRDefault="00D260AC" w:rsidP="00A94920">
            <w:pPr>
              <w:spacing w:after="0" w:line="240" w:lineRule="auto"/>
              <w:rPr>
                <w:rFonts w:ascii="Times New Roman" w:eastAsia="Calibri" w:hAnsi="Times New Roman" w:cs="Times New Roman"/>
                <w:sz w:val="18"/>
                <w:szCs w:val="18"/>
              </w:rPr>
            </w:pPr>
            <w:r w:rsidRPr="00623A39">
              <w:rPr>
                <w:rFonts w:ascii="Times New Roman" w:eastAsia="Calibri" w:hAnsi="Times New Roman" w:cs="Times New Roman"/>
                <w:sz w:val="18"/>
                <w:szCs w:val="18"/>
              </w:rPr>
              <w:t>Implement structured programs focused on emotional regulation through mindfulness practices.</w:t>
            </w:r>
          </w:p>
        </w:tc>
      </w:tr>
    </w:tbl>
    <w:p w14:paraId="26641451" w14:textId="77777777" w:rsidR="00D260AC" w:rsidRDefault="00D260AC" w:rsidP="00D260AC">
      <w:pPr>
        <w:spacing w:after="0" w:line="480" w:lineRule="auto"/>
        <w:rPr>
          <w:rFonts w:ascii="Times New Roman" w:hAnsi="Times New Roman" w:cs="Times New Roman"/>
          <w:b/>
          <w:bCs/>
          <w:sz w:val="22"/>
          <w:szCs w:val="22"/>
        </w:rPr>
        <w:sectPr w:rsidR="00D260AC" w:rsidSect="00D260AC">
          <w:pgSz w:w="15840" w:h="12240" w:orient="landscape"/>
          <w:pgMar w:top="1440" w:right="1440" w:bottom="1440" w:left="1440" w:header="720" w:footer="720" w:gutter="0"/>
          <w:cols w:space="720"/>
          <w:docGrid w:linePitch="360"/>
        </w:sectPr>
      </w:pPr>
    </w:p>
    <w:p w14:paraId="0421035E" w14:textId="77777777" w:rsidR="00D260AC" w:rsidRDefault="00D260AC" w:rsidP="00EF7290">
      <w:pPr>
        <w:spacing w:after="0" w:line="480" w:lineRule="auto"/>
        <w:jc w:val="both"/>
        <w:rPr>
          <w:rFonts w:ascii="Times New Roman" w:hAnsi="Times New Roman" w:cs="Times New Roman"/>
          <w:b/>
          <w:bCs/>
          <w:sz w:val="22"/>
          <w:szCs w:val="22"/>
        </w:rPr>
      </w:pPr>
    </w:p>
    <w:p w14:paraId="5424AAA2" w14:textId="53D7A0E4" w:rsidR="00EF7290" w:rsidRPr="008264F9" w:rsidRDefault="00EF7290" w:rsidP="00EF7290">
      <w:pPr>
        <w:spacing w:after="0" w:line="480" w:lineRule="auto"/>
        <w:jc w:val="both"/>
        <w:rPr>
          <w:rFonts w:ascii="Times New Roman" w:hAnsi="Times New Roman" w:cs="Times New Roman"/>
          <w:b/>
          <w:bCs/>
          <w:sz w:val="22"/>
          <w:szCs w:val="22"/>
        </w:rPr>
      </w:pPr>
      <w:r w:rsidRPr="008264F9">
        <w:rPr>
          <w:rFonts w:ascii="Times New Roman" w:hAnsi="Times New Roman" w:cs="Times New Roman"/>
          <w:b/>
          <w:bCs/>
          <w:sz w:val="22"/>
          <w:szCs w:val="22"/>
        </w:rPr>
        <w:t xml:space="preserve">Supplementary Table </w:t>
      </w:r>
      <w:r>
        <w:rPr>
          <w:rFonts w:ascii="Times New Roman" w:hAnsi="Times New Roman" w:cs="Times New Roman"/>
          <w:b/>
          <w:bCs/>
          <w:sz w:val="22"/>
          <w:szCs w:val="22"/>
        </w:rPr>
        <w:t>3</w:t>
      </w:r>
      <w:r w:rsidRPr="008264F9">
        <w:rPr>
          <w:rFonts w:ascii="Times New Roman" w:hAnsi="Times New Roman" w:cs="Times New Roman"/>
          <w:b/>
          <w:bCs/>
          <w:sz w:val="22"/>
          <w:szCs w:val="22"/>
        </w:rPr>
        <w:t xml:space="preserve">a. </w:t>
      </w:r>
      <w:r w:rsidRPr="008264F9">
        <w:rPr>
          <w:rFonts w:ascii="Times New Roman" w:hAnsi="Times New Roman" w:cs="Times New Roman"/>
          <w:i/>
          <w:iCs/>
          <w:sz w:val="22"/>
          <w:szCs w:val="22"/>
        </w:rPr>
        <w:t>Quality Assessment for Cross-sectional Studies.</w:t>
      </w:r>
    </w:p>
    <w:tbl>
      <w:tblPr>
        <w:tblStyle w:val="TableGrid"/>
        <w:tblW w:w="14514" w:type="dxa"/>
        <w:tblInd w:w="-785" w:type="dxa"/>
        <w:tblBorders>
          <w:insideV w:val="none" w:sz="0" w:space="0" w:color="auto"/>
        </w:tblBorders>
        <w:tblLook w:val="04A0" w:firstRow="1" w:lastRow="0" w:firstColumn="1" w:lastColumn="0" w:noHBand="0" w:noVBand="1"/>
      </w:tblPr>
      <w:tblGrid>
        <w:gridCol w:w="2623"/>
        <w:gridCol w:w="675"/>
        <w:gridCol w:w="674"/>
        <w:gridCol w:w="674"/>
        <w:gridCol w:w="674"/>
        <w:gridCol w:w="674"/>
        <w:gridCol w:w="674"/>
        <w:gridCol w:w="674"/>
        <w:gridCol w:w="674"/>
        <w:gridCol w:w="674"/>
        <w:gridCol w:w="674"/>
        <w:gridCol w:w="674"/>
        <w:gridCol w:w="674"/>
        <w:gridCol w:w="674"/>
        <w:gridCol w:w="734"/>
        <w:gridCol w:w="810"/>
        <w:gridCol w:w="1584"/>
      </w:tblGrid>
      <w:tr w:rsidR="00EF7290" w:rsidRPr="002F25BD" w14:paraId="726CF13D" w14:textId="77777777" w:rsidTr="00CE6A6D">
        <w:trPr>
          <w:trHeight w:val="288"/>
          <w:tblHeader/>
        </w:trPr>
        <w:tc>
          <w:tcPr>
            <w:tcW w:w="2623" w:type="dxa"/>
            <w:noWrap/>
            <w:hideMark/>
          </w:tcPr>
          <w:p w14:paraId="1DB2F37A"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Studies</w:t>
            </w:r>
          </w:p>
        </w:tc>
        <w:tc>
          <w:tcPr>
            <w:tcW w:w="675" w:type="dxa"/>
            <w:noWrap/>
            <w:hideMark/>
          </w:tcPr>
          <w:p w14:paraId="75335500"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w:t>
            </w:r>
          </w:p>
        </w:tc>
        <w:tc>
          <w:tcPr>
            <w:tcW w:w="674" w:type="dxa"/>
            <w:noWrap/>
            <w:hideMark/>
          </w:tcPr>
          <w:p w14:paraId="4D50DE5B"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D2</w:t>
            </w:r>
          </w:p>
        </w:tc>
        <w:tc>
          <w:tcPr>
            <w:tcW w:w="674" w:type="dxa"/>
            <w:noWrap/>
            <w:hideMark/>
          </w:tcPr>
          <w:p w14:paraId="326F1E8E"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D3</w:t>
            </w:r>
          </w:p>
        </w:tc>
        <w:tc>
          <w:tcPr>
            <w:tcW w:w="674" w:type="dxa"/>
            <w:noWrap/>
            <w:hideMark/>
          </w:tcPr>
          <w:p w14:paraId="6BF3EABA"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D4</w:t>
            </w:r>
          </w:p>
        </w:tc>
        <w:tc>
          <w:tcPr>
            <w:tcW w:w="674" w:type="dxa"/>
            <w:noWrap/>
            <w:hideMark/>
          </w:tcPr>
          <w:p w14:paraId="0780C3CE"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D5</w:t>
            </w:r>
          </w:p>
        </w:tc>
        <w:tc>
          <w:tcPr>
            <w:tcW w:w="674" w:type="dxa"/>
            <w:noWrap/>
            <w:hideMark/>
          </w:tcPr>
          <w:p w14:paraId="71E46E67"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D6</w:t>
            </w:r>
          </w:p>
        </w:tc>
        <w:tc>
          <w:tcPr>
            <w:tcW w:w="674" w:type="dxa"/>
            <w:noWrap/>
            <w:hideMark/>
          </w:tcPr>
          <w:p w14:paraId="636C6AF0"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D7</w:t>
            </w:r>
          </w:p>
        </w:tc>
        <w:tc>
          <w:tcPr>
            <w:tcW w:w="674" w:type="dxa"/>
            <w:noWrap/>
            <w:hideMark/>
          </w:tcPr>
          <w:p w14:paraId="514F6D67"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D8</w:t>
            </w:r>
          </w:p>
        </w:tc>
        <w:tc>
          <w:tcPr>
            <w:tcW w:w="674" w:type="dxa"/>
            <w:noWrap/>
            <w:hideMark/>
          </w:tcPr>
          <w:p w14:paraId="6F24D7B1"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D9</w:t>
            </w:r>
          </w:p>
        </w:tc>
        <w:tc>
          <w:tcPr>
            <w:tcW w:w="674" w:type="dxa"/>
            <w:noWrap/>
            <w:hideMark/>
          </w:tcPr>
          <w:p w14:paraId="737381E1"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D10</w:t>
            </w:r>
          </w:p>
        </w:tc>
        <w:tc>
          <w:tcPr>
            <w:tcW w:w="674" w:type="dxa"/>
            <w:noWrap/>
            <w:hideMark/>
          </w:tcPr>
          <w:p w14:paraId="314A9A30"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D11</w:t>
            </w:r>
          </w:p>
        </w:tc>
        <w:tc>
          <w:tcPr>
            <w:tcW w:w="674" w:type="dxa"/>
            <w:noWrap/>
            <w:hideMark/>
          </w:tcPr>
          <w:p w14:paraId="1609EA3F"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D12</w:t>
            </w:r>
          </w:p>
        </w:tc>
        <w:tc>
          <w:tcPr>
            <w:tcW w:w="674" w:type="dxa"/>
            <w:noWrap/>
            <w:hideMark/>
          </w:tcPr>
          <w:p w14:paraId="156C3F51"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D13</w:t>
            </w:r>
          </w:p>
        </w:tc>
        <w:tc>
          <w:tcPr>
            <w:tcW w:w="734" w:type="dxa"/>
            <w:noWrap/>
            <w:hideMark/>
          </w:tcPr>
          <w:p w14:paraId="74C5C463"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D14</w:t>
            </w:r>
          </w:p>
        </w:tc>
        <w:tc>
          <w:tcPr>
            <w:tcW w:w="810" w:type="dxa"/>
            <w:noWrap/>
            <w:hideMark/>
          </w:tcPr>
          <w:p w14:paraId="620C127C"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Total</w:t>
            </w:r>
          </w:p>
        </w:tc>
        <w:tc>
          <w:tcPr>
            <w:tcW w:w="1584" w:type="dxa"/>
            <w:noWrap/>
            <w:hideMark/>
          </w:tcPr>
          <w:p w14:paraId="042DF717"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Overall Rating</w:t>
            </w:r>
          </w:p>
        </w:tc>
      </w:tr>
      <w:tr w:rsidR="00EF7290" w:rsidRPr="002F25BD" w14:paraId="6CDBFC2C" w14:textId="77777777" w:rsidTr="00CE6A6D">
        <w:trPr>
          <w:trHeight w:val="288"/>
        </w:trPr>
        <w:tc>
          <w:tcPr>
            <w:tcW w:w="2623" w:type="dxa"/>
            <w:noWrap/>
            <w:hideMark/>
          </w:tcPr>
          <w:p w14:paraId="586FA0B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Zheng et al. (2023)</w:t>
            </w:r>
          </w:p>
        </w:tc>
        <w:tc>
          <w:tcPr>
            <w:tcW w:w="675" w:type="dxa"/>
            <w:noWrap/>
            <w:hideMark/>
          </w:tcPr>
          <w:p w14:paraId="4D75EB3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FCE840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0AC374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9D212E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B2C466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C954AA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65F0C0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75DCE1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4B96A1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82773E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C9661A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02DEDE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D0BCE3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48F403E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5445B16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10B4382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0A74A37A" w14:textId="77777777" w:rsidTr="00CE6A6D">
        <w:trPr>
          <w:trHeight w:val="288"/>
        </w:trPr>
        <w:tc>
          <w:tcPr>
            <w:tcW w:w="2623" w:type="dxa"/>
            <w:noWrap/>
            <w:hideMark/>
          </w:tcPr>
          <w:p w14:paraId="4E661E6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Zheng et al. (2021)</w:t>
            </w:r>
          </w:p>
        </w:tc>
        <w:tc>
          <w:tcPr>
            <w:tcW w:w="675" w:type="dxa"/>
            <w:noWrap/>
            <w:hideMark/>
          </w:tcPr>
          <w:p w14:paraId="3EA9C13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1664CB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C9A24B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07F02E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39E44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9B24AD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7EE729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1AE420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527CB1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2A7860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FCC9AD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75E33E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3FAFFE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5F386E4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12EC65F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120FFD4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5A072B02" w14:textId="77777777" w:rsidTr="00CE6A6D">
        <w:trPr>
          <w:trHeight w:val="288"/>
        </w:trPr>
        <w:tc>
          <w:tcPr>
            <w:tcW w:w="2623" w:type="dxa"/>
            <w:noWrap/>
            <w:hideMark/>
          </w:tcPr>
          <w:p w14:paraId="37B03D8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Zhang et al. (2021)</w:t>
            </w:r>
          </w:p>
        </w:tc>
        <w:tc>
          <w:tcPr>
            <w:tcW w:w="675" w:type="dxa"/>
            <w:noWrap/>
            <w:hideMark/>
          </w:tcPr>
          <w:p w14:paraId="7F349B4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036316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A12669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EF6290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4902B7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9E1144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AD2E42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78733E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8DE5A2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534E64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19730B6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D8977E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4DCA0B6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5B24154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1252359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76DEBD0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24F1414F" w14:textId="77777777" w:rsidTr="00CE6A6D">
        <w:trPr>
          <w:trHeight w:val="288"/>
        </w:trPr>
        <w:tc>
          <w:tcPr>
            <w:tcW w:w="2623" w:type="dxa"/>
            <w:hideMark/>
          </w:tcPr>
          <w:p w14:paraId="6009C7A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Kocjan et al. (2021)</w:t>
            </w:r>
          </w:p>
        </w:tc>
        <w:tc>
          <w:tcPr>
            <w:tcW w:w="675" w:type="dxa"/>
            <w:noWrap/>
            <w:hideMark/>
          </w:tcPr>
          <w:p w14:paraId="723D99B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03F4DA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793252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43065F4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682138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73377E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C8CE28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3DAC1D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A4C01F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0F35F6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39FDEF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73A715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81A0F5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4ACC1B9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134AF0D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3D05DCB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4DF27B6E" w14:textId="77777777" w:rsidTr="00CE6A6D">
        <w:trPr>
          <w:trHeight w:val="288"/>
        </w:trPr>
        <w:tc>
          <w:tcPr>
            <w:tcW w:w="2623" w:type="dxa"/>
            <w:hideMark/>
          </w:tcPr>
          <w:p w14:paraId="56632B9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Wang et al. (2023)</w:t>
            </w:r>
          </w:p>
        </w:tc>
        <w:tc>
          <w:tcPr>
            <w:tcW w:w="675" w:type="dxa"/>
            <w:noWrap/>
            <w:hideMark/>
          </w:tcPr>
          <w:p w14:paraId="358C536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367EFC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565A37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73C083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513B12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F7FB4C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146219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A8255C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5224DB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00B96A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379F819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D3AB65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0734FC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72C8431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07C35D6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6CE2A57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7A63DEEA" w14:textId="77777777" w:rsidTr="00CE6A6D">
        <w:trPr>
          <w:trHeight w:val="288"/>
        </w:trPr>
        <w:tc>
          <w:tcPr>
            <w:tcW w:w="2623" w:type="dxa"/>
            <w:noWrap/>
            <w:hideMark/>
          </w:tcPr>
          <w:p w14:paraId="6A76039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Vijayalakshmi et al. (2023)</w:t>
            </w:r>
          </w:p>
        </w:tc>
        <w:tc>
          <w:tcPr>
            <w:tcW w:w="675" w:type="dxa"/>
            <w:noWrap/>
            <w:hideMark/>
          </w:tcPr>
          <w:p w14:paraId="4C75003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F960C9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A6D785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54AF3F2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216C45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E77EDA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9E5705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213B4C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90B748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7828CC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660770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DC235B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4E94352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26C7FA8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60E1D87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5</w:t>
            </w:r>
          </w:p>
        </w:tc>
        <w:tc>
          <w:tcPr>
            <w:tcW w:w="1584" w:type="dxa"/>
            <w:noWrap/>
            <w:hideMark/>
          </w:tcPr>
          <w:p w14:paraId="533A308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Fair</w:t>
            </w:r>
          </w:p>
        </w:tc>
      </w:tr>
      <w:tr w:rsidR="00EF7290" w:rsidRPr="002F25BD" w14:paraId="5D11F564" w14:textId="77777777" w:rsidTr="00CE6A6D">
        <w:trPr>
          <w:trHeight w:val="288"/>
        </w:trPr>
        <w:tc>
          <w:tcPr>
            <w:tcW w:w="2623" w:type="dxa"/>
            <w:hideMark/>
          </w:tcPr>
          <w:p w14:paraId="646BA23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Varma et al. (2021)</w:t>
            </w:r>
          </w:p>
        </w:tc>
        <w:tc>
          <w:tcPr>
            <w:tcW w:w="675" w:type="dxa"/>
            <w:noWrap/>
            <w:hideMark/>
          </w:tcPr>
          <w:p w14:paraId="103B889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6F352C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FBAB0C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81C5CA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31BE39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FF5E42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73F7C8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998F9E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CB8931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FF0010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564F07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C69ED8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6CA4E3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4A28D0E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1AE31E3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160BC85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7516792C" w14:textId="77777777" w:rsidTr="00CE6A6D">
        <w:trPr>
          <w:trHeight w:val="288"/>
        </w:trPr>
        <w:tc>
          <w:tcPr>
            <w:tcW w:w="2623" w:type="dxa"/>
            <w:hideMark/>
          </w:tcPr>
          <w:p w14:paraId="14FFEF3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Vannini et al. (2021)</w:t>
            </w:r>
          </w:p>
        </w:tc>
        <w:tc>
          <w:tcPr>
            <w:tcW w:w="675" w:type="dxa"/>
            <w:noWrap/>
            <w:hideMark/>
          </w:tcPr>
          <w:p w14:paraId="398914C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AEF038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E67988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753534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2ADA0C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9FDED0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D7AED4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FEC83A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F83312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701615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3AFFF4B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85AD29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1F4EA03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2665F76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30D15A4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6A81152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121A60FB" w14:textId="77777777" w:rsidTr="00CE6A6D">
        <w:trPr>
          <w:trHeight w:val="288"/>
        </w:trPr>
        <w:tc>
          <w:tcPr>
            <w:tcW w:w="2623" w:type="dxa"/>
            <w:hideMark/>
          </w:tcPr>
          <w:p w14:paraId="7A3389A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Üngüren &amp; Kaçmaz (2022)</w:t>
            </w:r>
          </w:p>
        </w:tc>
        <w:tc>
          <w:tcPr>
            <w:tcW w:w="675" w:type="dxa"/>
            <w:noWrap/>
            <w:hideMark/>
          </w:tcPr>
          <w:p w14:paraId="2635223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F6D66C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30CA3E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16F7C27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9EAF20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554790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4B48E2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DBE9BB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46815F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81E98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8C905F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2F807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104055A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0F21D43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1FD6E37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11E17A3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29A61666" w14:textId="77777777" w:rsidTr="00CE6A6D">
        <w:trPr>
          <w:trHeight w:val="288"/>
        </w:trPr>
        <w:tc>
          <w:tcPr>
            <w:tcW w:w="2623" w:type="dxa"/>
            <w:noWrap/>
            <w:hideMark/>
          </w:tcPr>
          <w:p w14:paraId="19073E3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Tsibidak  (2021)</w:t>
            </w:r>
          </w:p>
        </w:tc>
        <w:tc>
          <w:tcPr>
            <w:tcW w:w="675" w:type="dxa"/>
            <w:noWrap/>
            <w:hideMark/>
          </w:tcPr>
          <w:p w14:paraId="45EADDA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E4664C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D94EB9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651F4D7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CEB6B8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E88F4B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720958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8142FE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97FB4E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34BA38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17CE942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B16183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49AB1E5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44B6CF7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34429B8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7A54FE2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2666F842" w14:textId="77777777" w:rsidTr="00CE6A6D">
        <w:trPr>
          <w:trHeight w:val="288"/>
        </w:trPr>
        <w:tc>
          <w:tcPr>
            <w:tcW w:w="2623" w:type="dxa"/>
            <w:hideMark/>
          </w:tcPr>
          <w:p w14:paraId="63B61BC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Toyama et al.(2023)</w:t>
            </w:r>
          </w:p>
        </w:tc>
        <w:tc>
          <w:tcPr>
            <w:tcW w:w="675" w:type="dxa"/>
            <w:noWrap/>
            <w:hideMark/>
          </w:tcPr>
          <w:p w14:paraId="5C554BA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F44511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AE87A4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3A8179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29CCF5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4CC441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B5D9C6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146A23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DC90C3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4E7633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BD61F4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07A53B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3FE954A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7560D8E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1F6E71D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6B11D6B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60B0BA61" w14:textId="77777777" w:rsidTr="00CE6A6D">
        <w:trPr>
          <w:trHeight w:val="288"/>
        </w:trPr>
        <w:tc>
          <w:tcPr>
            <w:tcW w:w="2623" w:type="dxa"/>
            <w:hideMark/>
          </w:tcPr>
          <w:p w14:paraId="574EC46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Taylor e. al. (2021)</w:t>
            </w:r>
          </w:p>
        </w:tc>
        <w:tc>
          <w:tcPr>
            <w:tcW w:w="675" w:type="dxa"/>
            <w:noWrap/>
            <w:hideMark/>
          </w:tcPr>
          <w:p w14:paraId="03D2A29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2B4C45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BDD01A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5894C7B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EBEC13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70695D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2AE806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B8053C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51A856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57DB74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2ED3BB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217DCC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187D923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245F0C3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6D656C3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66F5043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6E2AE0A1" w14:textId="77777777" w:rsidTr="00CE6A6D">
        <w:trPr>
          <w:trHeight w:val="288"/>
        </w:trPr>
        <w:tc>
          <w:tcPr>
            <w:tcW w:w="2623" w:type="dxa"/>
            <w:hideMark/>
          </w:tcPr>
          <w:p w14:paraId="76EAFEB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Skalski et al. (2021)</w:t>
            </w:r>
          </w:p>
        </w:tc>
        <w:tc>
          <w:tcPr>
            <w:tcW w:w="675" w:type="dxa"/>
            <w:noWrap/>
            <w:hideMark/>
          </w:tcPr>
          <w:p w14:paraId="303BA14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AA6198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12EEF0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109460A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74D4F6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BEBB64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CBC7A6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5B200D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8D61B9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8ECEBC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441F458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EBB4A5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22101C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774E962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1CE2FBB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4ADF28B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39B4C6A8" w14:textId="77777777" w:rsidTr="00CE6A6D">
        <w:trPr>
          <w:trHeight w:val="288"/>
        </w:trPr>
        <w:tc>
          <w:tcPr>
            <w:tcW w:w="2623" w:type="dxa"/>
            <w:hideMark/>
          </w:tcPr>
          <w:p w14:paraId="7DF877F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AlKudsi et al. (2022)</w:t>
            </w:r>
          </w:p>
        </w:tc>
        <w:tc>
          <w:tcPr>
            <w:tcW w:w="675" w:type="dxa"/>
            <w:noWrap/>
            <w:hideMark/>
          </w:tcPr>
          <w:p w14:paraId="4020670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61E297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E29F94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B4DB97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FD1EB4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33C71E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0EA02E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C7E584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60D2EA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2C473F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5A2CC9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19067B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BE8D38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2E07539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6A1E52D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8</w:t>
            </w:r>
          </w:p>
        </w:tc>
        <w:tc>
          <w:tcPr>
            <w:tcW w:w="1584" w:type="dxa"/>
            <w:noWrap/>
            <w:hideMark/>
          </w:tcPr>
          <w:p w14:paraId="285E03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3995307E" w14:textId="77777777" w:rsidTr="00CE6A6D">
        <w:trPr>
          <w:trHeight w:val="288"/>
        </w:trPr>
        <w:tc>
          <w:tcPr>
            <w:tcW w:w="2623" w:type="dxa"/>
            <w:hideMark/>
          </w:tcPr>
          <w:p w14:paraId="6735DEC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Rotonda et al. (2021)</w:t>
            </w:r>
          </w:p>
        </w:tc>
        <w:tc>
          <w:tcPr>
            <w:tcW w:w="675" w:type="dxa"/>
            <w:noWrap/>
            <w:hideMark/>
          </w:tcPr>
          <w:p w14:paraId="18AFE6D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F376D3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C65D02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8EEC3E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ADE520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DFEB47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F5DD0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D101E4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E67AD5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A70D69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5E43FD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072A3D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903CBB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71ABF5B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6CFD4D9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5</w:t>
            </w:r>
          </w:p>
        </w:tc>
        <w:tc>
          <w:tcPr>
            <w:tcW w:w="1584" w:type="dxa"/>
            <w:noWrap/>
            <w:hideMark/>
          </w:tcPr>
          <w:p w14:paraId="4C9635A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Fair</w:t>
            </w:r>
          </w:p>
        </w:tc>
      </w:tr>
      <w:tr w:rsidR="00EF7290" w:rsidRPr="002F25BD" w14:paraId="6E8CB5B2" w14:textId="77777777" w:rsidTr="00CE6A6D">
        <w:trPr>
          <w:trHeight w:val="288"/>
        </w:trPr>
        <w:tc>
          <w:tcPr>
            <w:tcW w:w="2623" w:type="dxa"/>
            <w:hideMark/>
          </w:tcPr>
          <w:p w14:paraId="2B72300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Reicherts et al. (2022)</w:t>
            </w:r>
          </w:p>
        </w:tc>
        <w:tc>
          <w:tcPr>
            <w:tcW w:w="675" w:type="dxa"/>
            <w:noWrap/>
            <w:hideMark/>
          </w:tcPr>
          <w:p w14:paraId="56A9901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2091BB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27839A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0947B7A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F5D0CF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FC7E36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26CE28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63B40A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A2BA72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7B73E6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BE1F61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6A9E5A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3EDC450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235220E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20C5DAB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6164AEA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67813B85" w14:textId="77777777" w:rsidTr="00CE6A6D">
        <w:trPr>
          <w:trHeight w:val="288"/>
        </w:trPr>
        <w:tc>
          <w:tcPr>
            <w:tcW w:w="2623" w:type="dxa"/>
            <w:noWrap/>
            <w:hideMark/>
          </w:tcPr>
          <w:p w14:paraId="272371F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Pigati et al. (2022)</w:t>
            </w:r>
          </w:p>
        </w:tc>
        <w:tc>
          <w:tcPr>
            <w:tcW w:w="675" w:type="dxa"/>
            <w:noWrap/>
            <w:hideMark/>
          </w:tcPr>
          <w:p w14:paraId="15D8C85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88B35E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F9FDFD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35C38A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3F5C21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624F13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24759B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648E5C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5A383D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D04CD2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C4038E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6D3AB9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169B59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7F691D0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7E8A889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8</w:t>
            </w:r>
          </w:p>
        </w:tc>
        <w:tc>
          <w:tcPr>
            <w:tcW w:w="1584" w:type="dxa"/>
            <w:noWrap/>
            <w:hideMark/>
          </w:tcPr>
          <w:p w14:paraId="23A762A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20B237E7" w14:textId="77777777" w:rsidTr="00CE6A6D">
        <w:trPr>
          <w:trHeight w:val="288"/>
        </w:trPr>
        <w:tc>
          <w:tcPr>
            <w:tcW w:w="2623" w:type="dxa"/>
            <w:hideMark/>
          </w:tcPr>
          <w:p w14:paraId="63D551C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Paredes et al. (2021)</w:t>
            </w:r>
          </w:p>
        </w:tc>
        <w:tc>
          <w:tcPr>
            <w:tcW w:w="675" w:type="dxa"/>
            <w:noWrap/>
            <w:hideMark/>
          </w:tcPr>
          <w:p w14:paraId="09AE3D4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C723A7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539C75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4A2166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9430CB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C4ACBE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C7C279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207B62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CE4D2F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17DEF8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375ABE7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F49024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1EE9B9C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078912E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30A6512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778411F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76963B32" w14:textId="77777777" w:rsidTr="00CE6A6D">
        <w:trPr>
          <w:trHeight w:val="288"/>
        </w:trPr>
        <w:tc>
          <w:tcPr>
            <w:tcW w:w="2623" w:type="dxa"/>
            <w:hideMark/>
          </w:tcPr>
          <w:p w14:paraId="7017667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lastRenderedPageBreak/>
              <w:t>Padmanabhanunni et al. (2023)</w:t>
            </w:r>
          </w:p>
        </w:tc>
        <w:tc>
          <w:tcPr>
            <w:tcW w:w="675" w:type="dxa"/>
            <w:noWrap/>
            <w:hideMark/>
          </w:tcPr>
          <w:p w14:paraId="4CC2E35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B990B4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95267E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1967E88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24F2E1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2A8466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CA0D42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0F798A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5A76F1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35DC94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000959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178B7F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F36A2B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1E0E6AA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2A1F614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10E32F3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2D065338" w14:textId="77777777" w:rsidTr="00CE6A6D">
        <w:trPr>
          <w:trHeight w:val="288"/>
        </w:trPr>
        <w:tc>
          <w:tcPr>
            <w:tcW w:w="2623" w:type="dxa"/>
            <w:hideMark/>
          </w:tcPr>
          <w:p w14:paraId="7C69E98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Ouanes et al. (2021)</w:t>
            </w:r>
          </w:p>
        </w:tc>
        <w:tc>
          <w:tcPr>
            <w:tcW w:w="675" w:type="dxa"/>
            <w:noWrap/>
            <w:hideMark/>
          </w:tcPr>
          <w:p w14:paraId="0631676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059395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9F933F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84B6C8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08EB90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E5C25E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02777F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531550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096FC4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B580AE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BA6153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D895AD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96DCA5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33F8FB5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71D03E1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5CEA8BE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2E8C350A" w14:textId="77777777" w:rsidTr="00CE6A6D">
        <w:trPr>
          <w:trHeight w:val="288"/>
        </w:trPr>
        <w:tc>
          <w:tcPr>
            <w:tcW w:w="2623" w:type="dxa"/>
            <w:hideMark/>
          </w:tcPr>
          <w:p w14:paraId="66B3628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 xml:space="preserve"> Gortari, A. B.O. (2023)</w:t>
            </w:r>
          </w:p>
        </w:tc>
        <w:tc>
          <w:tcPr>
            <w:tcW w:w="675" w:type="dxa"/>
            <w:noWrap/>
            <w:hideMark/>
          </w:tcPr>
          <w:p w14:paraId="0AD8F24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FD3379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508F66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63E2612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EB5FFC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722D46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E3C571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BE663C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08F83E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CC49D2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3DCC846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A0150F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4F8B92D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388CC85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0BEDF4E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5</w:t>
            </w:r>
          </w:p>
        </w:tc>
        <w:tc>
          <w:tcPr>
            <w:tcW w:w="1584" w:type="dxa"/>
            <w:noWrap/>
            <w:hideMark/>
          </w:tcPr>
          <w:p w14:paraId="42D989E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Fair</w:t>
            </w:r>
          </w:p>
        </w:tc>
      </w:tr>
      <w:tr w:rsidR="00EF7290" w:rsidRPr="002F25BD" w14:paraId="0865976B" w14:textId="77777777" w:rsidTr="00CE6A6D">
        <w:trPr>
          <w:trHeight w:val="288"/>
        </w:trPr>
        <w:tc>
          <w:tcPr>
            <w:tcW w:w="2623" w:type="dxa"/>
            <w:hideMark/>
          </w:tcPr>
          <w:p w14:paraId="53DB9D7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Meynaar et al. (2021)</w:t>
            </w:r>
          </w:p>
        </w:tc>
        <w:tc>
          <w:tcPr>
            <w:tcW w:w="675" w:type="dxa"/>
            <w:noWrap/>
            <w:hideMark/>
          </w:tcPr>
          <w:p w14:paraId="2B34E07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693B68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BCD501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5E85C13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C53474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1E2743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792354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F11EA7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D5B8CC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C3469B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1C8468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B4699F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E8D41F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7C2790A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14E4D87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2A5134D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3859483D" w14:textId="77777777" w:rsidTr="00CE6A6D">
        <w:trPr>
          <w:trHeight w:val="288"/>
        </w:trPr>
        <w:tc>
          <w:tcPr>
            <w:tcW w:w="2623" w:type="dxa"/>
            <w:hideMark/>
          </w:tcPr>
          <w:p w14:paraId="3C6E9FE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Meyeret al. (2022)</w:t>
            </w:r>
          </w:p>
        </w:tc>
        <w:tc>
          <w:tcPr>
            <w:tcW w:w="675" w:type="dxa"/>
            <w:noWrap/>
            <w:hideMark/>
          </w:tcPr>
          <w:p w14:paraId="7AF8B44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2283E4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CEA6F8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58C5754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A31A3A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D5F01B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0D2E74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600A34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183E17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B6E28F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C265A2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65E775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116372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4C4DA8A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5A4B18C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5</w:t>
            </w:r>
          </w:p>
        </w:tc>
        <w:tc>
          <w:tcPr>
            <w:tcW w:w="1584" w:type="dxa"/>
            <w:noWrap/>
            <w:hideMark/>
          </w:tcPr>
          <w:p w14:paraId="0E0386D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Fair</w:t>
            </w:r>
          </w:p>
        </w:tc>
      </w:tr>
      <w:tr w:rsidR="00EF7290" w:rsidRPr="002F25BD" w14:paraId="24B371C3" w14:textId="77777777" w:rsidTr="00CE6A6D">
        <w:trPr>
          <w:trHeight w:val="288"/>
        </w:trPr>
        <w:tc>
          <w:tcPr>
            <w:tcW w:w="2623" w:type="dxa"/>
            <w:hideMark/>
          </w:tcPr>
          <w:p w14:paraId="54352D5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Martin et al. (2021)</w:t>
            </w:r>
          </w:p>
        </w:tc>
        <w:tc>
          <w:tcPr>
            <w:tcW w:w="675" w:type="dxa"/>
            <w:noWrap/>
            <w:hideMark/>
          </w:tcPr>
          <w:p w14:paraId="1719530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191EC2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61DAD7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B94C6D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59DBFD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FD54D6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5067DD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517A2C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6CBE90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7B6C73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4A0592D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2DF711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10151A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0AA70BA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4577BDA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1DB4307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4FF67E77" w14:textId="77777777" w:rsidTr="00CE6A6D">
        <w:trPr>
          <w:trHeight w:val="288"/>
        </w:trPr>
        <w:tc>
          <w:tcPr>
            <w:tcW w:w="2623" w:type="dxa"/>
            <w:hideMark/>
          </w:tcPr>
          <w:p w14:paraId="1320125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Manuti et al. (2022)</w:t>
            </w:r>
          </w:p>
        </w:tc>
        <w:tc>
          <w:tcPr>
            <w:tcW w:w="675" w:type="dxa"/>
            <w:noWrap/>
            <w:hideMark/>
          </w:tcPr>
          <w:p w14:paraId="506C7EE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D4D41F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7E805E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2B376E3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88C4B7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938B88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00BDCC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221679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68F75D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8A8106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28AC0E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016095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871691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01DA367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2B68E85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72A5713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46C3E7E2" w14:textId="77777777" w:rsidTr="00CE6A6D">
        <w:trPr>
          <w:trHeight w:val="288"/>
        </w:trPr>
        <w:tc>
          <w:tcPr>
            <w:tcW w:w="2623" w:type="dxa"/>
            <w:noWrap/>
            <w:hideMark/>
          </w:tcPr>
          <w:p w14:paraId="3E5E696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Lo et al. (2023)</w:t>
            </w:r>
          </w:p>
        </w:tc>
        <w:tc>
          <w:tcPr>
            <w:tcW w:w="675" w:type="dxa"/>
            <w:noWrap/>
            <w:hideMark/>
          </w:tcPr>
          <w:p w14:paraId="46FD99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9F23B1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CD0B55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DC8E2D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EB2C94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BDFFEE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B42F5F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2E26C2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35BFE3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B33787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0A13ED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4F41D6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41A240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79E538A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69BB07C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4727390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675715D3" w14:textId="77777777" w:rsidTr="00CE6A6D">
        <w:trPr>
          <w:trHeight w:val="288"/>
        </w:trPr>
        <w:tc>
          <w:tcPr>
            <w:tcW w:w="2623" w:type="dxa"/>
            <w:noWrap/>
            <w:hideMark/>
          </w:tcPr>
          <w:p w14:paraId="64A3AC3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Liu et al. (2023)</w:t>
            </w:r>
          </w:p>
        </w:tc>
        <w:tc>
          <w:tcPr>
            <w:tcW w:w="675" w:type="dxa"/>
            <w:noWrap/>
            <w:hideMark/>
          </w:tcPr>
          <w:p w14:paraId="7613392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A85B38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6458B8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5067E1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51F9C6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8C0252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E5D840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49E27D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26AC77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572AC5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B4B7C5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9ED3E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1D7F4BA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37874BD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5C74898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7DCE1DB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02D4B8EC" w14:textId="77777777" w:rsidTr="00CE6A6D">
        <w:trPr>
          <w:trHeight w:val="288"/>
        </w:trPr>
        <w:tc>
          <w:tcPr>
            <w:tcW w:w="2623" w:type="dxa"/>
            <w:hideMark/>
          </w:tcPr>
          <w:p w14:paraId="12ED34C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Lim et al. (2021)</w:t>
            </w:r>
          </w:p>
        </w:tc>
        <w:tc>
          <w:tcPr>
            <w:tcW w:w="675" w:type="dxa"/>
            <w:noWrap/>
            <w:hideMark/>
          </w:tcPr>
          <w:p w14:paraId="310E195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4F0270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C1534D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49A0AE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4A0389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1A81DC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98B06C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58EDB1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477543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0E7E7C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BB29C1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E1C364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B5AA2D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0F26380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483F117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368E0EA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63039A1D" w14:textId="77777777" w:rsidTr="00CE6A6D">
        <w:trPr>
          <w:trHeight w:val="288"/>
        </w:trPr>
        <w:tc>
          <w:tcPr>
            <w:tcW w:w="2623" w:type="dxa"/>
            <w:hideMark/>
          </w:tcPr>
          <w:p w14:paraId="35C6D53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Lassri (2023)</w:t>
            </w:r>
          </w:p>
        </w:tc>
        <w:tc>
          <w:tcPr>
            <w:tcW w:w="675" w:type="dxa"/>
            <w:noWrap/>
            <w:hideMark/>
          </w:tcPr>
          <w:p w14:paraId="27EE10D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3082C7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B9ECBD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35FDCAB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455EA3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F078B8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F81DAA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3ADC2C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C16609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183D32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9483A4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2F0E86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F11524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468E158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53DBDA0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3448AC3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022D43AA" w14:textId="77777777" w:rsidTr="00CE6A6D">
        <w:trPr>
          <w:trHeight w:val="288"/>
        </w:trPr>
        <w:tc>
          <w:tcPr>
            <w:tcW w:w="2623" w:type="dxa"/>
            <w:hideMark/>
          </w:tcPr>
          <w:p w14:paraId="1C3C261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Kural &amp; Kovacs (2021)</w:t>
            </w:r>
          </w:p>
        </w:tc>
        <w:tc>
          <w:tcPr>
            <w:tcW w:w="675" w:type="dxa"/>
            <w:noWrap/>
            <w:hideMark/>
          </w:tcPr>
          <w:p w14:paraId="4A8E659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3DB7FB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6C0262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483FA9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63024B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FFDD92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881528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4474A2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DF4767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672555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B41438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1C83FC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A427AF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637379B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601176A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8</w:t>
            </w:r>
          </w:p>
        </w:tc>
        <w:tc>
          <w:tcPr>
            <w:tcW w:w="1584" w:type="dxa"/>
            <w:noWrap/>
            <w:hideMark/>
          </w:tcPr>
          <w:p w14:paraId="1902240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3E8E7636" w14:textId="77777777" w:rsidTr="00CE6A6D">
        <w:trPr>
          <w:trHeight w:val="288"/>
        </w:trPr>
        <w:tc>
          <w:tcPr>
            <w:tcW w:w="2623" w:type="dxa"/>
            <w:hideMark/>
          </w:tcPr>
          <w:p w14:paraId="1D8994C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Kuhlman et al. (2021)</w:t>
            </w:r>
          </w:p>
        </w:tc>
        <w:tc>
          <w:tcPr>
            <w:tcW w:w="675" w:type="dxa"/>
            <w:noWrap/>
            <w:hideMark/>
          </w:tcPr>
          <w:p w14:paraId="421E06E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4FB2CD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2F365E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E9850A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45B612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0A9F18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2A386E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67B5B5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56BA42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D86682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857078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DC95C1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0DF2DE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1CF0FCA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6419E85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50F4131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7A438002" w14:textId="77777777" w:rsidTr="00CE6A6D">
        <w:trPr>
          <w:trHeight w:val="288"/>
        </w:trPr>
        <w:tc>
          <w:tcPr>
            <w:tcW w:w="2623" w:type="dxa"/>
            <w:hideMark/>
          </w:tcPr>
          <w:p w14:paraId="7A59C94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Kubo et al. (2021)</w:t>
            </w:r>
          </w:p>
        </w:tc>
        <w:tc>
          <w:tcPr>
            <w:tcW w:w="675" w:type="dxa"/>
            <w:noWrap/>
            <w:hideMark/>
          </w:tcPr>
          <w:p w14:paraId="618CD7C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33EE5B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EFF004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27B9C41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CA541B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AD7A1C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D6689B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1BE085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2521FA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3946EA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064FC1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D27E3E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E5E33B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6EF39D0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12DBADF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10ADE55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34CCE079" w14:textId="77777777" w:rsidTr="00CE6A6D">
        <w:trPr>
          <w:trHeight w:val="288"/>
        </w:trPr>
        <w:tc>
          <w:tcPr>
            <w:tcW w:w="2623" w:type="dxa"/>
            <w:noWrap/>
            <w:hideMark/>
          </w:tcPr>
          <w:p w14:paraId="0A92CB4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Koire et al. (2023)</w:t>
            </w:r>
          </w:p>
        </w:tc>
        <w:tc>
          <w:tcPr>
            <w:tcW w:w="675" w:type="dxa"/>
            <w:noWrap/>
            <w:hideMark/>
          </w:tcPr>
          <w:p w14:paraId="3C8D5B0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5EAF00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106B1A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28DB2D1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B5D8CE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EF3EAB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E8126B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BB6C39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D7B8AE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78C4EC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1CB61AC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12D33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E19053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70E9641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44B2D6F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1BEED77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22D6C60D" w14:textId="77777777" w:rsidTr="00CE6A6D">
        <w:trPr>
          <w:trHeight w:val="288"/>
        </w:trPr>
        <w:tc>
          <w:tcPr>
            <w:tcW w:w="2623" w:type="dxa"/>
            <w:hideMark/>
          </w:tcPr>
          <w:p w14:paraId="32CC5F8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Kleimeier et al. (2023)</w:t>
            </w:r>
          </w:p>
        </w:tc>
        <w:tc>
          <w:tcPr>
            <w:tcW w:w="675" w:type="dxa"/>
            <w:noWrap/>
            <w:hideMark/>
          </w:tcPr>
          <w:p w14:paraId="657A2C5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B02EA9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9EE10B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1D0464B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C97D23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76746E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0176F4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E1581C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A1FF6C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74BCB9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1CE7E1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9C89D4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045E9C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25278C3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793A973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57C7B0C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5BFAEEE7" w14:textId="77777777" w:rsidTr="00CE6A6D">
        <w:trPr>
          <w:trHeight w:val="288"/>
        </w:trPr>
        <w:tc>
          <w:tcPr>
            <w:tcW w:w="2623" w:type="dxa"/>
            <w:hideMark/>
          </w:tcPr>
          <w:p w14:paraId="247893D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Karataş &amp; Tagay (2021)</w:t>
            </w:r>
          </w:p>
        </w:tc>
        <w:tc>
          <w:tcPr>
            <w:tcW w:w="675" w:type="dxa"/>
            <w:noWrap/>
            <w:hideMark/>
          </w:tcPr>
          <w:p w14:paraId="40CBDAD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7977E7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9DB679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31219C7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17D4DA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F1A307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AC1B1F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3D5839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125DB1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452299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3F13515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324404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0C2130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3060880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024E320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0CE22D9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06903257" w14:textId="77777777" w:rsidTr="00CE6A6D">
        <w:trPr>
          <w:trHeight w:val="288"/>
        </w:trPr>
        <w:tc>
          <w:tcPr>
            <w:tcW w:w="2623" w:type="dxa"/>
            <w:hideMark/>
          </w:tcPr>
          <w:p w14:paraId="44ABF73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Kaim et al. (2021)</w:t>
            </w:r>
          </w:p>
        </w:tc>
        <w:tc>
          <w:tcPr>
            <w:tcW w:w="675" w:type="dxa"/>
            <w:noWrap/>
            <w:hideMark/>
          </w:tcPr>
          <w:p w14:paraId="143840D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D1B561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CC3554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5CAA535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D4CEBD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B00041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AA9217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576E1C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CBF49B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17B7F1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39C87DF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B960F7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6DBA5F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537BB46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4BC39C1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2A47262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2A6A2DC5" w14:textId="77777777" w:rsidTr="00CE6A6D">
        <w:trPr>
          <w:trHeight w:val="288"/>
        </w:trPr>
        <w:tc>
          <w:tcPr>
            <w:tcW w:w="2623" w:type="dxa"/>
            <w:hideMark/>
          </w:tcPr>
          <w:p w14:paraId="64E7EA9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Hu et al. (2020)</w:t>
            </w:r>
          </w:p>
        </w:tc>
        <w:tc>
          <w:tcPr>
            <w:tcW w:w="675" w:type="dxa"/>
            <w:noWrap/>
            <w:hideMark/>
          </w:tcPr>
          <w:p w14:paraId="301FFC3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61BEE3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88EE08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C48F42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5CC980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4F1F0A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0A93C6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77E6B0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7DC7C7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0A0301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C62693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66AD13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AE94FA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43A25CC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46CD988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58615E4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583E1CD4" w14:textId="77777777" w:rsidTr="00CE6A6D">
        <w:trPr>
          <w:trHeight w:val="288"/>
        </w:trPr>
        <w:tc>
          <w:tcPr>
            <w:tcW w:w="2623" w:type="dxa"/>
            <w:hideMark/>
          </w:tcPr>
          <w:p w14:paraId="466ABAF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Hébert et al. (2022)</w:t>
            </w:r>
          </w:p>
        </w:tc>
        <w:tc>
          <w:tcPr>
            <w:tcW w:w="675" w:type="dxa"/>
            <w:noWrap/>
            <w:hideMark/>
          </w:tcPr>
          <w:p w14:paraId="0792FB0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CB62ED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42EBC8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70034E2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9D9F01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8DD0FA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3AE5D5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33F02F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36147A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60577B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ACDFF2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BC2F91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1DB244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4F0A81F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6127DA7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5</w:t>
            </w:r>
          </w:p>
        </w:tc>
        <w:tc>
          <w:tcPr>
            <w:tcW w:w="1584" w:type="dxa"/>
            <w:noWrap/>
            <w:hideMark/>
          </w:tcPr>
          <w:p w14:paraId="50F4BE8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Fair</w:t>
            </w:r>
          </w:p>
        </w:tc>
      </w:tr>
      <w:tr w:rsidR="00EF7290" w:rsidRPr="002F25BD" w14:paraId="333F05F4" w14:textId="77777777" w:rsidTr="00CE6A6D">
        <w:trPr>
          <w:trHeight w:val="288"/>
        </w:trPr>
        <w:tc>
          <w:tcPr>
            <w:tcW w:w="2623" w:type="dxa"/>
            <w:hideMark/>
          </w:tcPr>
          <w:p w14:paraId="61E4DE6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Han et al. (2022)</w:t>
            </w:r>
          </w:p>
        </w:tc>
        <w:tc>
          <w:tcPr>
            <w:tcW w:w="675" w:type="dxa"/>
            <w:noWrap/>
            <w:hideMark/>
          </w:tcPr>
          <w:p w14:paraId="2435437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A6A774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16F0EC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2C979BC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F40CC5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3EBAFF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3C9B34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BF069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107E1B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66A1E5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01ABDA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CEBABE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82E2CB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4E76F92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4540D9E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5</w:t>
            </w:r>
          </w:p>
        </w:tc>
        <w:tc>
          <w:tcPr>
            <w:tcW w:w="1584" w:type="dxa"/>
            <w:noWrap/>
            <w:hideMark/>
          </w:tcPr>
          <w:p w14:paraId="63F46E7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Fair</w:t>
            </w:r>
          </w:p>
        </w:tc>
      </w:tr>
      <w:tr w:rsidR="00EF7290" w:rsidRPr="002F25BD" w14:paraId="7C76B14E" w14:textId="77777777" w:rsidTr="00CE6A6D">
        <w:trPr>
          <w:trHeight w:val="288"/>
        </w:trPr>
        <w:tc>
          <w:tcPr>
            <w:tcW w:w="2623" w:type="dxa"/>
            <w:hideMark/>
          </w:tcPr>
          <w:p w14:paraId="13D42DF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lastRenderedPageBreak/>
              <w:t>Haldorai et al. (2023)</w:t>
            </w:r>
          </w:p>
        </w:tc>
        <w:tc>
          <w:tcPr>
            <w:tcW w:w="675" w:type="dxa"/>
            <w:noWrap/>
            <w:hideMark/>
          </w:tcPr>
          <w:p w14:paraId="4DF546A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5A39B2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083188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404FECB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5384EB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C30B6E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3E6398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23AAA8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FAC710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579FD8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33FFFCE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E963A7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44D5CB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06EBAE6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1A8D926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4436917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74C4F27F" w14:textId="77777777" w:rsidTr="00CE6A6D">
        <w:trPr>
          <w:trHeight w:val="288"/>
        </w:trPr>
        <w:tc>
          <w:tcPr>
            <w:tcW w:w="2623" w:type="dxa"/>
            <w:hideMark/>
          </w:tcPr>
          <w:p w14:paraId="707CF6F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Gizdic et al. (2023)</w:t>
            </w:r>
          </w:p>
        </w:tc>
        <w:tc>
          <w:tcPr>
            <w:tcW w:w="675" w:type="dxa"/>
            <w:noWrap/>
            <w:hideMark/>
          </w:tcPr>
          <w:p w14:paraId="051A744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2EAF9C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B7DB73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50EA83F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FD62DA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6A1D74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9CC8B7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70E674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E9D315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F79A31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872080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9AA3B7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2B774E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530BCE3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06F375E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44FE8F1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3F647DE8" w14:textId="77777777" w:rsidTr="00CE6A6D">
        <w:trPr>
          <w:trHeight w:val="288"/>
        </w:trPr>
        <w:tc>
          <w:tcPr>
            <w:tcW w:w="2623" w:type="dxa"/>
            <w:hideMark/>
          </w:tcPr>
          <w:p w14:paraId="4297DD5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Fernánd ez et al. (2020)</w:t>
            </w:r>
          </w:p>
        </w:tc>
        <w:tc>
          <w:tcPr>
            <w:tcW w:w="675" w:type="dxa"/>
            <w:noWrap/>
            <w:hideMark/>
          </w:tcPr>
          <w:p w14:paraId="5713E99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1F41CA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CFCA06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02A2E99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EE8DD1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6777A6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09F9C3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63962F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2968E4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4DCE6A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198A4D1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9BD62A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17F341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27FEBE8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72E14A1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47E5366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2D2DD2DC" w14:textId="77777777" w:rsidTr="00CE6A6D">
        <w:trPr>
          <w:trHeight w:val="288"/>
        </w:trPr>
        <w:tc>
          <w:tcPr>
            <w:tcW w:w="2623" w:type="dxa"/>
            <w:hideMark/>
          </w:tcPr>
          <w:p w14:paraId="0D3F167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de Oliveira et al. (2021)</w:t>
            </w:r>
          </w:p>
        </w:tc>
        <w:tc>
          <w:tcPr>
            <w:tcW w:w="675" w:type="dxa"/>
            <w:noWrap/>
            <w:hideMark/>
          </w:tcPr>
          <w:p w14:paraId="484E476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E16D2C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CA1D0C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6D30EB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9E8C46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1C333D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8A81D6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47C42D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E1D372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1DAA9F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1CB742C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D8A4C5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D9ED92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51FE890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2CDCEC1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325976C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6227B31E" w14:textId="77777777" w:rsidTr="00CE6A6D">
        <w:trPr>
          <w:trHeight w:val="288"/>
        </w:trPr>
        <w:tc>
          <w:tcPr>
            <w:tcW w:w="2623" w:type="dxa"/>
            <w:noWrap/>
            <w:hideMark/>
          </w:tcPr>
          <w:p w14:paraId="51FF085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Dai et al. (2022)</w:t>
            </w:r>
          </w:p>
        </w:tc>
        <w:tc>
          <w:tcPr>
            <w:tcW w:w="675" w:type="dxa"/>
            <w:noWrap/>
            <w:hideMark/>
          </w:tcPr>
          <w:p w14:paraId="3FF05B0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2E02E4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D5CF9E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2EB895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10042D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2111E7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5CA14A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486C2E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0EEE96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87D396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71049E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6F1391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F288E3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41E4797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7513DD5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161FEF3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2B7E4D70" w14:textId="77777777" w:rsidTr="00CE6A6D">
        <w:trPr>
          <w:trHeight w:val="288"/>
        </w:trPr>
        <w:tc>
          <w:tcPr>
            <w:tcW w:w="2623" w:type="dxa"/>
            <w:hideMark/>
          </w:tcPr>
          <w:p w14:paraId="280F65F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Chester man et al. (2021)</w:t>
            </w:r>
          </w:p>
        </w:tc>
        <w:tc>
          <w:tcPr>
            <w:tcW w:w="675" w:type="dxa"/>
            <w:noWrap/>
            <w:hideMark/>
          </w:tcPr>
          <w:p w14:paraId="71C73C9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36C963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7CAC31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38AC56A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684145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40DFE4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7E03F4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0E993E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0BDC462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C7C57A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93C7E4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50C67D3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9BE324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409C517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47EF3E5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5</w:t>
            </w:r>
          </w:p>
        </w:tc>
        <w:tc>
          <w:tcPr>
            <w:tcW w:w="1584" w:type="dxa"/>
            <w:noWrap/>
            <w:hideMark/>
          </w:tcPr>
          <w:p w14:paraId="40377B3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Fair</w:t>
            </w:r>
          </w:p>
        </w:tc>
      </w:tr>
      <w:tr w:rsidR="00EF7290" w:rsidRPr="002F25BD" w14:paraId="4D639FF9" w14:textId="77777777" w:rsidTr="00CE6A6D">
        <w:trPr>
          <w:trHeight w:val="288"/>
        </w:trPr>
        <w:tc>
          <w:tcPr>
            <w:tcW w:w="2623" w:type="dxa"/>
            <w:noWrap/>
            <w:hideMark/>
          </w:tcPr>
          <w:p w14:paraId="276D897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Chan et al. (2021)</w:t>
            </w:r>
          </w:p>
        </w:tc>
        <w:tc>
          <w:tcPr>
            <w:tcW w:w="675" w:type="dxa"/>
            <w:noWrap/>
            <w:hideMark/>
          </w:tcPr>
          <w:p w14:paraId="303F9AE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325A53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6403C5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958D8F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089188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67F033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1AACE0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30AE270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41CEF0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50A6FB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7C6D156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7FDADA4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9F5735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2856D9C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26EE575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584" w:type="dxa"/>
            <w:noWrap/>
            <w:hideMark/>
          </w:tcPr>
          <w:p w14:paraId="2099F54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765CB33C" w14:textId="77777777" w:rsidTr="00CE6A6D">
        <w:trPr>
          <w:trHeight w:val="288"/>
        </w:trPr>
        <w:tc>
          <w:tcPr>
            <w:tcW w:w="2623" w:type="dxa"/>
            <w:noWrap/>
            <w:hideMark/>
          </w:tcPr>
          <w:p w14:paraId="01FD04F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Cai et al. (2020)</w:t>
            </w:r>
          </w:p>
        </w:tc>
        <w:tc>
          <w:tcPr>
            <w:tcW w:w="675" w:type="dxa"/>
            <w:noWrap/>
            <w:hideMark/>
          </w:tcPr>
          <w:p w14:paraId="62B4A56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73AAEF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158552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74" w:type="dxa"/>
            <w:noWrap/>
            <w:hideMark/>
          </w:tcPr>
          <w:p w14:paraId="24C7EEA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51B073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8F153B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D25D29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F0E059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7FA289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2F3C01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3C1CCB4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7B05BD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03BFD4D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715438F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471AD3F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6B42A2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05934A69" w14:textId="77777777" w:rsidTr="00CE6A6D">
        <w:trPr>
          <w:trHeight w:val="288"/>
        </w:trPr>
        <w:tc>
          <w:tcPr>
            <w:tcW w:w="2623" w:type="dxa"/>
            <w:hideMark/>
          </w:tcPr>
          <w:p w14:paraId="5D550DF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Candido et al. (2023)</w:t>
            </w:r>
          </w:p>
        </w:tc>
        <w:tc>
          <w:tcPr>
            <w:tcW w:w="675" w:type="dxa"/>
            <w:noWrap/>
            <w:hideMark/>
          </w:tcPr>
          <w:p w14:paraId="2306933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E4AFCA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DCA56D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CD</w:t>
            </w:r>
          </w:p>
        </w:tc>
        <w:tc>
          <w:tcPr>
            <w:tcW w:w="674" w:type="dxa"/>
            <w:noWrap/>
            <w:hideMark/>
          </w:tcPr>
          <w:p w14:paraId="4671A82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14DCA2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7050DAA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68E2655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50564E2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A01646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427546F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282F53A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AA83DA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6351F44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5A16167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810" w:type="dxa"/>
            <w:noWrap/>
            <w:hideMark/>
          </w:tcPr>
          <w:p w14:paraId="1C69EEE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5</w:t>
            </w:r>
          </w:p>
        </w:tc>
        <w:tc>
          <w:tcPr>
            <w:tcW w:w="1584" w:type="dxa"/>
            <w:noWrap/>
            <w:hideMark/>
          </w:tcPr>
          <w:p w14:paraId="26FE51C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Fair</w:t>
            </w:r>
          </w:p>
        </w:tc>
      </w:tr>
      <w:tr w:rsidR="00EF7290" w:rsidRPr="002F25BD" w14:paraId="2FE1D054" w14:textId="77777777" w:rsidTr="00CE6A6D">
        <w:trPr>
          <w:trHeight w:val="288"/>
        </w:trPr>
        <w:tc>
          <w:tcPr>
            <w:tcW w:w="2623" w:type="dxa"/>
            <w:hideMark/>
          </w:tcPr>
          <w:p w14:paraId="7E9A43D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Abtahi et al. (2021)</w:t>
            </w:r>
          </w:p>
        </w:tc>
        <w:tc>
          <w:tcPr>
            <w:tcW w:w="675" w:type="dxa"/>
            <w:noWrap/>
            <w:hideMark/>
          </w:tcPr>
          <w:p w14:paraId="7F292A3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6945E9F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A2E263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77CD24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2A9B3CB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2075134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467203C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74" w:type="dxa"/>
            <w:noWrap/>
            <w:hideMark/>
          </w:tcPr>
          <w:p w14:paraId="1F07D9D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0B3CB9D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33B2317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561F88B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74" w:type="dxa"/>
            <w:noWrap/>
            <w:hideMark/>
          </w:tcPr>
          <w:p w14:paraId="12CC344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74" w:type="dxa"/>
            <w:noWrap/>
            <w:hideMark/>
          </w:tcPr>
          <w:p w14:paraId="3EFDC42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4" w:type="dxa"/>
            <w:noWrap/>
            <w:hideMark/>
          </w:tcPr>
          <w:p w14:paraId="285A255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810" w:type="dxa"/>
            <w:noWrap/>
            <w:hideMark/>
          </w:tcPr>
          <w:p w14:paraId="255858E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584" w:type="dxa"/>
            <w:noWrap/>
            <w:hideMark/>
          </w:tcPr>
          <w:p w14:paraId="4957298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bl>
    <w:p w14:paraId="0501F2A6" w14:textId="77777777" w:rsidR="00EF7290" w:rsidRPr="002F25BD" w:rsidRDefault="00EF7290" w:rsidP="00EF7290">
      <w:pPr>
        <w:spacing w:after="0" w:line="480" w:lineRule="auto"/>
        <w:jc w:val="both"/>
        <w:rPr>
          <w:rFonts w:ascii="Times New Roman" w:hAnsi="Times New Roman" w:cs="Times New Roman"/>
          <w:sz w:val="18"/>
          <w:szCs w:val="18"/>
        </w:rPr>
      </w:pPr>
    </w:p>
    <w:p w14:paraId="36C66C66" w14:textId="77777777" w:rsidR="00EF7290" w:rsidRDefault="00EF7290" w:rsidP="00EF7290">
      <w:pPr>
        <w:spacing w:after="0" w:line="480" w:lineRule="auto"/>
        <w:jc w:val="both"/>
        <w:rPr>
          <w:rFonts w:ascii="Times New Roman" w:hAnsi="Times New Roman" w:cs="Times New Roman"/>
          <w:b/>
          <w:bCs/>
          <w:sz w:val="22"/>
          <w:szCs w:val="22"/>
        </w:rPr>
        <w:sectPr w:rsidR="00EF7290" w:rsidSect="00EF7290">
          <w:pgSz w:w="15840" w:h="12240" w:orient="landscape"/>
          <w:pgMar w:top="1440" w:right="1440" w:bottom="1440" w:left="1440" w:header="720" w:footer="720" w:gutter="0"/>
          <w:cols w:space="720"/>
          <w:docGrid w:linePitch="360"/>
        </w:sectPr>
      </w:pPr>
    </w:p>
    <w:p w14:paraId="75395154" w14:textId="77777777" w:rsidR="00EF7290" w:rsidRPr="008264F9" w:rsidRDefault="00EF7290" w:rsidP="00EF7290">
      <w:pPr>
        <w:spacing w:after="0" w:line="480" w:lineRule="auto"/>
        <w:jc w:val="both"/>
        <w:rPr>
          <w:rFonts w:ascii="Times New Roman" w:hAnsi="Times New Roman" w:cs="Times New Roman"/>
          <w:b/>
          <w:bCs/>
          <w:sz w:val="22"/>
          <w:szCs w:val="22"/>
        </w:rPr>
      </w:pPr>
      <w:r w:rsidRPr="008264F9">
        <w:rPr>
          <w:rFonts w:ascii="Times New Roman" w:hAnsi="Times New Roman" w:cs="Times New Roman"/>
          <w:b/>
          <w:bCs/>
          <w:sz w:val="22"/>
          <w:szCs w:val="22"/>
        </w:rPr>
        <w:lastRenderedPageBreak/>
        <w:t xml:space="preserve">Supplementary Table </w:t>
      </w:r>
      <w:r>
        <w:rPr>
          <w:rFonts w:ascii="Times New Roman" w:hAnsi="Times New Roman" w:cs="Times New Roman"/>
          <w:b/>
          <w:bCs/>
          <w:sz w:val="22"/>
          <w:szCs w:val="22"/>
        </w:rPr>
        <w:t>3</w:t>
      </w:r>
      <w:r w:rsidRPr="008264F9">
        <w:rPr>
          <w:rFonts w:ascii="Times New Roman" w:hAnsi="Times New Roman" w:cs="Times New Roman"/>
          <w:b/>
          <w:bCs/>
          <w:sz w:val="22"/>
          <w:szCs w:val="22"/>
        </w:rPr>
        <w:t xml:space="preserve">b. </w:t>
      </w:r>
      <w:r w:rsidRPr="008264F9">
        <w:rPr>
          <w:rFonts w:ascii="Times New Roman" w:hAnsi="Times New Roman" w:cs="Times New Roman"/>
          <w:i/>
          <w:iCs/>
          <w:sz w:val="22"/>
          <w:szCs w:val="22"/>
        </w:rPr>
        <w:t>Quality Assessments of Longitudinal Studies.</w:t>
      </w:r>
    </w:p>
    <w:tbl>
      <w:tblPr>
        <w:tblStyle w:val="TableGrid"/>
        <w:tblW w:w="14490" w:type="dxa"/>
        <w:tblInd w:w="-725" w:type="dxa"/>
        <w:tblBorders>
          <w:insideV w:val="none" w:sz="0" w:space="0" w:color="auto"/>
        </w:tblBorders>
        <w:tblLook w:val="04A0" w:firstRow="1" w:lastRow="0" w:firstColumn="1" w:lastColumn="0" w:noHBand="0" w:noVBand="1"/>
      </w:tblPr>
      <w:tblGrid>
        <w:gridCol w:w="2340"/>
        <w:gridCol w:w="798"/>
        <w:gridCol w:w="684"/>
        <w:gridCol w:w="684"/>
        <w:gridCol w:w="684"/>
        <w:gridCol w:w="684"/>
        <w:gridCol w:w="684"/>
        <w:gridCol w:w="684"/>
        <w:gridCol w:w="684"/>
        <w:gridCol w:w="684"/>
        <w:gridCol w:w="684"/>
        <w:gridCol w:w="684"/>
        <w:gridCol w:w="684"/>
        <w:gridCol w:w="684"/>
        <w:gridCol w:w="684"/>
        <w:gridCol w:w="684"/>
        <w:gridCol w:w="1776"/>
      </w:tblGrid>
      <w:tr w:rsidR="00EF7290" w:rsidRPr="002F25BD" w14:paraId="2CC9105B" w14:textId="77777777" w:rsidTr="00CE6A6D">
        <w:trPr>
          <w:trHeight w:val="288"/>
          <w:tblHeader/>
        </w:trPr>
        <w:tc>
          <w:tcPr>
            <w:tcW w:w="2340" w:type="dxa"/>
            <w:noWrap/>
            <w:hideMark/>
          </w:tcPr>
          <w:p w14:paraId="32F20046"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Studies</w:t>
            </w:r>
          </w:p>
        </w:tc>
        <w:tc>
          <w:tcPr>
            <w:tcW w:w="798" w:type="dxa"/>
            <w:noWrap/>
            <w:hideMark/>
          </w:tcPr>
          <w:p w14:paraId="0901418B"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w:t>
            </w:r>
          </w:p>
        </w:tc>
        <w:tc>
          <w:tcPr>
            <w:tcW w:w="684" w:type="dxa"/>
            <w:noWrap/>
            <w:hideMark/>
          </w:tcPr>
          <w:p w14:paraId="103C293F"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D2</w:t>
            </w:r>
          </w:p>
        </w:tc>
        <w:tc>
          <w:tcPr>
            <w:tcW w:w="684" w:type="dxa"/>
            <w:noWrap/>
            <w:hideMark/>
          </w:tcPr>
          <w:p w14:paraId="6F070EC1"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D3</w:t>
            </w:r>
          </w:p>
        </w:tc>
        <w:tc>
          <w:tcPr>
            <w:tcW w:w="684" w:type="dxa"/>
            <w:noWrap/>
            <w:hideMark/>
          </w:tcPr>
          <w:p w14:paraId="7CCDFD24"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D4</w:t>
            </w:r>
          </w:p>
        </w:tc>
        <w:tc>
          <w:tcPr>
            <w:tcW w:w="684" w:type="dxa"/>
            <w:noWrap/>
            <w:hideMark/>
          </w:tcPr>
          <w:p w14:paraId="0575582D"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D5</w:t>
            </w:r>
          </w:p>
        </w:tc>
        <w:tc>
          <w:tcPr>
            <w:tcW w:w="684" w:type="dxa"/>
            <w:noWrap/>
            <w:hideMark/>
          </w:tcPr>
          <w:p w14:paraId="01C460D6"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D6</w:t>
            </w:r>
          </w:p>
        </w:tc>
        <w:tc>
          <w:tcPr>
            <w:tcW w:w="684" w:type="dxa"/>
            <w:noWrap/>
            <w:hideMark/>
          </w:tcPr>
          <w:p w14:paraId="65C3A4D7"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D7</w:t>
            </w:r>
          </w:p>
        </w:tc>
        <w:tc>
          <w:tcPr>
            <w:tcW w:w="684" w:type="dxa"/>
            <w:noWrap/>
            <w:hideMark/>
          </w:tcPr>
          <w:p w14:paraId="1D97C7AB"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D8</w:t>
            </w:r>
          </w:p>
        </w:tc>
        <w:tc>
          <w:tcPr>
            <w:tcW w:w="684" w:type="dxa"/>
            <w:noWrap/>
            <w:hideMark/>
          </w:tcPr>
          <w:p w14:paraId="62D3A364"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D9</w:t>
            </w:r>
          </w:p>
        </w:tc>
        <w:tc>
          <w:tcPr>
            <w:tcW w:w="684" w:type="dxa"/>
            <w:noWrap/>
            <w:hideMark/>
          </w:tcPr>
          <w:p w14:paraId="6C301CFA"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D10</w:t>
            </w:r>
          </w:p>
        </w:tc>
        <w:tc>
          <w:tcPr>
            <w:tcW w:w="684" w:type="dxa"/>
            <w:noWrap/>
            <w:hideMark/>
          </w:tcPr>
          <w:p w14:paraId="0CD48102"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D11</w:t>
            </w:r>
          </w:p>
        </w:tc>
        <w:tc>
          <w:tcPr>
            <w:tcW w:w="684" w:type="dxa"/>
            <w:noWrap/>
            <w:hideMark/>
          </w:tcPr>
          <w:p w14:paraId="4F65E9A4"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D12</w:t>
            </w:r>
          </w:p>
        </w:tc>
        <w:tc>
          <w:tcPr>
            <w:tcW w:w="684" w:type="dxa"/>
            <w:noWrap/>
            <w:hideMark/>
          </w:tcPr>
          <w:p w14:paraId="13C11019"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D13</w:t>
            </w:r>
          </w:p>
        </w:tc>
        <w:tc>
          <w:tcPr>
            <w:tcW w:w="684" w:type="dxa"/>
            <w:noWrap/>
            <w:hideMark/>
          </w:tcPr>
          <w:p w14:paraId="7093488D"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D14</w:t>
            </w:r>
          </w:p>
        </w:tc>
        <w:tc>
          <w:tcPr>
            <w:tcW w:w="684" w:type="dxa"/>
            <w:noWrap/>
            <w:hideMark/>
          </w:tcPr>
          <w:p w14:paraId="5D532F46"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Total</w:t>
            </w:r>
          </w:p>
        </w:tc>
        <w:tc>
          <w:tcPr>
            <w:tcW w:w="1776" w:type="dxa"/>
            <w:noWrap/>
            <w:hideMark/>
          </w:tcPr>
          <w:p w14:paraId="5B49798E" w14:textId="77777777" w:rsidR="00EF7290" w:rsidRPr="002F25BD" w:rsidRDefault="00EF7290" w:rsidP="00CE6A6D">
            <w:pPr>
              <w:spacing w:line="480" w:lineRule="auto"/>
              <w:jc w:val="both"/>
              <w:rPr>
                <w:rFonts w:ascii="Times New Roman" w:hAnsi="Times New Roman" w:cs="Times New Roman"/>
                <w:b/>
                <w:bCs/>
                <w:sz w:val="18"/>
                <w:szCs w:val="18"/>
              </w:rPr>
            </w:pPr>
            <w:r w:rsidRPr="002F25BD">
              <w:rPr>
                <w:rFonts w:ascii="Times New Roman" w:hAnsi="Times New Roman" w:cs="Times New Roman"/>
                <w:b/>
                <w:bCs/>
                <w:sz w:val="18"/>
                <w:szCs w:val="18"/>
              </w:rPr>
              <w:t>Overall Rating</w:t>
            </w:r>
          </w:p>
        </w:tc>
      </w:tr>
      <w:tr w:rsidR="00EF7290" w:rsidRPr="002F25BD" w14:paraId="301B34E1" w14:textId="77777777" w:rsidTr="00CE6A6D">
        <w:trPr>
          <w:trHeight w:val="324"/>
        </w:trPr>
        <w:tc>
          <w:tcPr>
            <w:tcW w:w="2340" w:type="dxa"/>
            <w:hideMark/>
          </w:tcPr>
          <w:p w14:paraId="38854FB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Sun et al. (2021)</w:t>
            </w:r>
          </w:p>
        </w:tc>
        <w:tc>
          <w:tcPr>
            <w:tcW w:w="798" w:type="dxa"/>
            <w:noWrap/>
            <w:hideMark/>
          </w:tcPr>
          <w:p w14:paraId="6D51204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C51734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BC153D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2BB785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D05664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33140C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84" w:type="dxa"/>
            <w:noWrap/>
            <w:hideMark/>
          </w:tcPr>
          <w:p w14:paraId="138F0FC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25DE87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17AC088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3DD0011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FC6348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21DA1E3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47C5477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652ADB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CE016E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8</w:t>
            </w:r>
          </w:p>
        </w:tc>
        <w:tc>
          <w:tcPr>
            <w:tcW w:w="1776" w:type="dxa"/>
            <w:noWrap/>
            <w:hideMark/>
          </w:tcPr>
          <w:p w14:paraId="1BDAB33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Fair</w:t>
            </w:r>
          </w:p>
        </w:tc>
      </w:tr>
      <w:tr w:rsidR="00EF7290" w:rsidRPr="002F25BD" w14:paraId="57F0439C" w14:textId="77777777" w:rsidTr="00CE6A6D">
        <w:trPr>
          <w:trHeight w:val="288"/>
        </w:trPr>
        <w:tc>
          <w:tcPr>
            <w:tcW w:w="2340" w:type="dxa"/>
            <w:hideMark/>
          </w:tcPr>
          <w:p w14:paraId="1EC8700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Spada et al. (2022)</w:t>
            </w:r>
          </w:p>
        </w:tc>
        <w:tc>
          <w:tcPr>
            <w:tcW w:w="798" w:type="dxa"/>
            <w:noWrap/>
            <w:hideMark/>
          </w:tcPr>
          <w:p w14:paraId="0A7ECA0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D18862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0DFF87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B4C973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452280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ED6182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668EC2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23779B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15463A1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22ED2C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958068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60FEA59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2424193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CD</w:t>
            </w:r>
          </w:p>
        </w:tc>
        <w:tc>
          <w:tcPr>
            <w:tcW w:w="684" w:type="dxa"/>
            <w:noWrap/>
            <w:hideMark/>
          </w:tcPr>
          <w:p w14:paraId="17E8B1D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4FA806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9</w:t>
            </w:r>
          </w:p>
        </w:tc>
        <w:tc>
          <w:tcPr>
            <w:tcW w:w="1776" w:type="dxa"/>
            <w:noWrap/>
            <w:hideMark/>
          </w:tcPr>
          <w:p w14:paraId="291CFBA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3BBAC3FE" w14:textId="77777777" w:rsidTr="00CE6A6D">
        <w:trPr>
          <w:trHeight w:val="324"/>
        </w:trPr>
        <w:tc>
          <w:tcPr>
            <w:tcW w:w="2340" w:type="dxa"/>
            <w:hideMark/>
          </w:tcPr>
          <w:p w14:paraId="375EAC1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Rossi et al. (2023)</w:t>
            </w:r>
          </w:p>
        </w:tc>
        <w:tc>
          <w:tcPr>
            <w:tcW w:w="798" w:type="dxa"/>
            <w:noWrap/>
            <w:hideMark/>
          </w:tcPr>
          <w:p w14:paraId="45FD925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BE45AE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280A32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BFF77A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29DA73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524E49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84" w:type="dxa"/>
            <w:noWrap/>
            <w:hideMark/>
          </w:tcPr>
          <w:p w14:paraId="436329A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E411A7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32A0652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4E55458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84" w:type="dxa"/>
            <w:noWrap/>
            <w:hideMark/>
          </w:tcPr>
          <w:p w14:paraId="385A683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7F5D346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35B09AF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5335516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F803F7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6</w:t>
            </w:r>
          </w:p>
        </w:tc>
        <w:tc>
          <w:tcPr>
            <w:tcW w:w="1776" w:type="dxa"/>
            <w:noWrap/>
            <w:hideMark/>
          </w:tcPr>
          <w:p w14:paraId="3610C0A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Fair</w:t>
            </w:r>
          </w:p>
        </w:tc>
      </w:tr>
      <w:tr w:rsidR="00EF7290" w:rsidRPr="002F25BD" w14:paraId="15CB647A" w14:textId="77777777" w:rsidTr="00CE6A6D">
        <w:trPr>
          <w:trHeight w:val="288"/>
        </w:trPr>
        <w:tc>
          <w:tcPr>
            <w:tcW w:w="2340" w:type="dxa"/>
            <w:hideMark/>
          </w:tcPr>
          <w:p w14:paraId="06FDC98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 et al. (2022)</w:t>
            </w:r>
          </w:p>
        </w:tc>
        <w:tc>
          <w:tcPr>
            <w:tcW w:w="798" w:type="dxa"/>
            <w:noWrap/>
            <w:hideMark/>
          </w:tcPr>
          <w:p w14:paraId="512838B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F14E96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04ABFE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EAFDBB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B8C4E5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0A7856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84" w:type="dxa"/>
            <w:noWrap/>
            <w:hideMark/>
          </w:tcPr>
          <w:p w14:paraId="45B49F3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D4E18E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781DB6F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70147A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7257E9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476734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84" w:type="dxa"/>
            <w:noWrap/>
            <w:hideMark/>
          </w:tcPr>
          <w:p w14:paraId="7F31073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6EDB6A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884BBA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10</w:t>
            </w:r>
          </w:p>
        </w:tc>
        <w:tc>
          <w:tcPr>
            <w:tcW w:w="1776" w:type="dxa"/>
            <w:noWrap/>
            <w:hideMark/>
          </w:tcPr>
          <w:p w14:paraId="5720864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54327E1B" w14:textId="77777777" w:rsidTr="00CE6A6D">
        <w:trPr>
          <w:trHeight w:val="288"/>
        </w:trPr>
        <w:tc>
          <w:tcPr>
            <w:tcW w:w="2340" w:type="dxa"/>
            <w:hideMark/>
          </w:tcPr>
          <w:p w14:paraId="36DA4F4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 &amp; Yang, (2022)</w:t>
            </w:r>
          </w:p>
        </w:tc>
        <w:tc>
          <w:tcPr>
            <w:tcW w:w="798" w:type="dxa"/>
            <w:noWrap/>
            <w:hideMark/>
          </w:tcPr>
          <w:p w14:paraId="701FF7A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56DEAD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4D5F95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0FCA646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27AA44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15FDF27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A4CA16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8D950F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403544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EC494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67D721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58E5A7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1320C2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28083A1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5EAA223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10</w:t>
            </w:r>
          </w:p>
        </w:tc>
        <w:tc>
          <w:tcPr>
            <w:tcW w:w="1776" w:type="dxa"/>
            <w:noWrap/>
            <w:hideMark/>
          </w:tcPr>
          <w:p w14:paraId="3FEF238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4D853D01" w14:textId="77777777" w:rsidTr="00CE6A6D">
        <w:trPr>
          <w:trHeight w:val="288"/>
        </w:trPr>
        <w:tc>
          <w:tcPr>
            <w:tcW w:w="2340" w:type="dxa"/>
            <w:hideMark/>
          </w:tcPr>
          <w:p w14:paraId="301CB50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Letcher et al. (2023)</w:t>
            </w:r>
          </w:p>
        </w:tc>
        <w:tc>
          <w:tcPr>
            <w:tcW w:w="798" w:type="dxa"/>
            <w:noWrap/>
            <w:hideMark/>
          </w:tcPr>
          <w:p w14:paraId="585920C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E4C948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AEB6F3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0515646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0BA50D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26BCE8A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8363B9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399D3E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F63CF1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30B79D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A4E35E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577928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673C1B5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7F155C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073D11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10</w:t>
            </w:r>
          </w:p>
        </w:tc>
        <w:tc>
          <w:tcPr>
            <w:tcW w:w="1776" w:type="dxa"/>
            <w:noWrap/>
            <w:hideMark/>
          </w:tcPr>
          <w:p w14:paraId="062827A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4D657D7C" w14:textId="77777777" w:rsidTr="00CE6A6D">
        <w:trPr>
          <w:trHeight w:val="288"/>
        </w:trPr>
        <w:tc>
          <w:tcPr>
            <w:tcW w:w="2340" w:type="dxa"/>
            <w:hideMark/>
          </w:tcPr>
          <w:p w14:paraId="0B82305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Kimhi et al. (2021)</w:t>
            </w:r>
          </w:p>
        </w:tc>
        <w:tc>
          <w:tcPr>
            <w:tcW w:w="798" w:type="dxa"/>
            <w:noWrap/>
            <w:hideMark/>
          </w:tcPr>
          <w:p w14:paraId="1C84954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55F965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F166CE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7A5BCA3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E691E4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11BA9D1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F28A63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57E3ED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273C846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7B16C1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C8D93E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E7049C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64CA517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40A4593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BFF46A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8</w:t>
            </w:r>
          </w:p>
        </w:tc>
        <w:tc>
          <w:tcPr>
            <w:tcW w:w="1776" w:type="dxa"/>
            <w:noWrap/>
            <w:hideMark/>
          </w:tcPr>
          <w:p w14:paraId="0B4767C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Fair</w:t>
            </w:r>
          </w:p>
        </w:tc>
      </w:tr>
      <w:tr w:rsidR="00EF7290" w:rsidRPr="002F25BD" w14:paraId="14DDAB4B" w14:textId="77777777" w:rsidTr="00CE6A6D">
        <w:trPr>
          <w:trHeight w:val="288"/>
        </w:trPr>
        <w:tc>
          <w:tcPr>
            <w:tcW w:w="2340" w:type="dxa"/>
            <w:hideMark/>
          </w:tcPr>
          <w:p w14:paraId="498BD45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Giusti et al. (2023)</w:t>
            </w:r>
          </w:p>
        </w:tc>
        <w:tc>
          <w:tcPr>
            <w:tcW w:w="798" w:type="dxa"/>
            <w:noWrap/>
            <w:hideMark/>
          </w:tcPr>
          <w:p w14:paraId="145ED73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573343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FA8118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DB459A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AE13D8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6E03463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EAA108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D484BB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98E0C1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973A3C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45FE59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DF682F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350B9D7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9A4C69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164031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11</w:t>
            </w:r>
          </w:p>
        </w:tc>
        <w:tc>
          <w:tcPr>
            <w:tcW w:w="1776" w:type="dxa"/>
            <w:noWrap/>
            <w:hideMark/>
          </w:tcPr>
          <w:p w14:paraId="54D89BC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180C41CF" w14:textId="77777777" w:rsidTr="00CE6A6D">
        <w:trPr>
          <w:trHeight w:val="312"/>
        </w:trPr>
        <w:tc>
          <w:tcPr>
            <w:tcW w:w="2340" w:type="dxa"/>
            <w:hideMark/>
          </w:tcPr>
          <w:p w14:paraId="170108F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G-Pascuet et al. (2023)</w:t>
            </w:r>
          </w:p>
        </w:tc>
        <w:tc>
          <w:tcPr>
            <w:tcW w:w="798" w:type="dxa"/>
            <w:noWrap/>
            <w:hideMark/>
          </w:tcPr>
          <w:p w14:paraId="1DC2498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18B3FF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621DFF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C99DC8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5ADD9B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985536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ADDC38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8A1F5F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865F73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ACA0E2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48E2D8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D75B72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58008A4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7C6366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A21575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12</w:t>
            </w:r>
          </w:p>
        </w:tc>
        <w:tc>
          <w:tcPr>
            <w:tcW w:w="1776" w:type="dxa"/>
            <w:noWrap/>
            <w:hideMark/>
          </w:tcPr>
          <w:p w14:paraId="6C1FB91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6D385A1D" w14:textId="77777777" w:rsidTr="00CE6A6D">
        <w:trPr>
          <w:trHeight w:val="288"/>
        </w:trPr>
        <w:tc>
          <w:tcPr>
            <w:tcW w:w="2340" w:type="dxa"/>
            <w:hideMark/>
          </w:tcPr>
          <w:p w14:paraId="29455A5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Fagnani et al. (2024)</w:t>
            </w:r>
          </w:p>
        </w:tc>
        <w:tc>
          <w:tcPr>
            <w:tcW w:w="798" w:type="dxa"/>
            <w:noWrap/>
            <w:hideMark/>
          </w:tcPr>
          <w:p w14:paraId="64A6D78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FA62FE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5897C8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167C04F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ED7461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13A9538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1F5193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2D5F46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50EED7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8B7B47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A93C7D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267932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0A84EA2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2818A46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466E38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9</w:t>
            </w:r>
          </w:p>
        </w:tc>
        <w:tc>
          <w:tcPr>
            <w:tcW w:w="1776" w:type="dxa"/>
            <w:noWrap/>
            <w:hideMark/>
          </w:tcPr>
          <w:p w14:paraId="0A334DB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00C4190A" w14:textId="77777777" w:rsidTr="00CE6A6D">
        <w:trPr>
          <w:trHeight w:val="288"/>
        </w:trPr>
        <w:tc>
          <w:tcPr>
            <w:tcW w:w="2340" w:type="dxa"/>
            <w:hideMark/>
          </w:tcPr>
          <w:p w14:paraId="25E5EA1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Chrising er et al. (2021)</w:t>
            </w:r>
          </w:p>
        </w:tc>
        <w:tc>
          <w:tcPr>
            <w:tcW w:w="798" w:type="dxa"/>
            <w:noWrap/>
            <w:hideMark/>
          </w:tcPr>
          <w:p w14:paraId="00517EC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17A0BC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223EAC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46F2AFB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74B7D4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56130F4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43DC68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0F5D13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CD</w:t>
            </w:r>
          </w:p>
        </w:tc>
        <w:tc>
          <w:tcPr>
            <w:tcW w:w="684" w:type="dxa"/>
            <w:noWrap/>
            <w:hideMark/>
          </w:tcPr>
          <w:p w14:paraId="31679F8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F5F6CC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ADE239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707D1A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0202312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923B3C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59B5A02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9</w:t>
            </w:r>
          </w:p>
        </w:tc>
        <w:tc>
          <w:tcPr>
            <w:tcW w:w="1776" w:type="dxa"/>
            <w:noWrap/>
            <w:hideMark/>
          </w:tcPr>
          <w:p w14:paraId="27CD0EF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56066C3A" w14:textId="77777777" w:rsidTr="00CE6A6D">
        <w:trPr>
          <w:trHeight w:val="288"/>
        </w:trPr>
        <w:tc>
          <w:tcPr>
            <w:tcW w:w="2340" w:type="dxa"/>
            <w:hideMark/>
          </w:tcPr>
          <w:p w14:paraId="7E01390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Chen et al. (2022)</w:t>
            </w:r>
          </w:p>
        </w:tc>
        <w:tc>
          <w:tcPr>
            <w:tcW w:w="798" w:type="dxa"/>
            <w:noWrap/>
            <w:hideMark/>
          </w:tcPr>
          <w:p w14:paraId="0FF665D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AADBE7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670175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453C759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B780DF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07BD0DC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AC682F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C9AA78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41AAF0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EBA75F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24C625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764923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584B460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684" w:type="dxa"/>
            <w:noWrap/>
            <w:hideMark/>
          </w:tcPr>
          <w:p w14:paraId="5ACACE9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3164525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9</w:t>
            </w:r>
          </w:p>
        </w:tc>
        <w:tc>
          <w:tcPr>
            <w:tcW w:w="1776" w:type="dxa"/>
            <w:noWrap/>
            <w:hideMark/>
          </w:tcPr>
          <w:p w14:paraId="70B7CB7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1307FB3A" w14:textId="77777777" w:rsidTr="00CE6A6D">
        <w:trPr>
          <w:trHeight w:val="288"/>
        </w:trPr>
        <w:tc>
          <w:tcPr>
            <w:tcW w:w="2340" w:type="dxa"/>
            <w:hideMark/>
          </w:tcPr>
          <w:p w14:paraId="4F72C39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Chen et al. (2023)</w:t>
            </w:r>
          </w:p>
        </w:tc>
        <w:tc>
          <w:tcPr>
            <w:tcW w:w="798" w:type="dxa"/>
            <w:noWrap/>
            <w:hideMark/>
          </w:tcPr>
          <w:p w14:paraId="00C7300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4898BA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BBE5D3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10B793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03662E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617D715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472EC2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7D984A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EC3E71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C8656E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8C15A3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CAF294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06CF6A3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E2A057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D205F0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11</w:t>
            </w:r>
          </w:p>
        </w:tc>
        <w:tc>
          <w:tcPr>
            <w:tcW w:w="1776" w:type="dxa"/>
            <w:noWrap/>
            <w:hideMark/>
          </w:tcPr>
          <w:p w14:paraId="2DEA5D3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5CF78E3F" w14:textId="77777777" w:rsidTr="00CE6A6D">
        <w:trPr>
          <w:trHeight w:val="312"/>
        </w:trPr>
        <w:tc>
          <w:tcPr>
            <w:tcW w:w="2340" w:type="dxa"/>
            <w:hideMark/>
          </w:tcPr>
          <w:p w14:paraId="343DA28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CabelloToscano et al. (2023)</w:t>
            </w:r>
          </w:p>
        </w:tc>
        <w:tc>
          <w:tcPr>
            <w:tcW w:w="798" w:type="dxa"/>
            <w:noWrap/>
            <w:hideMark/>
          </w:tcPr>
          <w:p w14:paraId="3B9119A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8927BE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6A925E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121F59C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57C4A2E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2DAA4FC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9C4948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582370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F863F3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C331C5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FD3BC1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8E3301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5EB9DB7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1B256C0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5AD1AF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9</w:t>
            </w:r>
          </w:p>
        </w:tc>
        <w:tc>
          <w:tcPr>
            <w:tcW w:w="1776" w:type="dxa"/>
            <w:noWrap/>
            <w:hideMark/>
          </w:tcPr>
          <w:p w14:paraId="5CEF21FB"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3E39F93A" w14:textId="77777777" w:rsidTr="00CE6A6D">
        <w:trPr>
          <w:trHeight w:val="288"/>
        </w:trPr>
        <w:tc>
          <w:tcPr>
            <w:tcW w:w="2340" w:type="dxa"/>
            <w:hideMark/>
          </w:tcPr>
          <w:p w14:paraId="2018EE9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Bahmer et al. (2022)</w:t>
            </w:r>
          </w:p>
        </w:tc>
        <w:tc>
          <w:tcPr>
            <w:tcW w:w="798" w:type="dxa"/>
            <w:noWrap/>
            <w:hideMark/>
          </w:tcPr>
          <w:p w14:paraId="7785D95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4EED6A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9AEE4E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058FFF8F"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04BC6A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6119763"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BE9A82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6DE5AE4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F5B8AC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5E8862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46F826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14EA630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7EE6444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62D578B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284A4C7"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10</w:t>
            </w:r>
          </w:p>
        </w:tc>
        <w:tc>
          <w:tcPr>
            <w:tcW w:w="1776" w:type="dxa"/>
            <w:noWrap/>
            <w:hideMark/>
          </w:tcPr>
          <w:p w14:paraId="25B224C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3936B6B5" w14:textId="77777777" w:rsidTr="00CE6A6D">
        <w:trPr>
          <w:trHeight w:val="288"/>
        </w:trPr>
        <w:tc>
          <w:tcPr>
            <w:tcW w:w="2340" w:type="dxa"/>
            <w:noWrap/>
            <w:hideMark/>
          </w:tcPr>
          <w:p w14:paraId="511B077A"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Urmanche et al. 2023</w:t>
            </w:r>
          </w:p>
        </w:tc>
        <w:tc>
          <w:tcPr>
            <w:tcW w:w="798" w:type="dxa"/>
            <w:noWrap/>
            <w:hideMark/>
          </w:tcPr>
          <w:p w14:paraId="14FAB24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09546C5"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29C8E7A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1B6AF344"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103412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24E68F7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C1B9C08"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0A3DAEC9"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7B66FA41"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89B9A62"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447E645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684" w:type="dxa"/>
            <w:noWrap/>
            <w:hideMark/>
          </w:tcPr>
          <w:p w14:paraId="3FDD178E"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684" w:type="dxa"/>
            <w:noWrap/>
            <w:hideMark/>
          </w:tcPr>
          <w:p w14:paraId="1FDD7F46"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0F686E5C"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684" w:type="dxa"/>
            <w:noWrap/>
            <w:hideMark/>
          </w:tcPr>
          <w:p w14:paraId="345E6F4D"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9</w:t>
            </w:r>
          </w:p>
        </w:tc>
        <w:tc>
          <w:tcPr>
            <w:tcW w:w="1776" w:type="dxa"/>
            <w:noWrap/>
            <w:hideMark/>
          </w:tcPr>
          <w:p w14:paraId="25E0B970" w14:textId="77777777" w:rsidR="00EF7290" w:rsidRPr="002F25BD" w:rsidRDefault="00EF7290" w:rsidP="00CE6A6D">
            <w:pPr>
              <w:spacing w:line="480" w:lineRule="auto"/>
              <w:jc w:val="both"/>
              <w:rPr>
                <w:rFonts w:ascii="Times New Roman" w:hAnsi="Times New Roman" w:cs="Times New Roman"/>
                <w:sz w:val="18"/>
                <w:szCs w:val="18"/>
              </w:rPr>
            </w:pPr>
            <w:r w:rsidRPr="002F25BD">
              <w:rPr>
                <w:rFonts w:ascii="Times New Roman" w:hAnsi="Times New Roman" w:cs="Times New Roman"/>
                <w:sz w:val="18"/>
                <w:szCs w:val="18"/>
              </w:rPr>
              <w:t>Good</w:t>
            </w:r>
          </w:p>
        </w:tc>
      </w:tr>
    </w:tbl>
    <w:p w14:paraId="030C205D" w14:textId="77777777" w:rsidR="00EF7290" w:rsidRDefault="00EF7290" w:rsidP="00EF7290">
      <w:pPr>
        <w:spacing w:after="0" w:line="480" w:lineRule="auto"/>
        <w:jc w:val="both"/>
        <w:rPr>
          <w:rFonts w:ascii="Times New Roman" w:hAnsi="Times New Roman" w:cs="Times New Roman"/>
          <w:sz w:val="18"/>
          <w:szCs w:val="18"/>
        </w:rPr>
      </w:pPr>
    </w:p>
    <w:p w14:paraId="034244C3" w14:textId="77777777" w:rsidR="00EF7290" w:rsidRDefault="00EF7290" w:rsidP="00EF7290">
      <w:pPr>
        <w:spacing w:after="0" w:line="480" w:lineRule="auto"/>
        <w:jc w:val="both"/>
        <w:rPr>
          <w:rFonts w:ascii="Times New Roman" w:hAnsi="Times New Roman" w:cs="Times New Roman"/>
          <w:sz w:val="18"/>
          <w:szCs w:val="18"/>
        </w:rPr>
      </w:pPr>
    </w:p>
    <w:p w14:paraId="2054B06E" w14:textId="77777777" w:rsidR="00EF7290" w:rsidRDefault="00EF7290" w:rsidP="00EF7290">
      <w:pPr>
        <w:spacing w:after="0" w:line="480" w:lineRule="auto"/>
        <w:jc w:val="both"/>
        <w:rPr>
          <w:rFonts w:ascii="Times New Roman" w:hAnsi="Times New Roman" w:cs="Times New Roman"/>
          <w:sz w:val="18"/>
          <w:szCs w:val="18"/>
        </w:rPr>
      </w:pPr>
    </w:p>
    <w:p w14:paraId="6C01304A" w14:textId="77777777" w:rsidR="00EF7290" w:rsidRPr="002F25BD" w:rsidRDefault="00EF7290" w:rsidP="00EF7290">
      <w:pPr>
        <w:spacing w:after="0" w:line="480" w:lineRule="auto"/>
        <w:jc w:val="both"/>
        <w:rPr>
          <w:rFonts w:ascii="Times New Roman" w:hAnsi="Times New Roman" w:cs="Times New Roman"/>
          <w:sz w:val="18"/>
          <w:szCs w:val="18"/>
        </w:rPr>
      </w:pPr>
    </w:p>
    <w:p w14:paraId="04A67242" w14:textId="77777777" w:rsidR="00EF7290" w:rsidRPr="008264F9" w:rsidRDefault="00EF7290" w:rsidP="00EF7290">
      <w:pPr>
        <w:spacing w:after="0" w:line="240" w:lineRule="auto"/>
        <w:jc w:val="both"/>
        <w:rPr>
          <w:rFonts w:ascii="Times New Roman" w:hAnsi="Times New Roman" w:cs="Times New Roman"/>
          <w:i/>
          <w:iCs/>
          <w:sz w:val="22"/>
          <w:szCs w:val="22"/>
        </w:rPr>
      </w:pPr>
      <w:r w:rsidRPr="008264F9">
        <w:rPr>
          <w:rFonts w:ascii="Times New Roman" w:hAnsi="Times New Roman" w:cs="Times New Roman"/>
          <w:b/>
          <w:bCs/>
          <w:sz w:val="22"/>
          <w:szCs w:val="22"/>
        </w:rPr>
        <w:lastRenderedPageBreak/>
        <w:t xml:space="preserve">Supplementary Table </w:t>
      </w:r>
      <w:r>
        <w:rPr>
          <w:rFonts w:ascii="Times New Roman" w:hAnsi="Times New Roman" w:cs="Times New Roman"/>
          <w:b/>
          <w:bCs/>
          <w:sz w:val="22"/>
          <w:szCs w:val="22"/>
        </w:rPr>
        <w:t>3</w:t>
      </w:r>
      <w:r w:rsidRPr="008264F9">
        <w:rPr>
          <w:rFonts w:ascii="Times New Roman" w:hAnsi="Times New Roman" w:cs="Times New Roman"/>
          <w:b/>
          <w:bCs/>
          <w:sz w:val="22"/>
          <w:szCs w:val="22"/>
        </w:rPr>
        <w:t>c.</w:t>
      </w:r>
      <w:r w:rsidRPr="008264F9">
        <w:rPr>
          <w:rFonts w:ascii="Times New Roman" w:hAnsi="Times New Roman" w:cs="Times New Roman"/>
          <w:sz w:val="22"/>
          <w:szCs w:val="22"/>
        </w:rPr>
        <w:t xml:space="preserve"> </w:t>
      </w:r>
      <w:r w:rsidRPr="008264F9">
        <w:rPr>
          <w:rFonts w:ascii="Times New Roman" w:hAnsi="Times New Roman" w:cs="Times New Roman"/>
          <w:i/>
          <w:iCs/>
          <w:sz w:val="22"/>
          <w:szCs w:val="22"/>
        </w:rPr>
        <w:t>Quality Assessment of Experimental Studies</w:t>
      </w:r>
      <w:r>
        <w:rPr>
          <w:rFonts w:ascii="Times New Roman" w:hAnsi="Times New Roman" w:cs="Times New Roman"/>
          <w:i/>
          <w:iCs/>
          <w:sz w:val="22"/>
          <w:szCs w:val="22"/>
        </w:rPr>
        <w:t>.</w:t>
      </w:r>
    </w:p>
    <w:tbl>
      <w:tblPr>
        <w:tblStyle w:val="TableGrid"/>
        <w:tblpPr w:leftFromText="180" w:rightFromText="180" w:vertAnchor="text" w:horzAnchor="margin" w:tblpXSpec="center" w:tblpY="452"/>
        <w:tblW w:w="14575" w:type="dxa"/>
        <w:tblBorders>
          <w:insideV w:val="none" w:sz="0" w:space="0" w:color="auto"/>
        </w:tblBorders>
        <w:tblLook w:val="04A0" w:firstRow="1" w:lastRow="0" w:firstColumn="1" w:lastColumn="0" w:noHBand="0" w:noVBand="1"/>
      </w:tblPr>
      <w:tblGrid>
        <w:gridCol w:w="1786"/>
        <w:gridCol w:w="737"/>
        <w:gridCol w:w="737"/>
        <w:gridCol w:w="737"/>
        <w:gridCol w:w="737"/>
        <w:gridCol w:w="737"/>
        <w:gridCol w:w="737"/>
        <w:gridCol w:w="737"/>
        <w:gridCol w:w="737"/>
        <w:gridCol w:w="737"/>
        <w:gridCol w:w="737"/>
        <w:gridCol w:w="737"/>
        <w:gridCol w:w="737"/>
        <w:gridCol w:w="737"/>
        <w:gridCol w:w="737"/>
        <w:gridCol w:w="737"/>
        <w:gridCol w:w="1734"/>
      </w:tblGrid>
      <w:tr w:rsidR="00EF7290" w:rsidRPr="002F25BD" w14:paraId="08EACE29" w14:textId="77777777" w:rsidTr="00CE6A6D">
        <w:trPr>
          <w:trHeight w:val="300"/>
        </w:trPr>
        <w:tc>
          <w:tcPr>
            <w:tcW w:w="1786" w:type="dxa"/>
            <w:noWrap/>
            <w:hideMark/>
          </w:tcPr>
          <w:p w14:paraId="007A0CB2"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Studies</w:t>
            </w:r>
          </w:p>
        </w:tc>
        <w:tc>
          <w:tcPr>
            <w:tcW w:w="737" w:type="dxa"/>
            <w:noWrap/>
            <w:hideMark/>
          </w:tcPr>
          <w:p w14:paraId="6545BD69"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D1</w:t>
            </w:r>
          </w:p>
        </w:tc>
        <w:tc>
          <w:tcPr>
            <w:tcW w:w="737" w:type="dxa"/>
            <w:noWrap/>
            <w:hideMark/>
          </w:tcPr>
          <w:p w14:paraId="3F80608E"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D2</w:t>
            </w:r>
          </w:p>
        </w:tc>
        <w:tc>
          <w:tcPr>
            <w:tcW w:w="737" w:type="dxa"/>
            <w:noWrap/>
            <w:hideMark/>
          </w:tcPr>
          <w:p w14:paraId="3B04ECBF"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D3</w:t>
            </w:r>
          </w:p>
        </w:tc>
        <w:tc>
          <w:tcPr>
            <w:tcW w:w="737" w:type="dxa"/>
            <w:noWrap/>
            <w:hideMark/>
          </w:tcPr>
          <w:p w14:paraId="46FB27F7"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D4</w:t>
            </w:r>
          </w:p>
        </w:tc>
        <w:tc>
          <w:tcPr>
            <w:tcW w:w="737" w:type="dxa"/>
            <w:noWrap/>
            <w:hideMark/>
          </w:tcPr>
          <w:p w14:paraId="2C38FAA2"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D5</w:t>
            </w:r>
          </w:p>
        </w:tc>
        <w:tc>
          <w:tcPr>
            <w:tcW w:w="737" w:type="dxa"/>
            <w:noWrap/>
            <w:hideMark/>
          </w:tcPr>
          <w:p w14:paraId="20F3F2C5"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D6</w:t>
            </w:r>
          </w:p>
        </w:tc>
        <w:tc>
          <w:tcPr>
            <w:tcW w:w="737" w:type="dxa"/>
            <w:noWrap/>
            <w:hideMark/>
          </w:tcPr>
          <w:p w14:paraId="49B521D8"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D7</w:t>
            </w:r>
          </w:p>
        </w:tc>
        <w:tc>
          <w:tcPr>
            <w:tcW w:w="737" w:type="dxa"/>
            <w:noWrap/>
            <w:hideMark/>
          </w:tcPr>
          <w:p w14:paraId="44E030BD"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D8</w:t>
            </w:r>
          </w:p>
        </w:tc>
        <w:tc>
          <w:tcPr>
            <w:tcW w:w="737" w:type="dxa"/>
            <w:noWrap/>
            <w:hideMark/>
          </w:tcPr>
          <w:p w14:paraId="67BA9142"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D9</w:t>
            </w:r>
          </w:p>
        </w:tc>
        <w:tc>
          <w:tcPr>
            <w:tcW w:w="737" w:type="dxa"/>
            <w:noWrap/>
            <w:hideMark/>
          </w:tcPr>
          <w:p w14:paraId="7B637F91"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D10</w:t>
            </w:r>
          </w:p>
        </w:tc>
        <w:tc>
          <w:tcPr>
            <w:tcW w:w="737" w:type="dxa"/>
            <w:noWrap/>
            <w:hideMark/>
          </w:tcPr>
          <w:p w14:paraId="3321E1C7"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D11</w:t>
            </w:r>
          </w:p>
        </w:tc>
        <w:tc>
          <w:tcPr>
            <w:tcW w:w="737" w:type="dxa"/>
            <w:noWrap/>
            <w:hideMark/>
          </w:tcPr>
          <w:p w14:paraId="35DF4BC3"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D12</w:t>
            </w:r>
          </w:p>
        </w:tc>
        <w:tc>
          <w:tcPr>
            <w:tcW w:w="737" w:type="dxa"/>
            <w:noWrap/>
            <w:hideMark/>
          </w:tcPr>
          <w:p w14:paraId="526A41B8"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D13</w:t>
            </w:r>
          </w:p>
        </w:tc>
        <w:tc>
          <w:tcPr>
            <w:tcW w:w="737" w:type="dxa"/>
            <w:noWrap/>
            <w:hideMark/>
          </w:tcPr>
          <w:p w14:paraId="51680D6E"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D14</w:t>
            </w:r>
          </w:p>
        </w:tc>
        <w:tc>
          <w:tcPr>
            <w:tcW w:w="737" w:type="dxa"/>
            <w:noWrap/>
            <w:hideMark/>
          </w:tcPr>
          <w:p w14:paraId="1FD809C8"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Total</w:t>
            </w:r>
          </w:p>
        </w:tc>
        <w:tc>
          <w:tcPr>
            <w:tcW w:w="1734" w:type="dxa"/>
            <w:noWrap/>
            <w:hideMark/>
          </w:tcPr>
          <w:p w14:paraId="3DFC08CF" w14:textId="77777777" w:rsidR="00EF7290" w:rsidRPr="00EF0728" w:rsidRDefault="00EF7290" w:rsidP="00CE6A6D">
            <w:pPr>
              <w:jc w:val="both"/>
              <w:rPr>
                <w:rFonts w:ascii="Times New Roman" w:hAnsi="Times New Roman" w:cs="Times New Roman"/>
                <w:b/>
                <w:bCs/>
                <w:sz w:val="18"/>
                <w:szCs w:val="18"/>
              </w:rPr>
            </w:pPr>
            <w:r w:rsidRPr="00EF0728">
              <w:rPr>
                <w:rFonts w:ascii="Times New Roman" w:hAnsi="Times New Roman" w:cs="Times New Roman"/>
                <w:b/>
                <w:bCs/>
                <w:sz w:val="18"/>
                <w:szCs w:val="18"/>
              </w:rPr>
              <w:t>Overall Rating</w:t>
            </w:r>
          </w:p>
        </w:tc>
      </w:tr>
      <w:tr w:rsidR="00EF7290" w:rsidRPr="002F25BD" w14:paraId="768EFF19" w14:textId="77777777" w:rsidTr="00CE6A6D">
        <w:trPr>
          <w:trHeight w:val="338"/>
        </w:trPr>
        <w:tc>
          <w:tcPr>
            <w:tcW w:w="1786" w:type="dxa"/>
            <w:hideMark/>
          </w:tcPr>
          <w:p w14:paraId="32F3B005"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Yuan, (2021)</w:t>
            </w:r>
          </w:p>
        </w:tc>
        <w:tc>
          <w:tcPr>
            <w:tcW w:w="737" w:type="dxa"/>
            <w:noWrap/>
            <w:hideMark/>
          </w:tcPr>
          <w:p w14:paraId="49B48157"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2CD2B20F"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2A05BFEB"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CD</w:t>
            </w:r>
          </w:p>
        </w:tc>
        <w:tc>
          <w:tcPr>
            <w:tcW w:w="737" w:type="dxa"/>
            <w:noWrap/>
            <w:hideMark/>
          </w:tcPr>
          <w:p w14:paraId="39A06560"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737" w:type="dxa"/>
            <w:noWrap/>
            <w:hideMark/>
          </w:tcPr>
          <w:p w14:paraId="595DE6E5"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737" w:type="dxa"/>
            <w:noWrap/>
            <w:hideMark/>
          </w:tcPr>
          <w:p w14:paraId="026FC2ED"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1495A883"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4C6E55B9"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3FDB8A86"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645E1B3B"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09479D80"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1B71DCAB"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737" w:type="dxa"/>
            <w:noWrap/>
            <w:hideMark/>
          </w:tcPr>
          <w:p w14:paraId="7A2B4331"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68BD9C0B"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737" w:type="dxa"/>
            <w:noWrap/>
            <w:hideMark/>
          </w:tcPr>
          <w:p w14:paraId="4D184BE7"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9</w:t>
            </w:r>
          </w:p>
        </w:tc>
        <w:tc>
          <w:tcPr>
            <w:tcW w:w="1734" w:type="dxa"/>
            <w:noWrap/>
            <w:hideMark/>
          </w:tcPr>
          <w:p w14:paraId="3824CB10"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02A8ED18" w14:textId="77777777" w:rsidTr="00CE6A6D">
        <w:trPr>
          <w:trHeight w:val="325"/>
        </w:trPr>
        <w:tc>
          <w:tcPr>
            <w:tcW w:w="1786" w:type="dxa"/>
            <w:hideMark/>
          </w:tcPr>
          <w:p w14:paraId="66DD5D90"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Giri et al. (2021)</w:t>
            </w:r>
          </w:p>
        </w:tc>
        <w:tc>
          <w:tcPr>
            <w:tcW w:w="737" w:type="dxa"/>
            <w:noWrap/>
            <w:hideMark/>
          </w:tcPr>
          <w:p w14:paraId="555B4457"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29598E15"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6BAC7240"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737" w:type="dxa"/>
            <w:noWrap/>
            <w:hideMark/>
          </w:tcPr>
          <w:p w14:paraId="51A7EB0C"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737" w:type="dxa"/>
            <w:noWrap/>
            <w:hideMark/>
          </w:tcPr>
          <w:p w14:paraId="31F1177B"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737" w:type="dxa"/>
            <w:noWrap/>
            <w:hideMark/>
          </w:tcPr>
          <w:p w14:paraId="091EA7A6"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7812363C"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6DB79F12"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737" w:type="dxa"/>
            <w:noWrap/>
            <w:hideMark/>
          </w:tcPr>
          <w:p w14:paraId="385E585F"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1670FE78"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07DEFFCA"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110792B8"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6A94685F"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5A74E1F2"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737" w:type="dxa"/>
            <w:noWrap/>
            <w:hideMark/>
          </w:tcPr>
          <w:p w14:paraId="510CEE29"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9</w:t>
            </w:r>
          </w:p>
        </w:tc>
        <w:tc>
          <w:tcPr>
            <w:tcW w:w="1734" w:type="dxa"/>
            <w:noWrap/>
            <w:hideMark/>
          </w:tcPr>
          <w:p w14:paraId="78196E49"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Good</w:t>
            </w:r>
          </w:p>
        </w:tc>
      </w:tr>
      <w:tr w:rsidR="00EF7290" w:rsidRPr="002F25BD" w14:paraId="28B44F9F" w14:textId="77777777" w:rsidTr="00CE6A6D">
        <w:trPr>
          <w:trHeight w:val="300"/>
        </w:trPr>
        <w:tc>
          <w:tcPr>
            <w:tcW w:w="1786" w:type="dxa"/>
            <w:hideMark/>
          </w:tcPr>
          <w:p w14:paraId="259C6DE3"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Wu et al. (2023)</w:t>
            </w:r>
          </w:p>
        </w:tc>
        <w:tc>
          <w:tcPr>
            <w:tcW w:w="737" w:type="dxa"/>
            <w:noWrap/>
            <w:hideMark/>
          </w:tcPr>
          <w:p w14:paraId="7D3071D5"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468BFD74"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737" w:type="dxa"/>
            <w:noWrap/>
            <w:hideMark/>
          </w:tcPr>
          <w:p w14:paraId="03871566"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704C9DC1"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737" w:type="dxa"/>
            <w:noWrap/>
            <w:hideMark/>
          </w:tcPr>
          <w:p w14:paraId="464CDBB1"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NR</w:t>
            </w:r>
          </w:p>
        </w:tc>
        <w:tc>
          <w:tcPr>
            <w:tcW w:w="737" w:type="dxa"/>
            <w:noWrap/>
            <w:hideMark/>
          </w:tcPr>
          <w:p w14:paraId="0D94E268"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23BE5FBD"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596B92BA"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0EE8C4D6"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12D4025D"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Yes</w:t>
            </w:r>
          </w:p>
        </w:tc>
        <w:tc>
          <w:tcPr>
            <w:tcW w:w="737" w:type="dxa"/>
            <w:noWrap/>
            <w:hideMark/>
          </w:tcPr>
          <w:p w14:paraId="6A6B5B3C"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No</w:t>
            </w:r>
          </w:p>
        </w:tc>
        <w:tc>
          <w:tcPr>
            <w:tcW w:w="737" w:type="dxa"/>
            <w:noWrap/>
            <w:hideMark/>
          </w:tcPr>
          <w:p w14:paraId="33980881"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NA</w:t>
            </w:r>
          </w:p>
        </w:tc>
        <w:tc>
          <w:tcPr>
            <w:tcW w:w="737" w:type="dxa"/>
            <w:noWrap/>
            <w:hideMark/>
          </w:tcPr>
          <w:p w14:paraId="6A8B126E"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w:t>
            </w:r>
          </w:p>
        </w:tc>
        <w:tc>
          <w:tcPr>
            <w:tcW w:w="737" w:type="dxa"/>
            <w:noWrap/>
            <w:hideMark/>
          </w:tcPr>
          <w:p w14:paraId="744EF06E"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w:t>
            </w:r>
          </w:p>
        </w:tc>
        <w:tc>
          <w:tcPr>
            <w:tcW w:w="737" w:type="dxa"/>
            <w:noWrap/>
            <w:hideMark/>
          </w:tcPr>
          <w:p w14:paraId="136AB070"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7</w:t>
            </w:r>
          </w:p>
        </w:tc>
        <w:tc>
          <w:tcPr>
            <w:tcW w:w="1734" w:type="dxa"/>
            <w:noWrap/>
            <w:hideMark/>
          </w:tcPr>
          <w:p w14:paraId="7EFF718E" w14:textId="77777777" w:rsidR="00EF7290" w:rsidRPr="002F25BD" w:rsidRDefault="00EF7290" w:rsidP="00CE6A6D">
            <w:pPr>
              <w:jc w:val="both"/>
              <w:rPr>
                <w:rFonts w:ascii="Times New Roman" w:hAnsi="Times New Roman" w:cs="Times New Roman"/>
                <w:sz w:val="18"/>
                <w:szCs w:val="18"/>
              </w:rPr>
            </w:pPr>
            <w:r w:rsidRPr="002F25BD">
              <w:rPr>
                <w:rFonts w:ascii="Times New Roman" w:hAnsi="Times New Roman" w:cs="Times New Roman"/>
                <w:sz w:val="18"/>
                <w:szCs w:val="18"/>
              </w:rPr>
              <w:t>Good</w:t>
            </w:r>
          </w:p>
        </w:tc>
      </w:tr>
    </w:tbl>
    <w:p w14:paraId="285F4421" w14:textId="77777777" w:rsidR="00EF7290" w:rsidRDefault="00EF7290" w:rsidP="00EF7290">
      <w:pPr>
        <w:tabs>
          <w:tab w:val="left" w:pos="2085"/>
        </w:tabs>
        <w:spacing w:after="0" w:line="259" w:lineRule="auto"/>
        <w:rPr>
          <w:rFonts w:ascii="Times New Roman" w:eastAsia="Times New Roman" w:hAnsi="Times New Roman" w:cs="Times New Roman"/>
          <w:color w:val="000000"/>
          <w:sz w:val="22"/>
          <w:szCs w:val="22"/>
        </w:rPr>
      </w:pPr>
    </w:p>
    <w:p w14:paraId="5769E956" w14:textId="77777777" w:rsidR="00EF7290" w:rsidRDefault="00EF7290" w:rsidP="00EF7290">
      <w:pPr>
        <w:tabs>
          <w:tab w:val="left" w:pos="2085"/>
        </w:tabs>
        <w:spacing w:after="0" w:line="259" w:lineRule="auto"/>
        <w:rPr>
          <w:rFonts w:ascii="Times New Roman" w:eastAsia="Times New Roman" w:hAnsi="Times New Roman" w:cs="Times New Roman"/>
          <w:color w:val="000000"/>
          <w:sz w:val="22"/>
          <w:szCs w:val="22"/>
        </w:rPr>
        <w:sectPr w:rsidR="00EF7290" w:rsidSect="00EF7290">
          <w:pgSz w:w="15840" w:h="12240" w:orient="landscape"/>
          <w:pgMar w:top="1440" w:right="1440" w:bottom="1440" w:left="1440" w:header="720" w:footer="720" w:gutter="0"/>
          <w:cols w:space="720"/>
          <w:docGrid w:linePitch="360"/>
        </w:sectPr>
      </w:pPr>
    </w:p>
    <w:p w14:paraId="18690071" w14:textId="77777777" w:rsidR="00954B89" w:rsidRPr="00DC1761" w:rsidRDefault="00954B89" w:rsidP="00DD356D">
      <w:pPr>
        <w:tabs>
          <w:tab w:val="left" w:pos="2085"/>
        </w:tabs>
        <w:spacing w:after="0" w:line="259" w:lineRule="auto"/>
        <w:rPr>
          <w:rFonts w:ascii="Times New Roman" w:eastAsia="Times New Roman" w:hAnsi="Times New Roman" w:cs="Times New Roman"/>
          <w:color w:val="000000"/>
          <w:sz w:val="22"/>
          <w:szCs w:val="22"/>
        </w:rPr>
      </w:pPr>
    </w:p>
    <w:sectPr w:rsidR="00954B89" w:rsidRPr="00DC1761" w:rsidSect="00EF7290">
      <w:type w:val="continuous"/>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1C0BF" w14:textId="77777777" w:rsidR="00123B62" w:rsidRDefault="00123B62" w:rsidP="000E5D3E">
      <w:pPr>
        <w:spacing w:after="0" w:line="240" w:lineRule="auto"/>
      </w:pPr>
      <w:r>
        <w:separator/>
      </w:r>
    </w:p>
  </w:endnote>
  <w:endnote w:type="continuationSeparator" w:id="0">
    <w:p w14:paraId="0824B826" w14:textId="77777777" w:rsidR="00123B62" w:rsidRDefault="00123B62" w:rsidP="000E5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278777"/>
      <w:docPartObj>
        <w:docPartGallery w:val="Page Numbers (Bottom of Page)"/>
        <w:docPartUnique/>
      </w:docPartObj>
    </w:sdtPr>
    <w:sdtEndPr>
      <w:rPr>
        <w:noProof/>
      </w:rPr>
    </w:sdtEndPr>
    <w:sdtContent>
      <w:p w14:paraId="614AE904" w14:textId="57DE422C" w:rsidR="003202C1" w:rsidRDefault="003202C1" w:rsidP="003202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E1929" w14:textId="77777777" w:rsidR="00123B62" w:rsidRDefault="00123B62" w:rsidP="000E5D3E">
      <w:pPr>
        <w:spacing w:after="0" w:line="240" w:lineRule="auto"/>
      </w:pPr>
      <w:r>
        <w:separator/>
      </w:r>
    </w:p>
  </w:footnote>
  <w:footnote w:type="continuationSeparator" w:id="0">
    <w:p w14:paraId="03F28EFD" w14:textId="77777777" w:rsidR="00123B62" w:rsidRDefault="00123B62" w:rsidP="000E5D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5F30"/>
    <w:multiLevelType w:val="hybridMultilevel"/>
    <w:tmpl w:val="112C2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13EB9"/>
    <w:multiLevelType w:val="hybridMultilevel"/>
    <w:tmpl w:val="BF56F3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4F2DCC"/>
    <w:multiLevelType w:val="multilevel"/>
    <w:tmpl w:val="42DE9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5A4A14"/>
    <w:multiLevelType w:val="multilevel"/>
    <w:tmpl w:val="3C00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20DC8"/>
    <w:multiLevelType w:val="hybridMultilevel"/>
    <w:tmpl w:val="BAFE5964"/>
    <w:lvl w:ilvl="0" w:tplc="D4BA8F9A">
      <w:start w:val="1"/>
      <w:numFmt w:val="decimal"/>
      <w:lvlText w:val="%1."/>
      <w:lvlJc w:val="left"/>
      <w:pPr>
        <w:ind w:left="1020" w:hanging="360"/>
      </w:pPr>
    </w:lvl>
    <w:lvl w:ilvl="1" w:tplc="A3A2F970">
      <w:start w:val="1"/>
      <w:numFmt w:val="decimal"/>
      <w:lvlText w:val="%2."/>
      <w:lvlJc w:val="left"/>
      <w:pPr>
        <w:ind w:left="1020" w:hanging="360"/>
      </w:pPr>
    </w:lvl>
    <w:lvl w:ilvl="2" w:tplc="CA7EBFB0">
      <w:start w:val="1"/>
      <w:numFmt w:val="decimal"/>
      <w:lvlText w:val="%3."/>
      <w:lvlJc w:val="left"/>
      <w:pPr>
        <w:ind w:left="1020" w:hanging="360"/>
      </w:pPr>
    </w:lvl>
    <w:lvl w:ilvl="3" w:tplc="380C9042">
      <w:start w:val="1"/>
      <w:numFmt w:val="decimal"/>
      <w:lvlText w:val="%4."/>
      <w:lvlJc w:val="left"/>
      <w:pPr>
        <w:ind w:left="1020" w:hanging="360"/>
      </w:pPr>
    </w:lvl>
    <w:lvl w:ilvl="4" w:tplc="AD3A3EA2">
      <w:start w:val="1"/>
      <w:numFmt w:val="decimal"/>
      <w:lvlText w:val="%5."/>
      <w:lvlJc w:val="left"/>
      <w:pPr>
        <w:ind w:left="1020" w:hanging="360"/>
      </w:pPr>
    </w:lvl>
    <w:lvl w:ilvl="5" w:tplc="6006628A">
      <w:start w:val="1"/>
      <w:numFmt w:val="decimal"/>
      <w:lvlText w:val="%6."/>
      <w:lvlJc w:val="left"/>
      <w:pPr>
        <w:ind w:left="1020" w:hanging="360"/>
      </w:pPr>
    </w:lvl>
    <w:lvl w:ilvl="6" w:tplc="B080AF12">
      <w:start w:val="1"/>
      <w:numFmt w:val="decimal"/>
      <w:lvlText w:val="%7."/>
      <w:lvlJc w:val="left"/>
      <w:pPr>
        <w:ind w:left="1020" w:hanging="360"/>
      </w:pPr>
    </w:lvl>
    <w:lvl w:ilvl="7" w:tplc="E6F26204">
      <w:start w:val="1"/>
      <w:numFmt w:val="decimal"/>
      <w:lvlText w:val="%8."/>
      <w:lvlJc w:val="left"/>
      <w:pPr>
        <w:ind w:left="1020" w:hanging="360"/>
      </w:pPr>
    </w:lvl>
    <w:lvl w:ilvl="8" w:tplc="9CC47A76">
      <w:start w:val="1"/>
      <w:numFmt w:val="decimal"/>
      <w:lvlText w:val="%9."/>
      <w:lvlJc w:val="left"/>
      <w:pPr>
        <w:ind w:left="1020" w:hanging="360"/>
      </w:pPr>
    </w:lvl>
  </w:abstractNum>
  <w:abstractNum w:abstractNumId="5" w15:restartNumberingAfterBreak="0">
    <w:nsid w:val="1733222B"/>
    <w:multiLevelType w:val="hybridMultilevel"/>
    <w:tmpl w:val="1F5C7CDA"/>
    <w:lvl w:ilvl="0" w:tplc="0A1AED4C">
      <w:start w:val="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74CB9"/>
    <w:multiLevelType w:val="hybridMultilevel"/>
    <w:tmpl w:val="324A8D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C91930"/>
    <w:multiLevelType w:val="multilevel"/>
    <w:tmpl w:val="19A0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CB5463"/>
    <w:multiLevelType w:val="hybridMultilevel"/>
    <w:tmpl w:val="ED5C6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FA607C"/>
    <w:multiLevelType w:val="multilevel"/>
    <w:tmpl w:val="953A6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4F71B4"/>
    <w:multiLevelType w:val="multilevel"/>
    <w:tmpl w:val="9B46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3F0575"/>
    <w:multiLevelType w:val="hybridMultilevel"/>
    <w:tmpl w:val="2004A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6C50DCE"/>
    <w:multiLevelType w:val="multilevel"/>
    <w:tmpl w:val="8D8CBFFE"/>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C10123B"/>
    <w:multiLevelType w:val="multilevel"/>
    <w:tmpl w:val="1E20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BF7B15"/>
    <w:multiLevelType w:val="hybridMultilevel"/>
    <w:tmpl w:val="4392B77C"/>
    <w:lvl w:ilvl="0" w:tplc="87926098">
      <w:start w:val="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B54D5"/>
    <w:multiLevelType w:val="hybridMultilevel"/>
    <w:tmpl w:val="4A96D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612A20"/>
    <w:multiLevelType w:val="hybridMultilevel"/>
    <w:tmpl w:val="AC861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944265"/>
    <w:multiLevelType w:val="hybridMultilevel"/>
    <w:tmpl w:val="69BA94B2"/>
    <w:lvl w:ilvl="0" w:tplc="578C20A2">
      <w:start w:val="66"/>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F22A4"/>
    <w:multiLevelType w:val="hybridMultilevel"/>
    <w:tmpl w:val="878C9D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672464"/>
    <w:multiLevelType w:val="multilevel"/>
    <w:tmpl w:val="9E967AF8"/>
    <w:lvl w:ilvl="0">
      <w:start w:val="4"/>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95761C"/>
    <w:multiLevelType w:val="hybridMultilevel"/>
    <w:tmpl w:val="8B9C647C"/>
    <w:lvl w:ilvl="0" w:tplc="11A67066">
      <w:start w:val="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4B4443"/>
    <w:multiLevelType w:val="multilevel"/>
    <w:tmpl w:val="19A0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400AB6"/>
    <w:multiLevelType w:val="hybridMultilevel"/>
    <w:tmpl w:val="BF56F3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3BC1CA3"/>
    <w:multiLevelType w:val="hybridMultilevel"/>
    <w:tmpl w:val="A8CE863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4" w15:restartNumberingAfterBreak="0">
    <w:nsid w:val="5A146825"/>
    <w:multiLevelType w:val="multilevel"/>
    <w:tmpl w:val="202A636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9B47CF"/>
    <w:multiLevelType w:val="hybridMultilevel"/>
    <w:tmpl w:val="4A284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0E72B7"/>
    <w:multiLevelType w:val="hybridMultilevel"/>
    <w:tmpl w:val="7DEE7EFA"/>
    <w:lvl w:ilvl="0" w:tplc="F2DED560">
      <w:start w:val="4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B00097"/>
    <w:multiLevelType w:val="hybridMultilevel"/>
    <w:tmpl w:val="04D48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A54AF"/>
    <w:multiLevelType w:val="hybridMultilevel"/>
    <w:tmpl w:val="F13C0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C301B06"/>
    <w:multiLevelType w:val="hybridMultilevel"/>
    <w:tmpl w:val="815663CA"/>
    <w:lvl w:ilvl="0" w:tplc="2976FB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3085209">
    <w:abstractNumId w:val="7"/>
  </w:num>
  <w:num w:numId="2" w16cid:durableId="1231187268">
    <w:abstractNumId w:val="2"/>
  </w:num>
  <w:num w:numId="3" w16cid:durableId="850215884">
    <w:abstractNumId w:val="9"/>
  </w:num>
  <w:num w:numId="4" w16cid:durableId="1677031736">
    <w:abstractNumId w:val="13"/>
  </w:num>
  <w:num w:numId="5" w16cid:durableId="572735597">
    <w:abstractNumId w:val="10"/>
  </w:num>
  <w:num w:numId="6" w16cid:durableId="1561361133">
    <w:abstractNumId w:val="6"/>
  </w:num>
  <w:num w:numId="7" w16cid:durableId="927810162">
    <w:abstractNumId w:val="21"/>
  </w:num>
  <w:num w:numId="8" w16cid:durableId="1921527277">
    <w:abstractNumId w:val="29"/>
  </w:num>
  <w:num w:numId="9" w16cid:durableId="1978290568">
    <w:abstractNumId w:val="11"/>
  </w:num>
  <w:num w:numId="10" w16cid:durableId="2064865399">
    <w:abstractNumId w:val="24"/>
  </w:num>
  <w:num w:numId="11" w16cid:durableId="587035828">
    <w:abstractNumId w:val="28"/>
  </w:num>
  <w:num w:numId="12" w16cid:durableId="1356148650">
    <w:abstractNumId w:val="23"/>
  </w:num>
  <w:num w:numId="13" w16cid:durableId="33242110">
    <w:abstractNumId w:val="26"/>
  </w:num>
  <w:num w:numId="14" w16cid:durableId="572088575">
    <w:abstractNumId w:val="25"/>
  </w:num>
  <w:num w:numId="15" w16cid:durableId="1424574658">
    <w:abstractNumId w:val="20"/>
  </w:num>
  <w:num w:numId="16" w16cid:durableId="928853016">
    <w:abstractNumId w:val="14"/>
  </w:num>
  <w:num w:numId="17" w16cid:durableId="1879970274">
    <w:abstractNumId w:val="17"/>
  </w:num>
  <w:num w:numId="18" w16cid:durableId="1712071511">
    <w:abstractNumId w:val="5"/>
  </w:num>
  <w:num w:numId="19" w16cid:durableId="1287732204">
    <w:abstractNumId w:val="27"/>
  </w:num>
  <w:num w:numId="20" w16cid:durableId="339818084">
    <w:abstractNumId w:val="8"/>
  </w:num>
  <w:num w:numId="21" w16cid:durableId="267125727">
    <w:abstractNumId w:val="1"/>
  </w:num>
  <w:num w:numId="22" w16cid:durableId="173111916">
    <w:abstractNumId w:val="22"/>
  </w:num>
  <w:num w:numId="23" w16cid:durableId="109325242">
    <w:abstractNumId w:val="16"/>
  </w:num>
  <w:num w:numId="24" w16cid:durableId="1605457348">
    <w:abstractNumId w:val="0"/>
  </w:num>
  <w:num w:numId="25" w16cid:durableId="897281703">
    <w:abstractNumId w:val="4"/>
  </w:num>
  <w:num w:numId="26" w16cid:durableId="51735297">
    <w:abstractNumId w:val="18"/>
  </w:num>
  <w:num w:numId="27" w16cid:durableId="105973986">
    <w:abstractNumId w:val="19"/>
  </w:num>
  <w:num w:numId="28" w16cid:durableId="2070959178">
    <w:abstractNumId w:val="12"/>
  </w:num>
  <w:num w:numId="29" w16cid:durableId="2023896091">
    <w:abstractNumId w:val="15"/>
  </w:num>
  <w:num w:numId="30" w16cid:durableId="20260117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D3E"/>
    <w:rsid w:val="0000382C"/>
    <w:rsid w:val="00007B6D"/>
    <w:rsid w:val="00022D8A"/>
    <w:rsid w:val="0005035F"/>
    <w:rsid w:val="000503B4"/>
    <w:rsid w:val="00063E78"/>
    <w:rsid w:val="00073CC6"/>
    <w:rsid w:val="00094A45"/>
    <w:rsid w:val="000B08DA"/>
    <w:rsid w:val="000B2366"/>
    <w:rsid w:val="000B493F"/>
    <w:rsid w:val="000C3748"/>
    <w:rsid w:val="000D127C"/>
    <w:rsid w:val="000D3077"/>
    <w:rsid w:val="000E56A8"/>
    <w:rsid w:val="000E5CF1"/>
    <w:rsid w:val="000E5D3E"/>
    <w:rsid w:val="000E7168"/>
    <w:rsid w:val="000F14E2"/>
    <w:rsid w:val="000F623F"/>
    <w:rsid w:val="000F7FDD"/>
    <w:rsid w:val="00103344"/>
    <w:rsid w:val="001220F3"/>
    <w:rsid w:val="00122A29"/>
    <w:rsid w:val="00123B62"/>
    <w:rsid w:val="00130CCB"/>
    <w:rsid w:val="00131F3A"/>
    <w:rsid w:val="001363AA"/>
    <w:rsid w:val="0013754C"/>
    <w:rsid w:val="00143327"/>
    <w:rsid w:val="00144168"/>
    <w:rsid w:val="001619AC"/>
    <w:rsid w:val="00172D54"/>
    <w:rsid w:val="00174F36"/>
    <w:rsid w:val="00175D2C"/>
    <w:rsid w:val="00177AC2"/>
    <w:rsid w:val="00184470"/>
    <w:rsid w:val="0019060F"/>
    <w:rsid w:val="001E5419"/>
    <w:rsid w:val="00210470"/>
    <w:rsid w:val="002139F7"/>
    <w:rsid w:val="00216179"/>
    <w:rsid w:val="00222A69"/>
    <w:rsid w:val="002273F1"/>
    <w:rsid w:val="00233592"/>
    <w:rsid w:val="00242836"/>
    <w:rsid w:val="002463D9"/>
    <w:rsid w:val="00250061"/>
    <w:rsid w:val="00265461"/>
    <w:rsid w:val="00275DC7"/>
    <w:rsid w:val="00282965"/>
    <w:rsid w:val="00284CBE"/>
    <w:rsid w:val="002924C4"/>
    <w:rsid w:val="002A5BDD"/>
    <w:rsid w:val="002B36A1"/>
    <w:rsid w:val="002E167C"/>
    <w:rsid w:val="002F16F2"/>
    <w:rsid w:val="003013F5"/>
    <w:rsid w:val="0030566F"/>
    <w:rsid w:val="003202C1"/>
    <w:rsid w:val="00323844"/>
    <w:rsid w:val="00327938"/>
    <w:rsid w:val="00334C96"/>
    <w:rsid w:val="00343E4A"/>
    <w:rsid w:val="0035437B"/>
    <w:rsid w:val="0036539C"/>
    <w:rsid w:val="00370F47"/>
    <w:rsid w:val="003819F1"/>
    <w:rsid w:val="003833A8"/>
    <w:rsid w:val="00390F0F"/>
    <w:rsid w:val="003A7F6D"/>
    <w:rsid w:val="003B0B9D"/>
    <w:rsid w:val="003B6602"/>
    <w:rsid w:val="003C12EC"/>
    <w:rsid w:val="003D0258"/>
    <w:rsid w:val="003D131D"/>
    <w:rsid w:val="003D1A48"/>
    <w:rsid w:val="003D5AF2"/>
    <w:rsid w:val="003F393C"/>
    <w:rsid w:val="003F5DEF"/>
    <w:rsid w:val="003F69BA"/>
    <w:rsid w:val="003F6E08"/>
    <w:rsid w:val="00406101"/>
    <w:rsid w:val="004208FF"/>
    <w:rsid w:val="00421EB6"/>
    <w:rsid w:val="004262A3"/>
    <w:rsid w:val="004341BD"/>
    <w:rsid w:val="00441C4A"/>
    <w:rsid w:val="0045249F"/>
    <w:rsid w:val="004800F8"/>
    <w:rsid w:val="004803F2"/>
    <w:rsid w:val="004B20BC"/>
    <w:rsid w:val="004B24D5"/>
    <w:rsid w:val="004B5DAE"/>
    <w:rsid w:val="004C0025"/>
    <w:rsid w:val="004E1024"/>
    <w:rsid w:val="004E15CE"/>
    <w:rsid w:val="004E192B"/>
    <w:rsid w:val="004E2D95"/>
    <w:rsid w:val="004E4582"/>
    <w:rsid w:val="004E5A9E"/>
    <w:rsid w:val="004F42E5"/>
    <w:rsid w:val="0051317F"/>
    <w:rsid w:val="00516716"/>
    <w:rsid w:val="005204F5"/>
    <w:rsid w:val="00527211"/>
    <w:rsid w:val="005569A3"/>
    <w:rsid w:val="005714A7"/>
    <w:rsid w:val="00580B5A"/>
    <w:rsid w:val="00581E20"/>
    <w:rsid w:val="005822BE"/>
    <w:rsid w:val="00593530"/>
    <w:rsid w:val="00595B2B"/>
    <w:rsid w:val="005C7819"/>
    <w:rsid w:val="005D1B58"/>
    <w:rsid w:val="005D4F3A"/>
    <w:rsid w:val="00615E3C"/>
    <w:rsid w:val="00623A39"/>
    <w:rsid w:val="00626B4A"/>
    <w:rsid w:val="0063452D"/>
    <w:rsid w:val="00644424"/>
    <w:rsid w:val="006501EE"/>
    <w:rsid w:val="00663649"/>
    <w:rsid w:val="00666421"/>
    <w:rsid w:val="006752F6"/>
    <w:rsid w:val="006923D3"/>
    <w:rsid w:val="006A4691"/>
    <w:rsid w:val="006A73E1"/>
    <w:rsid w:val="006D1B00"/>
    <w:rsid w:val="006D607E"/>
    <w:rsid w:val="006D6798"/>
    <w:rsid w:val="006E048D"/>
    <w:rsid w:val="006E3C88"/>
    <w:rsid w:val="00726F93"/>
    <w:rsid w:val="00745D61"/>
    <w:rsid w:val="00762369"/>
    <w:rsid w:val="0076524A"/>
    <w:rsid w:val="00777A57"/>
    <w:rsid w:val="00786B00"/>
    <w:rsid w:val="0079797B"/>
    <w:rsid w:val="007B2EA1"/>
    <w:rsid w:val="007C7941"/>
    <w:rsid w:val="007D435F"/>
    <w:rsid w:val="00803EE2"/>
    <w:rsid w:val="008264F9"/>
    <w:rsid w:val="00832116"/>
    <w:rsid w:val="00832F15"/>
    <w:rsid w:val="00841467"/>
    <w:rsid w:val="00842E59"/>
    <w:rsid w:val="0084302F"/>
    <w:rsid w:val="00850B1E"/>
    <w:rsid w:val="008626B4"/>
    <w:rsid w:val="00865348"/>
    <w:rsid w:val="0087090C"/>
    <w:rsid w:val="00876BCF"/>
    <w:rsid w:val="00896467"/>
    <w:rsid w:val="008A411C"/>
    <w:rsid w:val="008B600F"/>
    <w:rsid w:val="008C23F4"/>
    <w:rsid w:val="008D34BA"/>
    <w:rsid w:val="008E125A"/>
    <w:rsid w:val="008E2BEE"/>
    <w:rsid w:val="008E383B"/>
    <w:rsid w:val="008F22CC"/>
    <w:rsid w:val="008F60B1"/>
    <w:rsid w:val="0090358C"/>
    <w:rsid w:val="0090582B"/>
    <w:rsid w:val="009128E3"/>
    <w:rsid w:val="009207CE"/>
    <w:rsid w:val="009300AE"/>
    <w:rsid w:val="00930D8D"/>
    <w:rsid w:val="0093120F"/>
    <w:rsid w:val="00954B89"/>
    <w:rsid w:val="009573E9"/>
    <w:rsid w:val="009579CC"/>
    <w:rsid w:val="00970B49"/>
    <w:rsid w:val="00974CE4"/>
    <w:rsid w:val="00987C36"/>
    <w:rsid w:val="009A7120"/>
    <w:rsid w:val="009D7D51"/>
    <w:rsid w:val="009F0A6E"/>
    <w:rsid w:val="009F35E4"/>
    <w:rsid w:val="00A101F0"/>
    <w:rsid w:val="00A17C2E"/>
    <w:rsid w:val="00A3614D"/>
    <w:rsid w:val="00A41ABD"/>
    <w:rsid w:val="00A479ED"/>
    <w:rsid w:val="00A55220"/>
    <w:rsid w:val="00A5728C"/>
    <w:rsid w:val="00A63549"/>
    <w:rsid w:val="00A67764"/>
    <w:rsid w:val="00A7121B"/>
    <w:rsid w:val="00A752DB"/>
    <w:rsid w:val="00A77B02"/>
    <w:rsid w:val="00A8349F"/>
    <w:rsid w:val="00A956E3"/>
    <w:rsid w:val="00AB1C11"/>
    <w:rsid w:val="00AB3563"/>
    <w:rsid w:val="00AB488D"/>
    <w:rsid w:val="00AC2AE2"/>
    <w:rsid w:val="00AD439D"/>
    <w:rsid w:val="00AD77E5"/>
    <w:rsid w:val="00AE6FD5"/>
    <w:rsid w:val="00B2539A"/>
    <w:rsid w:val="00B31CE5"/>
    <w:rsid w:val="00B345F9"/>
    <w:rsid w:val="00B35468"/>
    <w:rsid w:val="00B56A3C"/>
    <w:rsid w:val="00B844D5"/>
    <w:rsid w:val="00B84CF3"/>
    <w:rsid w:val="00BA436C"/>
    <w:rsid w:val="00BA46F2"/>
    <w:rsid w:val="00BB0BDC"/>
    <w:rsid w:val="00BB7C8C"/>
    <w:rsid w:val="00BD1E6D"/>
    <w:rsid w:val="00BF2C33"/>
    <w:rsid w:val="00BF3132"/>
    <w:rsid w:val="00BF54D1"/>
    <w:rsid w:val="00C0005D"/>
    <w:rsid w:val="00C12D73"/>
    <w:rsid w:val="00C24FA1"/>
    <w:rsid w:val="00C3710A"/>
    <w:rsid w:val="00C43BF3"/>
    <w:rsid w:val="00C454CB"/>
    <w:rsid w:val="00C46E7E"/>
    <w:rsid w:val="00C55233"/>
    <w:rsid w:val="00C57A40"/>
    <w:rsid w:val="00C72C57"/>
    <w:rsid w:val="00C80F69"/>
    <w:rsid w:val="00C86267"/>
    <w:rsid w:val="00CA140D"/>
    <w:rsid w:val="00CA4372"/>
    <w:rsid w:val="00CA6C68"/>
    <w:rsid w:val="00CA7448"/>
    <w:rsid w:val="00CB4097"/>
    <w:rsid w:val="00CB5110"/>
    <w:rsid w:val="00CB5FB6"/>
    <w:rsid w:val="00CC0592"/>
    <w:rsid w:val="00CD2965"/>
    <w:rsid w:val="00CE5EB7"/>
    <w:rsid w:val="00D007A9"/>
    <w:rsid w:val="00D260AC"/>
    <w:rsid w:val="00D37364"/>
    <w:rsid w:val="00D42531"/>
    <w:rsid w:val="00D453A9"/>
    <w:rsid w:val="00D6214C"/>
    <w:rsid w:val="00D81074"/>
    <w:rsid w:val="00D815E4"/>
    <w:rsid w:val="00DA259A"/>
    <w:rsid w:val="00DA5303"/>
    <w:rsid w:val="00DB34BF"/>
    <w:rsid w:val="00DC1761"/>
    <w:rsid w:val="00DC757F"/>
    <w:rsid w:val="00DD356D"/>
    <w:rsid w:val="00DD6B45"/>
    <w:rsid w:val="00DE3CCC"/>
    <w:rsid w:val="00E06841"/>
    <w:rsid w:val="00E06CFD"/>
    <w:rsid w:val="00E127CB"/>
    <w:rsid w:val="00E238C0"/>
    <w:rsid w:val="00E23FD4"/>
    <w:rsid w:val="00E3171A"/>
    <w:rsid w:val="00E333A9"/>
    <w:rsid w:val="00E43554"/>
    <w:rsid w:val="00E4703C"/>
    <w:rsid w:val="00E50368"/>
    <w:rsid w:val="00E5115E"/>
    <w:rsid w:val="00E53DCE"/>
    <w:rsid w:val="00E54996"/>
    <w:rsid w:val="00E65C9F"/>
    <w:rsid w:val="00E7087B"/>
    <w:rsid w:val="00E75E16"/>
    <w:rsid w:val="00E76A35"/>
    <w:rsid w:val="00E87DEB"/>
    <w:rsid w:val="00EA5F6A"/>
    <w:rsid w:val="00ED2D24"/>
    <w:rsid w:val="00EE19CA"/>
    <w:rsid w:val="00EE1B13"/>
    <w:rsid w:val="00EE2210"/>
    <w:rsid w:val="00EE7492"/>
    <w:rsid w:val="00EF0728"/>
    <w:rsid w:val="00EF64E8"/>
    <w:rsid w:val="00EF7290"/>
    <w:rsid w:val="00F047EF"/>
    <w:rsid w:val="00F2758E"/>
    <w:rsid w:val="00F33015"/>
    <w:rsid w:val="00F55493"/>
    <w:rsid w:val="00F73B82"/>
    <w:rsid w:val="00F823A4"/>
    <w:rsid w:val="00F83E8B"/>
    <w:rsid w:val="00F92C26"/>
    <w:rsid w:val="00F9335C"/>
    <w:rsid w:val="00F96DD5"/>
    <w:rsid w:val="00FA4180"/>
    <w:rsid w:val="00FB40F5"/>
    <w:rsid w:val="00FB7062"/>
    <w:rsid w:val="00FC4D0A"/>
    <w:rsid w:val="00FC6407"/>
    <w:rsid w:val="00FE1943"/>
    <w:rsid w:val="00FE4E28"/>
    <w:rsid w:val="00FE5E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50A29"/>
  <w15:chartTrackingRefBased/>
  <w15:docId w15:val="{4CE930F2-09FB-4BF1-A7BA-FE024F6E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D3E"/>
  </w:style>
  <w:style w:type="paragraph" w:styleId="Heading1">
    <w:name w:val="heading 1"/>
    <w:basedOn w:val="Normal"/>
    <w:next w:val="Normal"/>
    <w:link w:val="Heading1Char"/>
    <w:uiPriority w:val="9"/>
    <w:qFormat/>
    <w:rsid w:val="000E5D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D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D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D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D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D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D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D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D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D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D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D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D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D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D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D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D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D3E"/>
    <w:rPr>
      <w:rFonts w:eastAsiaTheme="majorEastAsia" w:cstheme="majorBidi"/>
      <w:color w:val="272727" w:themeColor="text1" w:themeTint="D8"/>
    </w:rPr>
  </w:style>
  <w:style w:type="paragraph" w:styleId="Title">
    <w:name w:val="Title"/>
    <w:basedOn w:val="Normal"/>
    <w:next w:val="Normal"/>
    <w:link w:val="TitleChar"/>
    <w:uiPriority w:val="10"/>
    <w:qFormat/>
    <w:rsid w:val="000E5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D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D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D3E"/>
    <w:pPr>
      <w:spacing w:before="160"/>
      <w:jc w:val="center"/>
    </w:pPr>
    <w:rPr>
      <w:i/>
      <w:iCs/>
      <w:color w:val="404040" w:themeColor="text1" w:themeTint="BF"/>
    </w:rPr>
  </w:style>
  <w:style w:type="character" w:customStyle="1" w:styleId="QuoteChar">
    <w:name w:val="Quote Char"/>
    <w:basedOn w:val="DefaultParagraphFont"/>
    <w:link w:val="Quote"/>
    <w:uiPriority w:val="29"/>
    <w:rsid w:val="000E5D3E"/>
    <w:rPr>
      <w:i/>
      <w:iCs/>
      <w:color w:val="404040" w:themeColor="text1" w:themeTint="BF"/>
    </w:rPr>
  </w:style>
  <w:style w:type="paragraph" w:styleId="ListParagraph">
    <w:name w:val="List Paragraph"/>
    <w:basedOn w:val="Normal"/>
    <w:uiPriority w:val="34"/>
    <w:qFormat/>
    <w:rsid w:val="000E5D3E"/>
    <w:pPr>
      <w:ind w:left="720"/>
      <w:contextualSpacing/>
    </w:pPr>
  </w:style>
  <w:style w:type="character" w:styleId="IntenseEmphasis">
    <w:name w:val="Intense Emphasis"/>
    <w:basedOn w:val="DefaultParagraphFont"/>
    <w:uiPriority w:val="21"/>
    <w:qFormat/>
    <w:rsid w:val="000E5D3E"/>
    <w:rPr>
      <w:i/>
      <w:iCs/>
      <w:color w:val="0F4761" w:themeColor="accent1" w:themeShade="BF"/>
    </w:rPr>
  </w:style>
  <w:style w:type="paragraph" w:styleId="IntenseQuote">
    <w:name w:val="Intense Quote"/>
    <w:basedOn w:val="Normal"/>
    <w:next w:val="Normal"/>
    <w:link w:val="IntenseQuoteChar"/>
    <w:uiPriority w:val="30"/>
    <w:qFormat/>
    <w:rsid w:val="000E5D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D3E"/>
    <w:rPr>
      <w:i/>
      <w:iCs/>
      <w:color w:val="0F4761" w:themeColor="accent1" w:themeShade="BF"/>
    </w:rPr>
  </w:style>
  <w:style w:type="character" w:styleId="IntenseReference">
    <w:name w:val="Intense Reference"/>
    <w:basedOn w:val="DefaultParagraphFont"/>
    <w:uiPriority w:val="32"/>
    <w:qFormat/>
    <w:rsid w:val="000E5D3E"/>
    <w:rPr>
      <w:b/>
      <w:bCs/>
      <w:smallCaps/>
      <w:color w:val="0F4761" w:themeColor="accent1" w:themeShade="BF"/>
      <w:spacing w:val="5"/>
    </w:rPr>
  </w:style>
  <w:style w:type="paragraph" w:styleId="Header">
    <w:name w:val="header"/>
    <w:basedOn w:val="Normal"/>
    <w:link w:val="HeaderChar"/>
    <w:uiPriority w:val="99"/>
    <w:unhideWhenUsed/>
    <w:rsid w:val="000E5D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D3E"/>
  </w:style>
  <w:style w:type="paragraph" w:styleId="Footer">
    <w:name w:val="footer"/>
    <w:basedOn w:val="Normal"/>
    <w:link w:val="FooterChar"/>
    <w:uiPriority w:val="99"/>
    <w:unhideWhenUsed/>
    <w:rsid w:val="000E5D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D3E"/>
  </w:style>
  <w:style w:type="character" w:customStyle="1" w:styleId="normaltextrun">
    <w:name w:val="normaltextrun"/>
    <w:basedOn w:val="DefaultParagraphFont"/>
    <w:rsid w:val="000E5D3E"/>
  </w:style>
  <w:style w:type="character" w:customStyle="1" w:styleId="eop">
    <w:name w:val="eop"/>
    <w:basedOn w:val="DefaultParagraphFont"/>
    <w:rsid w:val="000E5D3E"/>
  </w:style>
  <w:style w:type="character" w:styleId="Hyperlink">
    <w:name w:val="Hyperlink"/>
    <w:basedOn w:val="DefaultParagraphFont"/>
    <w:uiPriority w:val="99"/>
    <w:unhideWhenUsed/>
    <w:rsid w:val="000E5D3E"/>
    <w:rPr>
      <w:color w:val="467886" w:themeColor="hyperlink"/>
      <w:u w:val="single"/>
    </w:rPr>
  </w:style>
  <w:style w:type="character" w:styleId="UnresolvedMention">
    <w:name w:val="Unresolved Mention"/>
    <w:basedOn w:val="DefaultParagraphFont"/>
    <w:uiPriority w:val="99"/>
    <w:semiHidden/>
    <w:unhideWhenUsed/>
    <w:rsid w:val="000E5D3E"/>
    <w:rPr>
      <w:color w:val="605E5C"/>
      <w:shd w:val="clear" w:color="auto" w:fill="E1DFDD"/>
    </w:rPr>
  </w:style>
  <w:style w:type="paragraph" w:customStyle="1" w:styleId="EndNoteBibliographyTitle">
    <w:name w:val="EndNote Bibliography Title"/>
    <w:basedOn w:val="Normal"/>
    <w:link w:val="EndNoteBibliographyTitleChar"/>
    <w:rsid w:val="000E5D3E"/>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0E5D3E"/>
    <w:rPr>
      <w:rFonts w:ascii="Aptos" w:hAnsi="Aptos"/>
      <w:noProof/>
    </w:rPr>
  </w:style>
  <w:style w:type="paragraph" w:customStyle="1" w:styleId="EndNoteBibliography">
    <w:name w:val="EndNote Bibliography"/>
    <w:basedOn w:val="Normal"/>
    <w:link w:val="EndNoteBibliographyChar"/>
    <w:rsid w:val="000E5D3E"/>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0E5D3E"/>
    <w:rPr>
      <w:rFonts w:ascii="Aptos" w:hAnsi="Aptos"/>
      <w:noProof/>
    </w:rPr>
  </w:style>
  <w:style w:type="paragraph" w:styleId="Revision">
    <w:name w:val="Revision"/>
    <w:hidden/>
    <w:uiPriority w:val="99"/>
    <w:semiHidden/>
    <w:rsid w:val="000E5D3E"/>
    <w:pPr>
      <w:spacing w:after="0" w:line="240" w:lineRule="auto"/>
    </w:pPr>
  </w:style>
  <w:style w:type="character" w:styleId="CommentReference">
    <w:name w:val="annotation reference"/>
    <w:basedOn w:val="DefaultParagraphFont"/>
    <w:uiPriority w:val="99"/>
    <w:semiHidden/>
    <w:unhideWhenUsed/>
    <w:rsid w:val="000E5D3E"/>
    <w:rPr>
      <w:sz w:val="16"/>
      <w:szCs w:val="16"/>
    </w:rPr>
  </w:style>
  <w:style w:type="paragraph" w:styleId="CommentText">
    <w:name w:val="annotation text"/>
    <w:basedOn w:val="Normal"/>
    <w:link w:val="CommentTextChar"/>
    <w:uiPriority w:val="99"/>
    <w:unhideWhenUsed/>
    <w:rsid w:val="000E5D3E"/>
    <w:pPr>
      <w:spacing w:line="240" w:lineRule="auto"/>
    </w:pPr>
    <w:rPr>
      <w:sz w:val="20"/>
      <w:szCs w:val="20"/>
    </w:rPr>
  </w:style>
  <w:style w:type="character" w:customStyle="1" w:styleId="CommentTextChar">
    <w:name w:val="Comment Text Char"/>
    <w:basedOn w:val="DefaultParagraphFont"/>
    <w:link w:val="CommentText"/>
    <w:uiPriority w:val="99"/>
    <w:rsid w:val="000E5D3E"/>
    <w:rPr>
      <w:sz w:val="20"/>
      <w:szCs w:val="20"/>
    </w:rPr>
  </w:style>
  <w:style w:type="paragraph" w:styleId="CommentSubject">
    <w:name w:val="annotation subject"/>
    <w:basedOn w:val="CommentText"/>
    <w:next w:val="CommentText"/>
    <w:link w:val="CommentSubjectChar"/>
    <w:uiPriority w:val="99"/>
    <w:semiHidden/>
    <w:unhideWhenUsed/>
    <w:rsid w:val="000E5D3E"/>
    <w:rPr>
      <w:b/>
      <w:bCs/>
    </w:rPr>
  </w:style>
  <w:style w:type="character" w:customStyle="1" w:styleId="CommentSubjectChar">
    <w:name w:val="Comment Subject Char"/>
    <w:basedOn w:val="CommentTextChar"/>
    <w:link w:val="CommentSubject"/>
    <w:uiPriority w:val="99"/>
    <w:semiHidden/>
    <w:rsid w:val="000E5D3E"/>
    <w:rPr>
      <w:b/>
      <w:bCs/>
      <w:sz w:val="20"/>
      <w:szCs w:val="20"/>
    </w:rPr>
  </w:style>
  <w:style w:type="paragraph" w:styleId="NoSpacing">
    <w:name w:val="No Spacing"/>
    <w:link w:val="NoSpacingChar"/>
    <w:uiPriority w:val="1"/>
    <w:qFormat/>
    <w:rsid w:val="000E5D3E"/>
    <w:pPr>
      <w:spacing w:after="0" w:line="240" w:lineRule="auto"/>
    </w:pPr>
    <w:rPr>
      <w:rFonts w:eastAsiaTheme="minorEastAsia"/>
      <w:kern w:val="0"/>
      <w:sz w:val="22"/>
      <w:szCs w:val="22"/>
      <w:lang w:eastAsia="zh-CN"/>
    </w:rPr>
  </w:style>
  <w:style w:type="character" w:customStyle="1" w:styleId="NoSpacingChar">
    <w:name w:val="No Spacing Char"/>
    <w:basedOn w:val="DefaultParagraphFont"/>
    <w:link w:val="NoSpacing"/>
    <w:uiPriority w:val="1"/>
    <w:rsid w:val="000E5D3E"/>
    <w:rPr>
      <w:rFonts w:eastAsiaTheme="minorEastAsia"/>
      <w:kern w:val="0"/>
      <w:sz w:val="22"/>
      <w:szCs w:val="22"/>
      <w:lang w:eastAsia="zh-CN"/>
    </w:rPr>
  </w:style>
  <w:style w:type="paragraph" w:styleId="NormalWeb">
    <w:name w:val="Normal (Web)"/>
    <w:basedOn w:val="Normal"/>
    <w:uiPriority w:val="99"/>
    <w:semiHidden/>
    <w:unhideWhenUsed/>
    <w:rsid w:val="000E5D3E"/>
    <w:rPr>
      <w:rFonts w:ascii="Times New Roman" w:hAnsi="Times New Roman" w:cs="Times New Roman"/>
    </w:rPr>
  </w:style>
  <w:style w:type="numbering" w:customStyle="1" w:styleId="NoList1">
    <w:name w:val="No List1"/>
    <w:next w:val="NoList"/>
    <w:uiPriority w:val="99"/>
    <w:semiHidden/>
    <w:unhideWhenUsed/>
    <w:rsid w:val="000E5D3E"/>
  </w:style>
  <w:style w:type="table" w:styleId="TableGrid">
    <w:name w:val="Table Grid"/>
    <w:basedOn w:val="TableNormal"/>
    <w:uiPriority w:val="39"/>
    <w:rsid w:val="000E5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E5D3E"/>
  </w:style>
  <w:style w:type="table" w:styleId="TableGridLight">
    <w:name w:val="Grid Table Light"/>
    <w:basedOn w:val="TableNormal"/>
    <w:uiPriority w:val="40"/>
    <w:rsid w:val="00C46E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46E7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46E7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46E7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46E7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46E7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C46E7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46E7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46E7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C46E7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C46E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C46E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C46E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1Light">
    <w:name w:val="List Table 1 Light"/>
    <w:basedOn w:val="TableNormal"/>
    <w:uiPriority w:val="46"/>
    <w:rsid w:val="00C46E7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sonormal0">
    <w:name w:val="msonormal"/>
    <w:basedOn w:val="Normal"/>
    <w:uiPriority w:val="99"/>
    <w:rsid w:val="00AC2AE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AC2AE2"/>
  </w:style>
  <w:style w:type="character" w:styleId="FollowedHyperlink">
    <w:name w:val="FollowedHyperlink"/>
    <w:basedOn w:val="DefaultParagraphFont"/>
    <w:uiPriority w:val="99"/>
    <w:semiHidden/>
    <w:unhideWhenUsed/>
    <w:rsid w:val="003202C1"/>
    <w:rPr>
      <w:color w:val="954F72"/>
      <w:u w:val="single"/>
    </w:rPr>
  </w:style>
  <w:style w:type="paragraph" w:customStyle="1" w:styleId="xl65">
    <w:name w:val="xl65"/>
    <w:basedOn w:val="Normal"/>
    <w:uiPriority w:val="99"/>
    <w:rsid w:val="003202C1"/>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6">
    <w:name w:val="xl66"/>
    <w:basedOn w:val="Normal"/>
    <w:uiPriority w:val="99"/>
    <w:rsid w:val="003202C1"/>
    <w:pP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7">
    <w:name w:val="xl67"/>
    <w:basedOn w:val="Normal"/>
    <w:uiPriority w:val="99"/>
    <w:rsid w:val="003202C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8">
    <w:name w:val="xl68"/>
    <w:basedOn w:val="Normal"/>
    <w:uiPriority w:val="99"/>
    <w:rsid w:val="003202C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9">
    <w:name w:val="xl69"/>
    <w:basedOn w:val="Normal"/>
    <w:uiPriority w:val="99"/>
    <w:rsid w:val="003202C1"/>
    <w:pPr>
      <w:spacing w:before="100" w:beforeAutospacing="1" w:after="100" w:afterAutospacing="1" w:line="240" w:lineRule="auto"/>
    </w:pPr>
    <w:rPr>
      <w:rFonts w:ascii="Times New Roman" w:eastAsia="Times New Roman" w:hAnsi="Times New Roman" w:cs="Times New Roman"/>
      <w:b/>
      <w:bCs/>
      <w:kern w:val="0"/>
      <w14:ligatures w14:val="none"/>
    </w:rPr>
  </w:style>
  <w:style w:type="numbering" w:customStyle="1" w:styleId="NoList3">
    <w:name w:val="No List3"/>
    <w:next w:val="NoList"/>
    <w:uiPriority w:val="99"/>
    <w:semiHidden/>
    <w:unhideWhenUsed/>
    <w:rsid w:val="00073CC6"/>
  </w:style>
  <w:style w:type="numbering" w:customStyle="1" w:styleId="NoList11">
    <w:name w:val="No List11"/>
    <w:next w:val="NoList"/>
    <w:uiPriority w:val="99"/>
    <w:semiHidden/>
    <w:unhideWhenUsed/>
    <w:rsid w:val="00073CC6"/>
  </w:style>
  <w:style w:type="table" w:customStyle="1" w:styleId="TableGrid1">
    <w:name w:val="Table Grid1"/>
    <w:basedOn w:val="TableNormal"/>
    <w:next w:val="TableGrid"/>
    <w:uiPriority w:val="39"/>
    <w:rsid w:val="00073CC6"/>
    <w:pPr>
      <w:spacing w:after="0" w:line="240" w:lineRule="auto"/>
    </w:pPr>
    <w:rPr>
      <w:rFonts w:ascii="Aptos" w:eastAsia="Aptos" w:hAnsi="Aptos"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073CC6"/>
    <w:pPr>
      <w:spacing w:after="0" w:line="240" w:lineRule="auto"/>
    </w:pPr>
    <w:rPr>
      <w:rFonts w:ascii="Aptos" w:eastAsia="Aptos" w:hAnsi="Aptos" w:cs="Arial"/>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next w:val="PlainTable2"/>
    <w:uiPriority w:val="42"/>
    <w:rsid w:val="00073CC6"/>
    <w:pPr>
      <w:spacing w:after="0" w:line="240" w:lineRule="auto"/>
    </w:pPr>
    <w:rPr>
      <w:rFonts w:ascii="Aptos" w:eastAsia="Aptos" w:hAnsi="Aptos" w:cs="Arial"/>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next w:val="PlainTable3"/>
    <w:uiPriority w:val="43"/>
    <w:rsid w:val="00073CC6"/>
    <w:pPr>
      <w:spacing w:after="0" w:line="240" w:lineRule="auto"/>
    </w:pPr>
    <w:rPr>
      <w:rFonts w:ascii="Aptos" w:eastAsia="Aptos" w:hAnsi="Aptos" w:cs="Arial"/>
    </w:r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073CC6"/>
    <w:pPr>
      <w:spacing w:after="0" w:line="240" w:lineRule="auto"/>
    </w:pPr>
    <w:rPr>
      <w:rFonts w:ascii="Aptos" w:eastAsia="Aptos" w:hAnsi="Aptos" w:cs="Arial"/>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next w:val="PlainTable5"/>
    <w:uiPriority w:val="45"/>
    <w:rsid w:val="00073CC6"/>
    <w:pPr>
      <w:spacing w:after="0" w:line="240" w:lineRule="auto"/>
    </w:pPr>
    <w:rPr>
      <w:rFonts w:ascii="Aptos" w:eastAsia="Aptos" w:hAnsi="Aptos" w:cs="Arial"/>
    </w:rPr>
    <w:tblPr>
      <w:tblStyleRowBandSize w:val="1"/>
      <w:tblStyleColBandSize w:val="1"/>
      <w:tblInd w:w="0" w:type="nil"/>
    </w:tblPr>
    <w:tblStylePr w:type="firstRow">
      <w:rPr>
        <w:rFonts w:ascii="Aptos Display" w:eastAsia="Times New Roman" w:hAnsi="Aptos Display" w:cs="Times New Roman"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Aptos Display" w:eastAsia="Times New Roman" w:hAnsi="Aptos Display" w:cs="Times New Roman"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Aptos Display" w:eastAsia="Times New Roman" w:hAnsi="Aptos Display" w:cs="Times New Roman"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Aptos Display" w:eastAsia="Times New Roman" w:hAnsi="Aptos Display" w:cs="Times New Roman"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next w:val="TableGridLight"/>
    <w:uiPriority w:val="40"/>
    <w:rsid w:val="00073CC6"/>
    <w:pPr>
      <w:spacing w:after="0" w:line="240" w:lineRule="auto"/>
    </w:pPr>
    <w:rPr>
      <w:rFonts w:ascii="Aptos" w:eastAsia="Aptos" w:hAnsi="Aptos"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next w:val="GridTable1Light"/>
    <w:uiPriority w:val="46"/>
    <w:rsid w:val="00073CC6"/>
    <w:pPr>
      <w:spacing w:after="0" w:line="240" w:lineRule="auto"/>
    </w:pPr>
    <w:rPr>
      <w:rFonts w:ascii="Aptos" w:eastAsia="Aptos" w:hAnsi="Aptos" w:cs="Arial"/>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073CC6"/>
    <w:pPr>
      <w:spacing w:after="0" w:line="240" w:lineRule="auto"/>
    </w:pPr>
    <w:rPr>
      <w:rFonts w:ascii="Aptos" w:eastAsia="Aptos" w:hAnsi="Aptos" w:cs="Arial"/>
    </w:rPr>
    <w:tblPr>
      <w:tblStyleRowBandSize w:val="1"/>
      <w:tblStyleColBandSize w:val="1"/>
      <w:tblInd w:w="0" w:type="nil"/>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1">
    <w:name w:val="Grid Table 31"/>
    <w:basedOn w:val="TableNormal"/>
    <w:next w:val="GridTable3"/>
    <w:uiPriority w:val="48"/>
    <w:rsid w:val="00073CC6"/>
    <w:pPr>
      <w:spacing w:after="0" w:line="240" w:lineRule="auto"/>
    </w:pPr>
    <w:rPr>
      <w:rFonts w:ascii="Aptos" w:eastAsia="Aptos" w:hAnsi="Aptos" w:cs="Arial"/>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41">
    <w:name w:val="Grid Table 41"/>
    <w:basedOn w:val="TableNormal"/>
    <w:next w:val="GridTable4"/>
    <w:uiPriority w:val="49"/>
    <w:rsid w:val="00073CC6"/>
    <w:pPr>
      <w:spacing w:after="0" w:line="240" w:lineRule="auto"/>
    </w:pPr>
    <w:rPr>
      <w:rFonts w:ascii="Aptos" w:eastAsia="Aptos" w:hAnsi="Aptos" w:cs="Arial"/>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1">
    <w:name w:val="Grid Table 5 Dark1"/>
    <w:basedOn w:val="TableNormal"/>
    <w:next w:val="GridTable5Dark"/>
    <w:uiPriority w:val="50"/>
    <w:rsid w:val="00073CC6"/>
    <w:pPr>
      <w:spacing w:after="0" w:line="240" w:lineRule="auto"/>
    </w:pPr>
    <w:rPr>
      <w:rFonts w:ascii="Aptos" w:eastAsia="Aptos" w:hAnsi="Aptos" w:cs="Arial"/>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1Light-Accent11">
    <w:name w:val="Grid Table 1 Light - Accent 11"/>
    <w:basedOn w:val="TableNormal"/>
    <w:next w:val="GridTable1Light-Accent1"/>
    <w:uiPriority w:val="46"/>
    <w:rsid w:val="00073CC6"/>
    <w:pPr>
      <w:spacing w:after="0" w:line="240" w:lineRule="auto"/>
    </w:pPr>
    <w:rPr>
      <w:rFonts w:ascii="Aptos" w:eastAsia="Aptos" w:hAnsi="Aptos" w:cs="Arial"/>
    </w:rPr>
    <w:tblPr>
      <w:tblStyleRowBandSize w:val="1"/>
      <w:tblStyleColBandSize w:val="1"/>
      <w:tblInd w:w="0" w:type="nil"/>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073CC6"/>
    <w:pPr>
      <w:spacing w:after="0" w:line="240" w:lineRule="auto"/>
    </w:pPr>
    <w:rPr>
      <w:rFonts w:ascii="Aptos" w:eastAsia="Aptos" w:hAnsi="Aptos" w:cs="Arial"/>
    </w:rPr>
    <w:tblPr>
      <w:tblStyleRowBandSize w:val="1"/>
      <w:tblStyleColBandSize w:val="1"/>
      <w:tblInd w:w="0" w:type="nil"/>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ListTable1Light1">
    <w:name w:val="List Table 1 Light1"/>
    <w:basedOn w:val="TableNormal"/>
    <w:next w:val="ListTable1Light"/>
    <w:uiPriority w:val="46"/>
    <w:rsid w:val="00073CC6"/>
    <w:pPr>
      <w:spacing w:after="0" w:line="240" w:lineRule="auto"/>
    </w:pPr>
    <w:rPr>
      <w:rFonts w:ascii="Aptos" w:eastAsia="Aptos" w:hAnsi="Aptos" w:cs="Arial"/>
    </w:rPr>
    <w:tblPr>
      <w:tblStyleRowBandSize w:val="1"/>
      <w:tblStyleColBandSize w:val="1"/>
      <w:tblInd w:w="0" w:type="nil"/>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7" Version="7"/>
</file>

<file path=customXml/itemProps1.xml><?xml version="1.0" encoding="utf-8"?>
<ds:datastoreItem xmlns:ds="http://schemas.openxmlformats.org/officeDocument/2006/customXml" ds:itemID="{7C533509-7BEB-44CD-AA0E-64EC800E6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6980</Words>
  <Characters>39791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 Atena</dc:creator>
  <cp:keywords/>
  <dc:description/>
  <cp:lastModifiedBy>Inusah, Abdul-Hanan Saani</cp:lastModifiedBy>
  <cp:revision>4</cp:revision>
  <dcterms:created xsi:type="dcterms:W3CDTF">2025-07-25T02:00:00Z</dcterms:created>
  <dcterms:modified xsi:type="dcterms:W3CDTF">2025-07-25T02:09:00Z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5b6080f4-6675-493f-8831-ddea17d7cf9e</vt:lpwstr>
  </property>
</Properties>
</file>