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621" w:rsidRPr="00117CE0" w:rsidRDefault="00350621" w:rsidP="00350621">
      <w:pPr>
        <w:snapToGrid w:val="0"/>
        <w:spacing w:line="480" w:lineRule="auto"/>
        <w:contextualSpacing/>
        <w:rPr>
          <w:rFonts w:ascii="Times New Roman" w:hAnsi="Times New Roman"/>
          <w:sz w:val="24"/>
        </w:rPr>
      </w:pPr>
      <w:bookmarkStart w:id="0" w:name="_GoBack"/>
      <w:bookmarkEnd w:id="0"/>
      <w:r w:rsidRPr="00117CE0">
        <w:rPr>
          <w:rFonts w:ascii="Times New Roman" w:hAnsi="Times New Roman"/>
          <w:sz w:val="24"/>
        </w:rPr>
        <w:t>Supplemental Table 1. Summary of primer sets used for quantitative real-time PCR.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1"/>
        <w:gridCol w:w="4157"/>
        <w:gridCol w:w="1282"/>
      </w:tblGrid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</w:rPr>
              <w:t>Primers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</w:rPr>
              <w:t>Sequences 5′–3′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</w:rPr>
            </w:pPr>
            <w:r w:rsidRPr="00117CE0">
              <w:rPr>
                <w:rFonts w:ascii="Times New Roman" w:hAnsi="Times New Roman"/>
              </w:rPr>
              <w:t>Reference*</w:t>
            </w:r>
          </w:p>
        </w:tc>
      </w:tr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Symbol" w:hAnsi="Symbol"/>
                <w:sz w:val="24"/>
              </w:rPr>
              <w:t></w:t>
            </w:r>
            <w:r w:rsidRPr="00117CE0">
              <w:rPr>
                <w:rFonts w:ascii="Times New Roman" w:hAnsi="Times New Roman" w:hint="eastAsia"/>
                <w:sz w:val="24"/>
              </w:rPr>
              <w:t>-actin forward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AGGAAGGAAGGCTGGAAGAG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117CE0"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  <w:r w:rsidRPr="00117CE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Symbol" w:hAnsi="Symbol"/>
                <w:sz w:val="24"/>
              </w:rPr>
              <w:t></w:t>
            </w:r>
            <w:r w:rsidRPr="00117CE0">
              <w:rPr>
                <w:rFonts w:ascii="Times New Roman" w:hAnsi="Times New Roman" w:hint="eastAsia"/>
                <w:sz w:val="24"/>
              </w:rPr>
              <w:t xml:space="preserve">-actin </w:t>
            </w:r>
            <w:r w:rsidRPr="00117CE0">
              <w:rPr>
                <w:rFonts w:ascii="Times New Roman" w:hAnsi="Times New Roman" w:hint="eastAsia"/>
                <w:color w:val="000000"/>
                <w:sz w:val="24"/>
              </w:rPr>
              <w:t>reverse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GGAAATCGTGCGTGACATTA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117CE0"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  <w:r w:rsidRPr="00117CE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 w:hint="eastAsia"/>
                <w:color w:val="000000"/>
                <w:sz w:val="24"/>
              </w:rPr>
              <w:t xml:space="preserve">GSTP1 </w:t>
            </w:r>
            <w:r w:rsidRPr="00117CE0">
              <w:rPr>
                <w:rFonts w:ascii="Times New Roman" w:hAnsi="Times New Roman" w:hint="eastAsia"/>
                <w:sz w:val="24"/>
              </w:rPr>
              <w:t>forward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ATGACTATGTGAAGGCACTG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117CE0"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  <w:r w:rsidRPr="00117CE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 w:hint="eastAsia"/>
                <w:color w:val="000000"/>
                <w:sz w:val="24"/>
              </w:rPr>
              <w:t>GSTP1 reverse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AGGAAGGAAGGCTGGAAGAG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117CE0"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  <w:r w:rsidRPr="00117CE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 w:hint="eastAsia"/>
                <w:sz w:val="24"/>
              </w:rPr>
              <w:t>MRP-1 forward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CCCTGCACTGTCCGTCAC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117CE0"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  <w:r w:rsidRPr="00117CE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50621" w:rsidRPr="00117CE0" w:rsidTr="00182F4E">
        <w:tc>
          <w:tcPr>
            <w:tcW w:w="2981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 w:hint="eastAsia"/>
                <w:sz w:val="24"/>
              </w:rPr>
              <w:t xml:space="preserve">MRP-1 </w:t>
            </w:r>
            <w:r w:rsidRPr="00117CE0">
              <w:rPr>
                <w:rFonts w:ascii="Times New Roman" w:hAnsi="Times New Roman" w:hint="eastAsia"/>
                <w:color w:val="000000"/>
                <w:sz w:val="24"/>
              </w:rPr>
              <w:t>reverse</w:t>
            </w:r>
          </w:p>
        </w:tc>
        <w:tc>
          <w:tcPr>
            <w:tcW w:w="4157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CTGAGTTCCTGCGTACCTAT</w:t>
            </w:r>
          </w:p>
        </w:tc>
        <w:tc>
          <w:tcPr>
            <w:tcW w:w="1282" w:type="dxa"/>
            <w:shd w:val="clear" w:color="auto" w:fill="auto"/>
          </w:tcPr>
          <w:p w:rsidR="00350621" w:rsidRPr="00117CE0" w:rsidRDefault="00350621" w:rsidP="00182F4E">
            <w:pPr>
              <w:snapToGrid w:val="0"/>
              <w:spacing w:line="480" w:lineRule="auto"/>
              <w:contextualSpacing/>
              <w:rPr>
                <w:rFonts w:ascii="Times New Roman" w:hAnsi="Times New Roman"/>
                <w:sz w:val="24"/>
              </w:rPr>
            </w:pPr>
            <w:r w:rsidRPr="00117CE0">
              <w:rPr>
                <w:rFonts w:ascii="Times New Roman" w:hAnsi="Times New Roman"/>
                <w:color w:val="000000"/>
                <w:sz w:val="24"/>
              </w:rPr>
              <w:t>(</w:t>
            </w:r>
            <w:r w:rsidRPr="00117CE0"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  <w:r w:rsidRPr="00117CE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</w:tbl>
    <w:p w:rsidR="00350621" w:rsidRPr="00117CE0" w:rsidRDefault="00350621" w:rsidP="00350621">
      <w:pPr>
        <w:snapToGrid w:val="0"/>
        <w:spacing w:line="480" w:lineRule="auto"/>
        <w:contextualSpacing/>
        <w:rPr>
          <w:rFonts w:ascii="Times New Roman" w:hAnsi="Times New Roman"/>
          <w:sz w:val="24"/>
        </w:rPr>
      </w:pPr>
    </w:p>
    <w:p w:rsidR="00350621" w:rsidRPr="00117CE0" w:rsidRDefault="00350621" w:rsidP="00350621">
      <w:pPr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 w:rsidRPr="00117CE0">
        <w:rPr>
          <w:rFonts w:ascii="Times New Roman" w:hAnsi="Times New Roman"/>
          <w:sz w:val="24"/>
        </w:rPr>
        <w:t>*References</w:t>
      </w:r>
    </w:p>
    <w:p w:rsidR="00350621" w:rsidRPr="00CF7A10" w:rsidRDefault="00350621" w:rsidP="00350621">
      <w:pPr>
        <w:snapToGrid w:val="0"/>
        <w:spacing w:line="480" w:lineRule="auto"/>
        <w:contextualSpacing/>
        <w:rPr>
          <w:rFonts w:ascii="Times New Roman" w:hAnsi="Times New Roman"/>
        </w:rPr>
      </w:pPr>
      <w:r w:rsidRPr="00CF7A10">
        <w:rPr>
          <w:rFonts w:ascii="Times New Roman" w:hAnsi="Times New Roman"/>
        </w:rPr>
        <w:t>1.</w:t>
      </w:r>
      <w:r w:rsidRPr="00CF7A10">
        <w:rPr>
          <w:rFonts w:ascii="Times New Roman" w:hAnsi="Times New Roman"/>
        </w:rPr>
        <w:tab/>
        <w:t xml:space="preserve">Ben Amara A, </w:t>
      </w:r>
      <w:proofErr w:type="spellStart"/>
      <w:r w:rsidRPr="00CF7A10">
        <w:rPr>
          <w:rFonts w:ascii="Times New Roman" w:hAnsi="Times New Roman"/>
        </w:rPr>
        <w:t>Gorvel</w:t>
      </w:r>
      <w:proofErr w:type="spellEnd"/>
      <w:r w:rsidRPr="00CF7A10">
        <w:rPr>
          <w:rFonts w:ascii="Times New Roman" w:hAnsi="Times New Roman"/>
        </w:rPr>
        <w:t xml:space="preserve"> L, </w:t>
      </w:r>
      <w:proofErr w:type="spellStart"/>
      <w:r w:rsidRPr="00CF7A10">
        <w:rPr>
          <w:rFonts w:ascii="Times New Roman" w:hAnsi="Times New Roman"/>
        </w:rPr>
        <w:t>Baulan</w:t>
      </w:r>
      <w:proofErr w:type="spellEnd"/>
      <w:r w:rsidRPr="00CF7A10">
        <w:rPr>
          <w:rFonts w:ascii="Times New Roman" w:hAnsi="Times New Roman"/>
        </w:rPr>
        <w:t xml:space="preserve"> K, Derain-Court J, </w:t>
      </w:r>
      <w:proofErr w:type="spellStart"/>
      <w:r w:rsidRPr="00CF7A10">
        <w:rPr>
          <w:rFonts w:ascii="Times New Roman" w:hAnsi="Times New Roman"/>
        </w:rPr>
        <w:t>Buffat</w:t>
      </w:r>
      <w:proofErr w:type="spellEnd"/>
      <w:r w:rsidRPr="00CF7A10">
        <w:rPr>
          <w:rFonts w:ascii="Times New Roman" w:hAnsi="Times New Roman"/>
        </w:rPr>
        <w:t xml:space="preserve"> C, </w:t>
      </w:r>
      <w:proofErr w:type="spellStart"/>
      <w:r w:rsidRPr="00CF7A10">
        <w:rPr>
          <w:rFonts w:ascii="Times New Roman" w:hAnsi="Times New Roman"/>
        </w:rPr>
        <w:t>Verollet</w:t>
      </w:r>
      <w:proofErr w:type="spellEnd"/>
      <w:r w:rsidRPr="00CF7A10">
        <w:rPr>
          <w:rFonts w:ascii="Times New Roman" w:hAnsi="Times New Roman"/>
        </w:rPr>
        <w:t xml:space="preserve"> C, et al. Placental macrophages are impaired in </w:t>
      </w:r>
      <w:proofErr w:type="spellStart"/>
      <w:r w:rsidRPr="00CF7A10">
        <w:rPr>
          <w:rFonts w:ascii="Times New Roman" w:hAnsi="Times New Roman"/>
        </w:rPr>
        <w:t>chorioamnionitis</w:t>
      </w:r>
      <w:proofErr w:type="spellEnd"/>
      <w:r w:rsidRPr="00CF7A10">
        <w:rPr>
          <w:rFonts w:ascii="Times New Roman" w:hAnsi="Times New Roman"/>
        </w:rPr>
        <w:t xml:space="preserve">, an infectious pathology of the placenta. J </w:t>
      </w:r>
      <w:proofErr w:type="spellStart"/>
      <w:r w:rsidRPr="00CF7A10">
        <w:rPr>
          <w:rFonts w:ascii="Times New Roman" w:hAnsi="Times New Roman"/>
        </w:rPr>
        <w:t>Immunol</w:t>
      </w:r>
      <w:proofErr w:type="spellEnd"/>
      <w:r w:rsidRPr="00CF7A10">
        <w:rPr>
          <w:rFonts w:ascii="Times New Roman" w:hAnsi="Times New Roman"/>
        </w:rPr>
        <w:t>. 2013 Dec 1;191(11):5501-14.</w:t>
      </w:r>
    </w:p>
    <w:p w:rsidR="00350621" w:rsidRPr="00CF7A10" w:rsidRDefault="00350621" w:rsidP="00350621">
      <w:pPr>
        <w:snapToGrid w:val="0"/>
        <w:spacing w:line="480" w:lineRule="auto"/>
        <w:contextualSpacing/>
        <w:rPr>
          <w:rFonts w:ascii="Times New Roman" w:hAnsi="Times New Roman"/>
        </w:rPr>
      </w:pPr>
      <w:r w:rsidRPr="00CF7A10">
        <w:rPr>
          <w:rFonts w:ascii="Times New Roman" w:hAnsi="Times New Roman"/>
        </w:rPr>
        <w:t>2.</w:t>
      </w:r>
      <w:r w:rsidRPr="00CF7A10">
        <w:rPr>
          <w:rFonts w:ascii="Times New Roman" w:hAnsi="Times New Roman"/>
        </w:rPr>
        <w:tab/>
        <w:t xml:space="preserve">Li T, Zhao XP, Wang LY, Gao S, Zhao J, Fan YC, et al. Glutathione S-transferase P1 correlated with oxidative stress in hepatocellular carcinoma. </w:t>
      </w:r>
      <w:proofErr w:type="spellStart"/>
      <w:r w:rsidRPr="00CF7A10">
        <w:rPr>
          <w:rFonts w:ascii="Times New Roman" w:hAnsi="Times New Roman"/>
        </w:rPr>
        <w:t>Int</w:t>
      </w:r>
      <w:proofErr w:type="spellEnd"/>
      <w:r w:rsidRPr="00CF7A10">
        <w:rPr>
          <w:rFonts w:ascii="Times New Roman" w:hAnsi="Times New Roman"/>
        </w:rPr>
        <w:t xml:space="preserve"> J Med Sci. 2013;10(6):683-90.</w:t>
      </w:r>
    </w:p>
    <w:p w:rsidR="00350621" w:rsidRPr="00CF7A10" w:rsidRDefault="00350621" w:rsidP="00350621">
      <w:pPr>
        <w:snapToGrid w:val="0"/>
        <w:spacing w:line="480" w:lineRule="auto"/>
        <w:contextualSpacing/>
        <w:rPr>
          <w:rFonts w:ascii="Times New Roman" w:hAnsi="Times New Roman"/>
        </w:rPr>
      </w:pPr>
      <w:r w:rsidRPr="00CF7A10">
        <w:rPr>
          <w:rFonts w:ascii="Times New Roman" w:hAnsi="Times New Roman"/>
        </w:rPr>
        <w:t>3.</w:t>
      </w:r>
      <w:r w:rsidRPr="00CF7A10">
        <w:rPr>
          <w:rFonts w:ascii="Times New Roman" w:hAnsi="Times New Roman"/>
        </w:rPr>
        <w:tab/>
        <w:t xml:space="preserve">Chen L, Feng P, Li S, Long D, Cheng J, Lu Y, et al. Effect of hypoxia-inducible factor-1alpha silencing on the sensitivity of human brain glioma cells to doxorubicin and etoposide. </w:t>
      </w:r>
      <w:proofErr w:type="spellStart"/>
      <w:r w:rsidRPr="00CF7A10">
        <w:rPr>
          <w:rFonts w:ascii="Times New Roman" w:hAnsi="Times New Roman"/>
        </w:rPr>
        <w:t>Neurochem</w:t>
      </w:r>
      <w:proofErr w:type="spellEnd"/>
      <w:r w:rsidRPr="00CF7A10">
        <w:rPr>
          <w:rFonts w:ascii="Times New Roman" w:hAnsi="Times New Roman"/>
        </w:rPr>
        <w:t xml:space="preserve"> Res. 2009 May;34(5):984-90.</w:t>
      </w:r>
    </w:p>
    <w:p w:rsidR="00CD2D41" w:rsidRDefault="00CD2D41"/>
    <w:sectPr w:rsidR="00CD2D41" w:rsidSect="002E3FB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213" w:rsidRDefault="00CC09AA">
      <w:r>
        <w:separator/>
      </w:r>
    </w:p>
  </w:endnote>
  <w:endnote w:type="continuationSeparator" w:id="0">
    <w:p w:rsidR="001E1213" w:rsidRDefault="00CC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43B" w:rsidRPr="00B121D4" w:rsidRDefault="00350621">
    <w:pPr>
      <w:pStyle w:val="a3"/>
      <w:jc w:val="center"/>
      <w:rPr>
        <w:rFonts w:ascii="Times New Roman" w:hAnsi="Times New Roman"/>
      </w:rPr>
    </w:pPr>
    <w:r w:rsidRPr="00B121D4">
      <w:rPr>
        <w:rFonts w:ascii="Times New Roman" w:hAnsi="Times New Roman"/>
      </w:rPr>
      <w:fldChar w:fldCharType="begin"/>
    </w:r>
    <w:r w:rsidRPr="00B121D4">
      <w:rPr>
        <w:rFonts w:ascii="Times New Roman" w:hAnsi="Times New Roman"/>
      </w:rPr>
      <w:instrText xml:space="preserve"> PAGE   \* MERGEFORMAT </w:instrText>
    </w:r>
    <w:r w:rsidRPr="00B121D4">
      <w:rPr>
        <w:rFonts w:ascii="Times New Roman" w:hAnsi="Times New Roman"/>
      </w:rPr>
      <w:fldChar w:fldCharType="separate"/>
    </w:r>
    <w:r w:rsidR="000777D1">
      <w:rPr>
        <w:rFonts w:ascii="Times New Roman" w:hAnsi="Times New Roman"/>
        <w:noProof/>
      </w:rPr>
      <w:t>1</w:t>
    </w:r>
    <w:r w:rsidRPr="00B121D4">
      <w:rPr>
        <w:rFonts w:ascii="Times New Roman" w:hAnsi="Times New Roman"/>
        <w:noProof/>
      </w:rPr>
      <w:fldChar w:fldCharType="end"/>
    </w:r>
  </w:p>
  <w:p w:rsidR="006E043B" w:rsidRDefault="000777D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213" w:rsidRDefault="00CC09AA">
      <w:r>
        <w:separator/>
      </w:r>
    </w:p>
  </w:footnote>
  <w:footnote w:type="continuationSeparator" w:id="0">
    <w:p w:rsidR="001E1213" w:rsidRDefault="00CC0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21"/>
    <w:rsid w:val="000777D1"/>
    <w:rsid w:val="001E1213"/>
    <w:rsid w:val="00350621"/>
    <w:rsid w:val="00CC09AA"/>
    <w:rsid w:val="00CD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2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5062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フッター (文字)"/>
    <w:basedOn w:val="a0"/>
    <w:link w:val="a3"/>
    <w:rsid w:val="00350621"/>
    <w:rPr>
      <w:rFonts w:ascii="Century" w:eastAsia="ＭＳ 明朝" w:hAnsi="Century" w:cs="Times New Roman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0777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77D1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2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5062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フッター (文字)"/>
    <w:basedOn w:val="a0"/>
    <w:link w:val="a3"/>
    <w:rsid w:val="00350621"/>
    <w:rPr>
      <w:rFonts w:ascii="Century" w:eastAsia="ＭＳ 明朝" w:hAnsi="Century" w:cs="Times New Roman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0777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77D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塩野義製薬株式会社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Shimizu</dc:creator>
  <cp:lastModifiedBy>塩野義製薬株式会社</cp:lastModifiedBy>
  <cp:revision>2</cp:revision>
  <dcterms:created xsi:type="dcterms:W3CDTF">2017-05-03T00:22:00Z</dcterms:created>
  <dcterms:modified xsi:type="dcterms:W3CDTF">2017-05-03T00:22:00Z</dcterms:modified>
</cp:coreProperties>
</file>