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EB46" w14:textId="337CA16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Supplementary Figure. Representative patterns of myocardial FDG uptake</w:t>
      </w:r>
    </w:p>
    <w:p w14:paraId="33687DC6" w14:textId="77777777" w:rsidR="003F6203" w:rsidRPr="003F6203" w:rsidRDefault="003F6203" w:rsidP="003F6203">
      <w:pPr>
        <w:rPr>
          <w:rFonts w:ascii="Times New Roman" w:hAnsi="Times New Roman" w:cs="Times New Roman"/>
        </w:rPr>
      </w:pPr>
    </w:p>
    <w:p w14:paraId="0CB3B87E" w14:textId="4F854B28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Representative whole-body maximum intensity projection (MIP) images (upper row) and corresponding axial fused PET/CT images (lower row) demonstrating the classification of myocardial FDG uptake patterns.</w:t>
      </w:r>
    </w:p>
    <w:p w14:paraId="178C8BCF" w14:textId="47A11413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Myocardial uptake was categorized into five patterns based on visual assessment:</w:t>
      </w:r>
    </w:p>
    <w:p w14:paraId="05DC4F6E" w14:textId="7777777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None: Complete suppression of myocardial FDG uptake.</w:t>
      </w:r>
    </w:p>
    <w:p w14:paraId="6FDFF085" w14:textId="7777777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Diffuse: Homogeneous and diffuse uptake involving the entire left ventricular myocardium.</w:t>
      </w:r>
    </w:p>
    <w:p w14:paraId="7D1B1C0B" w14:textId="7777777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Focal: Discrete focal uptake in one or more myocardial segments.</w:t>
      </w:r>
    </w:p>
    <w:p w14:paraId="140FCA69" w14:textId="7777777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Focal-on-diffuse: Focal areas of increased uptake superimposed on a background of diffuse myocardial uptake.</w:t>
      </w:r>
    </w:p>
    <w:p w14:paraId="3CD4CDB9" w14:textId="77777777" w:rsidR="003F6203" w:rsidRPr="003F6203" w:rsidRDefault="003F6203" w:rsidP="003F6203">
      <w:pPr>
        <w:rPr>
          <w:rFonts w:ascii="Times New Roman" w:hAnsi="Times New Roman" w:cs="Times New Roman"/>
        </w:rPr>
      </w:pPr>
      <w:r w:rsidRPr="003F6203">
        <w:rPr>
          <w:rFonts w:ascii="Times New Roman" w:hAnsi="Times New Roman" w:cs="Times New Roman"/>
        </w:rPr>
        <w:t>Isolated basal/lateral uptake: Localized uptake predominantly involving the basal and/or lateral wall, without diffuse background activity.</w:t>
      </w:r>
    </w:p>
    <w:p w14:paraId="3CE7E9B1" w14:textId="06F3886C" w:rsidR="00FE36EB" w:rsidRDefault="003F6203" w:rsidP="00FE36EB">
      <w:r>
        <w:rPr>
          <w:noProof/>
        </w:rPr>
        <w:drawing>
          <wp:inline distT="0" distB="0" distL="0" distR="0" wp14:anchorId="1A170501" wp14:editId="4F48C103">
            <wp:extent cx="5354027" cy="1693219"/>
            <wp:effectExtent l="0" t="0" r="0" b="2540"/>
            <wp:docPr id="150863881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857" cy="169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6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EB"/>
    <w:rsid w:val="00025B15"/>
    <w:rsid w:val="003F6203"/>
    <w:rsid w:val="00E1503D"/>
    <w:rsid w:val="00F92C06"/>
    <w:rsid w:val="00FE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41EDFC"/>
  <w15:chartTrackingRefBased/>
  <w15:docId w15:val="{7874931D-294F-4790-9E07-1977FCAA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36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6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6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6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6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6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6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6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36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36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36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36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36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6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3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6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36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6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36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3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36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36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osamu manabe</dc:creator>
  <cp:keywords/>
  <dc:description/>
  <cp:lastModifiedBy>osamu manabe</cp:lastModifiedBy>
  <cp:revision>2</cp:revision>
  <dcterms:created xsi:type="dcterms:W3CDTF">2026-04-05T07:48:00Z</dcterms:created>
  <dcterms:modified xsi:type="dcterms:W3CDTF">2026-04-05T07:48:00Z</dcterms:modified>
</cp:coreProperties>
</file>