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A3953" w14:textId="77777777" w:rsidR="00DF1BE0" w:rsidRPr="00A652DF" w:rsidRDefault="00DF1BE0" w:rsidP="00DF1BE0">
      <w:pPr>
        <w:jc w:val="center"/>
        <w:rPr>
          <w:rFonts w:ascii="Times New Roman" w:hAnsi="Times New Roman" w:cs="Times New Roman"/>
          <w:b/>
          <w:iCs/>
          <w:sz w:val="24"/>
        </w:rPr>
      </w:pPr>
      <w:r w:rsidRPr="00A652DF">
        <w:rPr>
          <w:rFonts w:ascii="Times New Roman" w:hAnsi="Times New Roman" w:cs="Times New Roman"/>
          <w:b/>
          <w:iCs/>
          <w:sz w:val="24"/>
        </w:rPr>
        <w:t>Real</w:t>
      </w:r>
      <w:r w:rsidRPr="00A652DF">
        <w:rPr>
          <w:rFonts w:ascii="Times New Roman" w:hAnsi="Times New Roman" w:cs="Times New Roman"/>
          <w:b/>
          <w:sz w:val="24"/>
        </w:rPr>
        <w:t>-World Effectiveness and Safety of Ibrutinib in Patients with Chronic Lymphocytic Leukemia in Japan: the Orbit Study</w:t>
      </w:r>
    </w:p>
    <w:p w14:paraId="34B61625" w14:textId="77777777" w:rsidR="00DF1BE0" w:rsidRPr="00A652DF" w:rsidRDefault="00DF1BE0" w:rsidP="00DF1BE0">
      <w:pPr>
        <w:tabs>
          <w:tab w:val="center" w:leader="dot" w:pos="4513"/>
        </w:tabs>
        <w:rPr>
          <w:rFonts w:ascii="Times New Roman" w:eastAsiaTheme="minorEastAsia" w:hAnsi="Times New Roman" w:cs="Times New Roman"/>
          <w:sz w:val="24"/>
          <w:lang w:eastAsia="ja-JP"/>
        </w:rPr>
      </w:pPr>
      <w:r w:rsidRPr="00A652DF">
        <w:rPr>
          <w:rFonts w:ascii="Times New Roman" w:hAnsi="Times New Roman" w:cs="Times New Roman"/>
          <w:b/>
          <w:bCs/>
          <w:sz w:val="24"/>
        </w:rPr>
        <w:t>Authors:</w:t>
      </w:r>
      <w:r w:rsidRPr="00A652DF">
        <w:rPr>
          <w:rFonts w:ascii="Times New Roman" w:hAnsi="Times New Roman" w:cs="Times New Roman"/>
          <w:sz w:val="24"/>
        </w:rPr>
        <w:t xml:space="preserve"> Tsuyoshi Muta</w:t>
      </w:r>
      <w:r w:rsidRPr="00A652DF">
        <w:rPr>
          <w:rFonts w:ascii="Times New Roman" w:hAnsi="Times New Roman" w:cs="Times New Roman"/>
          <w:sz w:val="24"/>
          <w:vertAlign w:val="superscript"/>
        </w:rPr>
        <w:t>1</w:t>
      </w:r>
      <w:r w:rsidRPr="00A652DF">
        <w:rPr>
          <w:rFonts w:ascii="Times New Roman" w:hAnsi="Times New Roman" w:cs="Times New Roman"/>
          <w:sz w:val="24"/>
        </w:rPr>
        <w:t>, Yosuke Masamoto</w:t>
      </w:r>
      <w:r w:rsidRPr="00A652DF">
        <w:rPr>
          <w:rFonts w:ascii="Times New Roman" w:hAnsi="Times New Roman" w:cs="Times New Roman"/>
          <w:sz w:val="24"/>
          <w:vertAlign w:val="superscript"/>
        </w:rPr>
        <w:t>2</w:t>
      </w:r>
      <w:r w:rsidRPr="00A652DF">
        <w:rPr>
          <w:rFonts w:ascii="Times New Roman" w:hAnsi="Times New Roman" w:cs="Times New Roman"/>
          <w:sz w:val="24"/>
        </w:rPr>
        <w:t>, Go Yamamoto</w:t>
      </w:r>
      <w:r w:rsidRPr="00A652DF">
        <w:rPr>
          <w:rFonts w:ascii="Times New Roman" w:hAnsi="Times New Roman" w:cs="Times New Roman"/>
          <w:sz w:val="24"/>
          <w:vertAlign w:val="superscript"/>
        </w:rPr>
        <w:t>3</w:t>
      </w:r>
      <w:r w:rsidRPr="00A652DF">
        <w:rPr>
          <w:rFonts w:ascii="Times New Roman" w:hAnsi="Times New Roman" w:cs="Times New Roman"/>
          <w:sz w:val="24"/>
        </w:rPr>
        <w:t>, Shingo Kurahashi</w:t>
      </w:r>
      <w:r w:rsidRPr="00A652DF">
        <w:rPr>
          <w:rFonts w:ascii="Times New Roman" w:hAnsi="Times New Roman" w:cs="Times New Roman"/>
          <w:sz w:val="24"/>
          <w:vertAlign w:val="superscript"/>
        </w:rPr>
        <w:t>4</w:t>
      </w:r>
      <w:r w:rsidRPr="00A652DF">
        <w:rPr>
          <w:rFonts w:ascii="Times New Roman" w:hAnsi="Times New Roman" w:cs="Times New Roman"/>
          <w:sz w:val="24"/>
        </w:rPr>
        <w:t>, Yoshihiro Kameoka</w:t>
      </w:r>
      <w:r w:rsidRPr="00A652DF">
        <w:rPr>
          <w:rFonts w:ascii="Times New Roman" w:hAnsi="Times New Roman" w:cs="Times New Roman"/>
          <w:sz w:val="24"/>
          <w:vertAlign w:val="superscript"/>
        </w:rPr>
        <w:t>5,6</w:t>
      </w:r>
      <w:r w:rsidRPr="00A652DF">
        <w:rPr>
          <w:rFonts w:ascii="Times New Roman" w:hAnsi="Times New Roman" w:cs="Times New Roman"/>
          <w:sz w:val="24"/>
        </w:rPr>
        <w:t>, Shuichi Ota</w:t>
      </w:r>
      <w:r w:rsidRPr="00A652DF">
        <w:rPr>
          <w:rFonts w:ascii="Times New Roman" w:hAnsi="Times New Roman" w:cs="Times New Roman"/>
          <w:sz w:val="24"/>
          <w:vertAlign w:val="superscript"/>
        </w:rPr>
        <w:t>7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Eri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Matsuki</w:t>
      </w:r>
      <w:r w:rsidRPr="00A652DF">
        <w:rPr>
          <w:rFonts w:ascii="Times New Roman" w:hAnsi="Times New Roman" w:cs="Times New Roman"/>
          <w:sz w:val="24"/>
          <w:vertAlign w:val="superscript"/>
        </w:rPr>
        <w:t>8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Kazutaka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Ozeki</w:t>
      </w:r>
      <w:r w:rsidRPr="00A652DF">
        <w:rPr>
          <w:rFonts w:ascii="Times New Roman" w:hAnsi="Times New Roman" w:cs="Times New Roman"/>
          <w:sz w:val="24"/>
          <w:vertAlign w:val="superscript"/>
        </w:rPr>
        <w:t>9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Takanori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Toyama</w:t>
      </w:r>
      <w:r w:rsidRPr="00A652DF">
        <w:rPr>
          <w:rFonts w:ascii="Times New Roman" w:hAnsi="Times New Roman" w:cs="Times New Roman"/>
          <w:sz w:val="24"/>
          <w:vertAlign w:val="superscript"/>
        </w:rPr>
        <w:t>10</w:t>
      </w:r>
      <w:r w:rsidRPr="00A652DF">
        <w:rPr>
          <w:rFonts w:ascii="Times New Roman" w:hAnsi="Times New Roman" w:cs="Times New Roman"/>
          <w:sz w:val="24"/>
        </w:rPr>
        <w:t>, Naoki Takahashi</w:t>
      </w:r>
      <w:r w:rsidRPr="00A652DF">
        <w:rPr>
          <w:rFonts w:ascii="Times New Roman" w:hAnsi="Times New Roman" w:cs="Times New Roman"/>
          <w:sz w:val="24"/>
          <w:vertAlign w:val="superscript"/>
        </w:rPr>
        <w:t>11</w:t>
      </w:r>
      <w:r w:rsidRPr="00A652DF">
        <w:rPr>
          <w:rFonts w:ascii="Times New Roman" w:hAnsi="Times New Roman" w:cs="Times New Roman"/>
          <w:sz w:val="24"/>
        </w:rPr>
        <w:t>, Takahiro Kumode</w:t>
      </w:r>
      <w:r w:rsidRPr="00A652DF">
        <w:rPr>
          <w:rFonts w:ascii="Times New Roman" w:hAnsi="Times New Roman" w:cs="Times New Roman"/>
          <w:sz w:val="24"/>
          <w:vertAlign w:val="superscript"/>
        </w:rPr>
        <w:t>12</w:t>
      </w:r>
      <w:r w:rsidRPr="00A652DF">
        <w:rPr>
          <w:rFonts w:ascii="Times New Roman" w:hAnsi="Times New Roman" w:cs="Times New Roman"/>
          <w:sz w:val="24"/>
        </w:rPr>
        <w:t>, Nobuyuki Aotsuka</w:t>
      </w:r>
      <w:r w:rsidRPr="00A652DF">
        <w:rPr>
          <w:rFonts w:ascii="Times New Roman" w:hAnsi="Times New Roman" w:cs="Times New Roman"/>
          <w:sz w:val="24"/>
          <w:vertAlign w:val="superscript"/>
        </w:rPr>
        <w:t>13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Takuro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Yoshimura</w:t>
      </w:r>
      <w:r w:rsidRPr="00A652DF">
        <w:rPr>
          <w:rFonts w:ascii="Times New Roman" w:hAnsi="Times New Roman" w:cs="Times New Roman"/>
          <w:sz w:val="24"/>
          <w:vertAlign w:val="superscript"/>
        </w:rPr>
        <w:t>14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Hideto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Tamura</w:t>
      </w:r>
      <w:r w:rsidRPr="00A652DF">
        <w:rPr>
          <w:rFonts w:ascii="Times New Roman" w:hAnsi="Times New Roman" w:cs="Times New Roman"/>
          <w:sz w:val="24"/>
          <w:vertAlign w:val="superscript"/>
        </w:rPr>
        <w:t>15,16</w:t>
      </w:r>
      <w:r w:rsidRPr="00A652DF">
        <w:rPr>
          <w:rFonts w:ascii="Times New Roman" w:hAnsi="Times New Roman" w:cs="Times New Roman"/>
          <w:sz w:val="24"/>
        </w:rPr>
        <w:t>, Ai Omi</w:t>
      </w:r>
      <w:r w:rsidRPr="00A652DF">
        <w:rPr>
          <w:rFonts w:ascii="Times New Roman" w:hAnsi="Times New Roman" w:cs="Times New Roman"/>
          <w:sz w:val="24"/>
          <w:vertAlign w:val="superscript"/>
        </w:rPr>
        <w:t>17</w:t>
      </w:r>
      <w:r w:rsidRPr="00A652DF">
        <w:rPr>
          <w:rFonts w:ascii="Times New Roman" w:hAnsi="Times New Roman" w:cs="Times New Roman"/>
          <w:sz w:val="24"/>
        </w:rPr>
        <w:t>, Kazuhiro Shibayama</w:t>
      </w:r>
      <w:r w:rsidRPr="00A652DF">
        <w:rPr>
          <w:rFonts w:ascii="Times New Roman" w:hAnsi="Times New Roman" w:cs="Times New Roman"/>
          <w:sz w:val="24"/>
          <w:vertAlign w:val="superscript"/>
        </w:rPr>
        <w:t>18</w:t>
      </w:r>
      <w:r w:rsidRPr="00A652DF">
        <w:rPr>
          <w:rFonts w:ascii="Times New Roman" w:hAnsi="Times New Roman" w:cs="Times New Roman"/>
          <w:sz w:val="24"/>
        </w:rPr>
        <w:t>, Aki Watanabe</w:t>
      </w:r>
      <w:r w:rsidRPr="00A652DF">
        <w:rPr>
          <w:rFonts w:ascii="Times New Roman" w:hAnsi="Times New Roman" w:cs="Times New Roman"/>
          <w:sz w:val="24"/>
          <w:vertAlign w:val="superscript"/>
        </w:rPr>
        <w:t>19</w:t>
      </w:r>
      <w:r w:rsidRPr="00A652DF">
        <w:rPr>
          <w:rFonts w:ascii="Times New Roman" w:hAnsi="Times New Roman" w:cs="Times New Roman"/>
          <w:sz w:val="24"/>
        </w:rPr>
        <w:t>, Yasushi Isobe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20</w:t>
      </w:r>
      <w:r w:rsidRPr="00A652DF">
        <w:rPr>
          <w:rFonts w:ascii="Times New Roman" w:hAnsi="Times New Roman" w:cs="Times New Roman"/>
          <w:sz w:val="24"/>
        </w:rPr>
        <w:t>, Kensuke Kojima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21</w:t>
      </w:r>
      <w:r w:rsidRPr="00A652DF">
        <w:rPr>
          <w:rFonts w:ascii="Times New Roman" w:hAnsi="Times New Roman" w:cs="Times New Roman"/>
          <w:sz w:val="24"/>
        </w:rPr>
        <w:t>, Jun Takizawa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22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Hirokazu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Nagai</w:t>
      </w:r>
      <w:r w:rsidRPr="00A652DF">
        <w:rPr>
          <w:rFonts w:ascii="Times New Roman" w:hAnsi="Times New Roman" w:cs="Times New Roman"/>
          <w:sz w:val="24"/>
          <w:vertAlign w:val="superscript"/>
        </w:rPr>
        <w:t>23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Junji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Suzumiya</w:t>
      </w:r>
      <w:r w:rsidRPr="00A652DF">
        <w:rPr>
          <w:rFonts w:ascii="Times New Roman" w:hAnsi="Times New Roman" w:cs="Times New Roman"/>
          <w:sz w:val="24"/>
          <w:vertAlign w:val="superscript"/>
        </w:rPr>
        <w:t>24</w:t>
      </w:r>
      <w:r w:rsidRPr="00A652D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652DF">
        <w:rPr>
          <w:rFonts w:ascii="Times New Roman" w:hAnsi="Times New Roman" w:cs="Times New Roman"/>
          <w:sz w:val="24"/>
        </w:rPr>
        <w:t>Sadao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Aoki</w:t>
      </w:r>
      <w:r w:rsidRPr="00A652DF">
        <w:rPr>
          <w:rFonts w:ascii="Times New Roman" w:hAnsi="Times New Roman" w:cs="Times New Roman"/>
          <w:sz w:val="24"/>
          <w:vertAlign w:val="superscript"/>
        </w:rPr>
        <w:t>25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,26</w:t>
      </w:r>
    </w:p>
    <w:p w14:paraId="52C92E99" w14:textId="77777777" w:rsidR="00C962B1" w:rsidRDefault="00DF1BE0" w:rsidP="008F1095">
      <w:pPr>
        <w:tabs>
          <w:tab w:val="center" w:leader="dot" w:pos="4513"/>
        </w:tabs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b/>
          <w:bCs/>
          <w:sz w:val="24"/>
        </w:rPr>
        <w:t>Affiliations:</w:t>
      </w:r>
      <w:r w:rsidRPr="00A652DF">
        <w:rPr>
          <w:rFonts w:ascii="Times New Roman" w:hAnsi="Times New Roman" w:cs="Times New Roman"/>
          <w:sz w:val="24"/>
        </w:rPr>
        <w:t xml:space="preserve"> </w:t>
      </w:r>
      <w:r w:rsidRPr="00A652DF">
        <w:rPr>
          <w:rFonts w:ascii="Times New Roman" w:hAnsi="Times New Roman" w:cs="Times New Roman"/>
          <w:sz w:val="24"/>
          <w:vertAlign w:val="superscript"/>
        </w:rPr>
        <w:t>1</w:t>
      </w:r>
      <w:r w:rsidRPr="00A652DF">
        <w:rPr>
          <w:rFonts w:ascii="Times New Roman" w:hAnsi="Times New Roman" w:cs="Times New Roman"/>
          <w:sz w:val="24"/>
        </w:rPr>
        <w:t xml:space="preserve">Department of Transfusion Medicine Clinical Laboratory, Hiroshima Red Cross Hospital and Atomic-bomb Survivors Hospital, Hiroshima,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2</w:t>
      </w:r>
      <w:r w:rsidRPr="00A652DF">
        <w:rPr>
          <w:rFonts w:ascii="Times New Roman" w:hAnsi="Times New Roman" w:cs="Times New Roman"/>
          <w:sz w:val="24"/>
        </w:rPr>
        <w:t xml:space="preserve">Department of Cell Therapy and Transplantation Medicine, The University of Tokyo Hospital, Tokyo,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3</w:t>
      </w:r>
      <w:r w:rsidRPr="00A652DF">
        <w:rPr>
          <w:rFonts w:ascii="Times New Roman" w:hAnsi="Times New Roman" w:cs="Times New Roman"/>
          <w:sz w:val="24"/>
        </w:rPr>
        <w:t xml:space="preserve">Department of Hematology, </w:t>
      </w:r>
      <w:proofErr w:type="spellStart"/>
      <w:r w:rsidRPr="00A652DF">
        <w:rPr>
          <w:rFonts w:ascii="Times New Roman" w:hAnsi="Times New Roman" w:cs="Times New Roman"/>
          <w:sz w:val="24"/>
        </w:rPr>
        <w:t>Toranomon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Hospital, Tokyo,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4</w:t>
      </w:r>
      <w:r w:rsidRPr="00A652DF">
        <w:rPr>
          <w:rFonts w:ascii="Times New Roman" w:hAnsi="Times New Roman" w:cs="Times New Roman"/>
          <w:sz w:val="24"/>
        </w:rPr>
        <w:t xml:space="preserve">Department of Hematology and Oncology, Toyohashi Municipal Hospital, Aichi, Japan; </w:t>
      </w:r>
      <w:r w:rsidRPr="00A652DF">
        <w:rPr>
          <w:rFonts w:ascii="Times New Roman" w:hAnsi="Times New Roman" w:cs="Times New Roman"/>
          <w:sz w:val="24"/>
          <w:vertAlign w:val="superscript"/>
        </w:rPr>
        <w:t>5</w:t>
      </w:r>
      <w:r w:rsidRPr="00A652DF">
        <w:rPr>
          <w:rFonts w:ascii="Times New Roman" w:hAnsi="Times New Roman" w:cs="Times New Roman"/>
          <w:sz w:val="24"/>
        </w:rPr>
        <w:t xml:space="preserve">Department of Hematology, Nephrology and Rheumatology, Akita University Graduate School of Medicine and Faculty of Medicine, Akita,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6</w:t>
      </w:r>
      <w:r w:rsidRPr="00A652DF">
        <w:rPr>
          <w:rFonts w:ascii="Times New Roman" w:hAnsi="Times New Roman" w:cs="Times New Roman"/>
          <w:sz w:val="24"/>
        </w:rPr>
        <w:t xml:space="preserve">Department of Hematology, Akita Red Cross Hospital, Akita,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7</w:t>
      </w:r>
      <w:r w:rsidRPr="00A652DF">
        <w:rPr>
          <w:rFonts w:ascii="Times New Roman" w:hAnsi="Times New Roman" w:cs="Times New Roman"/>
          <w:sz w:val="24"/>
        </w:rPr>
        <w:t xml:space="preserve">Department of Hematology, Sapporo </w:t>
      </w:r>
      <w:proofErr w:type="spellStart"/>
      <w:r w:rsidRPr="00A652DF">
        <w:rPr>
          <w:rFonts w:ascii="Times New Roman" w:hAnsi="Times New Roman" w:cs="Times New Roman"/>
          <w:sz w:val="24"/>
        </w:rPr>
        <w:t>Hokuyu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Hospital, Sapporo,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8</w:t>
      </w:r>
      <w:r w:rsidRPr="00A652DF">
        <w:rPr>
          <w:rFonts w:ascii="Times New Roman" w:hAnsi="Times New Roman" w:cs="Times New Roman"/>
          <w:sz w:val="24"/>
        </w:rPr>
        <w:t xml:space="preserve">Division of Hematology, Department of Medicine Keio University School of Medicine, Tokyo,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9</w:t>
      </w:r>
      <w:r w:rsidRPr="00A652DF">
        <w:rPr>
          <w:rFonts w:ascii="Times New Roman" w:hAnsi="Times New Roman" w:cs="Times New Roman"/>
          <w:sz w:val="24"/>
        </w:rPr>
        <w:t xml:space="preserve">Department of Hematology and Oncology, JA Aichi Konan Kosei Hospital, Aichi,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10</w:t>
      </w:r>
      <w:r w:rsidRPr="00A652DF">
        <w:rPr>
          <w:rFonts w:ascii="Times New Roman" w:hAnsi="Times New Roman" w:cs="Times New Roman"/>
          <w:sz w:val="24"/>
        </w:rPr>
        <w:t xml:space="preserve">Department of Internal Medicine, Miyazaki Prefectural </w:t>
      </w:r>
      <w:proofErr w:type="spellStart"/>
      <w:r w:rsidRPr="00A652DF">
        <w:rPr>
          <w:rFonts w:ascii="Times New Roman" w:hAnsi="Times New Roman" w:cs="Times New Roman"/>
          <w:sz w:val="24"/>
        </w:rPr>
        <w:t>Nobeoka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Hospital, Miyazaki,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11</w:t>
      </w:r>
      <w:r w:rsidRPr="00A652DF">
        <w:rPr>
          <w:rFonts w:ascii="Times New Roman" w:hAnsi="Times New Roman" w:cs="Times New Roman"/>
          <w:sz w:val="24"/>
        </w:rPr>
        <w:t xml:space="preserve">Department of Hematology, International Medical Center, Saitama Medical University, Saitama,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12</w:t>
      </w:r>
      <w:r w:rsidRPr="00A652DF">
        <w:rPr>
          <w:rFonts w:ascii="Times New Roman" w:hAnsi="Times New Roman" w:cs="Times New Roman"/>
          <w:sz w:val="24"/>
        </w:rPr>
        <w:t xml:space="preserve">Department of Hematology and Rheumatology, </w:t>
      </w:r>
      <w:proofErr w:type="spellStart"/>
      <w:r w:rsidRPr="00A652DF">
        <w:rPr>
          <w:rFonts w:ascii="Times New Roman" w:hAnsi="Times New Roman" w:cs="Times New Roman"/>
          <w:sz w:val="24"/>
        </w:rPr>
        <w:t>Kindai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University Hospital, Osaka,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13</w:t>
      </w:r>
      <w:r w:rsidRPr="00A652DF">
        <w:rPr>
          <w:rFonts w:ascii="Times New Roman" w:hAnsi="Times New Roman" w:cs="Times New Roman"/>
          <w:sz w:val="24"/>
        </w:rPr>
        <w:t xml:space="preserve">Department of Hematology and Oncology, Japanese Red Cross Narita Hospital, Chiba,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14</w:t>
      </w:r>
      <w:r w:rsidRPr="00A652DF">
        <w:rPr>
          <w:rFonts w:ascii="Times New Roman" w:hAnsi="Times New Roman" w:cs="Times New Roman"/>
          <w:sz w:val="24"/>
        </w:rPr>
        <w:t xml:space="preserve">Department of Hematology, Osaka City General Hospital, Osaka,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15</w:t>
      </w:r>
      <w:r w:rsidRPr="00A652DF">
        <w:rPr>
          <w:rFonts w:ascii="Times New Roman" w:hAnsi="Times New Roman" w:cs="Times New Roman"/>
          <w:sz w:val="24"/>
        </w:rPr>
        <w:t xml:space="preserve">Department of Diabetes, Endocrinology and Hematology, </w:t>
      </w:r>
      <w:proofErr w:type="spellStart"/>
      <w:r w:rsidRPr="00A652DF">
        <w:rPr>
          <w:rFonts w:ascii="Times New Roman" w:hAnsi="Times New Roman" w:cs="Times New Roman"/>
          <w:sz w:val="24"/>
        </w:rPr>
        <w:t>Dokkyo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Medical University Saitama Medical Center, Saitama,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16</w:t>
      </w:r>
      <w:r w:rsidRPr="00A652DF">
        <w:rPr>
          <w:rFonts w:ascii="Times New Roman" w:hAnsi="Times New Roman" w:cs="Times New Roman"/>
          <w:sz w:val="24"/>
        </w:rPr>
        <w:t xml:space="preserve">Department of Hematology, Nippon Medical School, Tokyo,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17</w:t>
      </w:r>
      <w:r w:rsidRPr="00A652DF">
        <w:rPr>
          <w:rFonts w:ascii="Times New Roman" w:hAnsi="Times New Roman" w:cs="Times New Roman"/>
          <w:sz w:val="24"/>
        </w:rPr>
        <w:t xml:space="preserve">Department of Medical Affairs, Janssen Pharmaceutical K.K., Tokyo,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18</w:t>
      </w:r>
      <w:r w:rsidRPr="00A652DF">
        <w:rPr>
          <w:rFonts w:ascii="Times New Roman" w:hAnsi="Times New Roman" w:cs="Times New Roman"/>
          <w:sz w:val="24"/>
        </w:rPr>
        <w:t xml:space="preserve">Statistics &amp; Decision Sciences Japan, Janssen Pharmaceutical K.K., Tokyo, Japan; </w:t>
      </w:r>
      <w:r w:rsidRPr="00A652DF">
        <w:rPr>
          <w:rFonts w:ascii="Times New Roman" w:hAnsi="Times New Roman" w:cs="Times New Roman"/>
          <w:sz w:val="24"/>
          <w:vertAlign w:val="superscript"/>
        </w:rPr>
        <w:t>19</w:t>
      </w:r>
      <w:r w:rsidRPr="00A652DF">
        <w:rPr>
          <w:rFonts w:ascii="Times New Roman" w:hAnsi="Times New Roman" w:cs="Times New Roman"/>
          <w:sz w:val="24"/>
        </w:rPr>
        <w:t xml:space="preserve">Medical Affairs Delivery Unit, Global Development, Janssen Pharmaceutical K.K., Tokyo, Japan; 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20</w:t>
      </w:r>
      <w:r w:rsidRPr="00A652DF">
        <w:rPr>
          <w:rFonts w:ascii="Times New Roman" w:hAnsi="Times New Roman" w:cs="Times New Roman"/>
          <w:sz w:val="24"/>
        </w:rPr>
        <w:t xml:space="preserve">Department of Medical Oncology, Hematology and Infectious Diseases, Fukuoka University Hospital, Fukuoka, Japan; 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21</w:t>
      </w:r>
      <w:r w:rsidRPr="00A652DF">
        <w:rPr>
          <w:rFonts w:ascii="Times New Roman" w:hAnsi="Times New Roman" w:cs="Times New Roman"/>
          <w:sz w:val="24"/>
        </w:rPr>
        <w:t xml:space="preserve">Department of Hematology, Kochi Medical School, Kochi University, Kochi, Japan; 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22</w:t>
      </w:r>
      <w:r w:rsidRPr="00A652DF">
        <w:rPr>
          <w:rFonts w:ascii="Times New Roman" w:hAnsi="Times New Roman" w:cs="Times New Roman"/>
          <w:sz w:val="24"/>
        </w:rPr>
        <w:t xml:space="preserve">Department of Hematology, Endocrinology and Metabolism, Niigata University Faculty of Medicine, Niigata, Japan; </w:t>
      </w:r>
      <w:r w:rsidRPr="00A652DF">
        <w:rPr>
          <w:rFonts w:ascii="Times New Roman" w:hAnsi="Times New Roman" w:cs="Times New Roman"/>
          <w:sz w:val="24"/>
          <w:vertAlign w:val="superscript"/>
        </w:rPr>
        <w:t>23</w:t>
      </w:r>
      <w:r w:rsidRPr="00A652DF">
        <w:rPr>
          <w:rFonts w:ascii="Times New Roman" w:hAnsi="Times New Roman" w:cs="Times New Roman"/>
          <w:sz w:val="24"/>
        </w:rPr>
        <w:t xml:space="preserve">Hematology Department, National Hospital Organization Nagoya Medical Center, Aichi, Japan; </w:t>
      </w:r>
      <w:r w:rsidRPr="00A652DF">
        <w:rPr>
          <w:rFonts w:ascii="Times New Roman" w:hAnsi="Times New Roman" w:cs="Times New Roman"/>
          <w:sz w:val="24"/>
          <w:vertAlign w:val="superscript"/>
        </w:rPr>
        <w:t>24</w:t>
      </w:r>
      <w:r w:rsidRPr="00A652DF">
        <w:rPr>
          <w:rFonts w:ascii="Times New Roman" w:hAnsi="Times New Roman" w:cs="Times New Roman"/>
          <w:sz w:val="24"/>
        </w:rPr>
        <w:t xml:space="preserve">Department of Hematology, Koga Community Hospital, </w:t>
      </w:r>
      <w:proofErr w:type="spellStart"/>
      <w:r w:rsidRPr="00A652DF">
        <w:rPr>
          <w:rFonts w:ascii="Times New Roman" w:hAnsi="Times New Roman" w:cs="Times New Roman"/>
          <w:sz w:val="24"/>
        </w:rPr>
        <w:t>Yaizu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, Japan; </w:t>
      </w:r>
      <w:r w:rsidRPr="00A652DF">
        <w:rPr>
          <w:rFonts w:ascii="Times New Roman" w:hAnsi="Times New Roman" w:cs="Times New Roman"/>
          <w:sz w:val="24"/>
          <w:vertAlign w:val="superscript"/>
        </w:rPr>
        <w:t>25</w:t>
      </w:r>
      <w:r w:rsidRPr="00A652DF">
        <w:rPr>
          <w:rFonts w:ascii="Times New Roman" w:hAnsi="Times New Roman" w:cs="Times New Roman"/>
          <w:sz w:val="24"/>
        </w:rPr>
        <w:t>Department of Medical Technology, Faculty of Medical Technology, Niigata University of Pharmacy and Medical and Life Sciences, Niigata, Japan</w:t>
      </w:r>
      <w:r w:rsidRPr="00A652DF">
        <w:rPr>
          <w:rFonts w:ascii="Times New Roman" w:eastAsiaTheme="minorEastAsia" w:hAnsi="Times New Roman" w:cs="Times New Roman"/>
          <w:sz w:val="24"/>
          <w:lang w:eastAsia="ja-JP"/>
        </w:rPr>
        <w:t xml:space="preserve">; </w:t>
      </w:r>
      <w:r w:rsidRPr="00A652DF">
        <w:rPr>
          <w:rFonts w:ascii="Times New Roman" w:eastAsiaTheme="minorEastAsia" w:hAnsi="Times New Roman" w:cs="Times New Roman"/>
          <w:sz w:val="24"/>
          <w:vertAlign w:val="superscript"/>
          <w:lang w:eastAsia="ja-JP"/>
        </w:rPr>
        <w:t>26</w:t>
      </w:r>
      <w:r w:rsidRPr="00A652DF">
        <w:rPr>
          <w:rFonts w:ascii="Times New Roman" w:eastAsiaTheme="minorEastAsia" w:hAnsi="Times New Roman" w:cs="Times New Roman"/>
          <w:sz w:val="24"/>
          <w:lang w:eastAsia="ja-JP"/>
        </w:rPr>
        <w:t>Department of Hematology, Niigata Minami Hospital, Niigata, Japan</w:t>
      </w:r>
      <w:r w:rsidRPr="00A652DF">
        <w:rPr>
          <w:rFonts w:ascii="Times New Roman" w:hAnsi="Times New Roman" w:cs="Times New Roman"/>
          <w:sz w:val="24"/>
        </w:rPr>
        <w:t>.</w:t>
      </w:r>
    </w:p>
    <w:p w14:paraId="6E021636" w14:textId="50704306" w:rsidR="00C962B1" w:rsidRPr="00C962B1" w:rsidRDefault="00C962B1" w:rsidP="00C962B1">
      <w:pPr>
        <w:pStyle w:val="Heading1"/>
        <w:jc w:val="center"/>
        <w:rPr>
          <w:color w:val="auto"/>
        </w:rPr>
      </w:pPr>
      <w:r w:rsidRPr="00C962B1">
        <w:rPr>
          <w:color w:val="auto"/>
        </w:rPr>
        <w:t>Supplementary Material</w:t>
      </w:r>
    </w:p>
    <w:p w14:paraId="2208FC01" w14:textId="14968892" w:rsidR="00DF1BE0" w:rsidRDefault="00DF1BE0" w:rsidP="008F1095">
      <w:pPr>
        <w:tabs>
          <w:tab w:val="center" w:leader="dot" w:pos="451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9323089" w14:textId="77777777" w:rsidR="00DF1BE0" w:rsidRPr="00DF1BE0" w:rsidRDefault="00DF1BE0" w:rsidP="00525D35">
      <w:pPr>
        <w:pStyle w:val="Heading2"/>
        <w:spacing w:before="100" w:after="100"/>
        <w:rPr>
          <w:rFonts w:cs="Times New Roman"/>
          <w:b w:val="0"/>
          <w:bCs/>
          <w:vanish/>
          <w:specVanish/>
        </w:rPr>
      </w:pPr>
      <w:r w:rsidRPr="00DF1BE0">
        <w:rPr>
          <w:rFonts w:cs="Times New Roman"/>
          <w:bCs/>
        </w:rPr>
        <w:t>Supplementary Table S1.</w:t>
      </w:r>
    </w:p>
    <w:p w14:paraId="557CBFD9" w14:textId="77777777" w:rsidR="00DF1BE0" w:rsidRPr="00A652DF" w:rsidRDefault="00DF1BE0" w:rsidP="00345469">
      <w:pPr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sz w:val="24"/>
        </w:rPr>
        <w:t xml:space="preserve"> Prior treatment for chronic lymphocytic leukemia in patients with relapsed or refractory disease (n=94).</w:t>
      </w:r>
    </w:p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1843"/>
      </w:tblGrid>
      <w:tr w:rsidR="00DF1BE0" w:rsidRPr="00A652DF" w14:paraId="0B4CF398" w14:textId="77777777" w:rsidTr="00083349">
        <w:tc>
          <w:tcPr>
            <w:tcW w:w="6804" w:type="dxa"/>
            <w:tcBorders>
              <w:bottom w:val="single" w:sz="4" w:space="0" w:color="auto"/>
            </w:tcBorders>
          </w:tcPr>
          <w:p w14:paraId="2DD8DDF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C94445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N=94</w:t>
            </w:r>
          </w:p>
        </w:tc>
      </w:tr>
      <w:tr w:rsidR="00DF1BE0" w:rsidRPr="00A652DF" w14:paraId="216EC5C4" w14:textId="77777777" w:rsidTr="00083349"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2229D0A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No. of prior treatment lines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9378179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1BE0" w:rsidRPr="00A652DF" w14:paraId="11234416" w14:textId="77777777" w:rsidTr="00083349">
        <w:tc>
          <w:tcPr>
            <w:tcW w:w="6804" w:type="dxa"/>
            <w:tcBorders>
              <w:top w:val="nil"/>
            </w:tcBorders>
          </w:tcPr>
          <w:p w14:paraId="31A5BCA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Median (range)</w:t>
            </w:r>
          </w:p>
        </w:tc>
        <w:tc>
          <w:tcPr>
            <w:tcW w:w="1843" w:type="dxa"/>
            <w:tcBorders>
              <w:top w:val="nil"/>
            </w:tcBorders>
          </w:tcPr>
          <w:p w14:paraId="3E4250D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(1–6)</w:t>
            </w:r>
          </w:p>
        </w:tc>
      </w:tr>
      <w:tr w:rsidR="00DF1BE0" w:rsidRPr="00A652DF" w14:paraId="13314CF0" w14:textId="77777777" w:rsidTr="00083349">
        <w:tc>
          <w:tcPr>
            <w:tcW w:w="6804" w:type="dxa"/>
          </w:tcPr>
          <w:p w14:paraId="10F7B18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Category, n (%)</w:t>
            </w:r>
          </w:p>
        </w:tc>
        <w:tc>
          <w:tcPr>
            <w:tcW w:w="1843" w:type="dxa"/>
          </w:tcPr>
          <w:p w14:paraId="096217A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1BE0" w:rsidRPr="00A652DF" w14:paraId="13A66F89" w14:textId="77777777" w:rsidTr="00083349">
        <w:tc>
          <w:tcPr>
            <w:tcW w:w="6804" w:type="dxa"/>
          </w:tcPr>
          <w:p w14:paraId="656157A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567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</w:tcPr>
          <w:p w14:paraId="626D3C1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44 (46.8)</w:t>
            </w:r>
          </w:p>
        </w:tc>
      </w:tr>
      <w:tr w:rsidR="00DF1BE0" w:rsidRPr="00A652DF" w14:paraId="0C888C4E" w14:textId="77777777" w:rsidTr="00083349">
        <w:tc>
          <w:tcPr>
            <w:tcW w:w="6804" w:type="dxa"/>
          </w:tcPr>
          <w:p w14:paraId="73118AF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567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</w:tcPr>
          <w:p w14:paraId="030C5E4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22 (23.4)</w:t>
            </w:r>
          </w:p>
        </w:tc>
      </w:tr>
      <w:tr w:rsidR="00DF1BE0" w:rsidRPr="00A652DF" w14:paraId="0F5C264A" w14:textId="77777777" w:rsidTr="00083349">
        <w:tc>
          <w:tcPr>
            <w:tcW w:w="6804" w:type="dxa"/>
          </w:tcPr>
          <w:p w14:paraId="6D7B31A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567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≥3</w:t>
            </w:r>
          </w:p>
        </w:tc>
        <w:tc>
          <w:tcPr>
            <w:tcW w:w="1843" w:type="dxa"/>
          </w:tcPr>
          <w:p w14:paraId="2A2CAFA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23 (24.5)</w:t>
            </w:r>
          </w:p>
        </w:tc>
      </w:tr>
      <w:tr w:rsidR="00DF1BE0" w:rsidRPr="00A652DF" w14:paraId="1E9D90F1" w14:textId="77777777" w:rsidTr="00083349">
        <w:tc>
          <w:tcPr>
            <w:tcW w:w="6804" w:type="dxa"/>
          </w:tcPr>
          <w:p w14:paraId="5D359F5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567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Unknown</w:t>
            </w:r>
          </w:p>
        </w:tc>
        <w:tc>
          <w:tcPr>
            <w:tcW w:w="1843" w:type="dxa"/>
          </w:tcPr>
          <w:p w14:paraId="6D2E2710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5 (5.3)</w:t>
            </w:r>
          </w:p>
        </w:tc>
      </w:tr>
      <w:tr w:rsidR="00DF1BE0" w:rsidRPr="00A652DF" w14:paraId="1818B442" w14:textId="77777777" w:rsidTr="00083349">
        <w:tc>
          <w:tcPr>
            <w:tcW w:w="6804" w:type="dxa"/>
          </w:tcPr>
          <w:p w14:paraId="1DCE3868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Most recent CLL treatment, n (%)</w:t>
            </w:r>
          </w:p>
        </w:tc>
        <w:tc>
          <w:tcPr>
            <w:tcW w:w="1843" w:type="dxa"/>
          </w:tcPr>
          <w:p w14:paraId="0B56B2DE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1BE0" w:rsidRPr="00A652DF" w14:paraId="4BD5374B" w14:textId="77777777" w:rsidTr="00083349">
        <w:tc>
          <w:tcPr>
            <w:tcW w:w="6804" w:type="dxa"/>
          </w:tcPr>
          <w:p w14:paraId="06C8180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Fludarabine</w:t>
            </w:r>
          </w:p>
        </w:tc>
        <w:tc>
          <w:tcPr>
            <w:tcW w:w="1843" w:type="dxa"/>
          </w:tcPr>
          <w:p w14:paraId="454D918A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22 (23.4)</w:t>
            </w:r>
          </w:p>
        </w:tc>
      </w:tr>
      <w:tr w:rsidR="00DF1BE0" w:rsidRPr="00A652DF" w14:paraId="1E3282C0" w14:textId="77777777" w:rsidTr="00083349">
        <w:tc>
          <w:tcPr>
            <w:tcW w:w="6804" w:type="dxa"/>
          </w:tcPr>
          <w:p w14:paraId="4DB7221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</w:t>
            </w:r>
          </w:p>
        </w:tc>
        <w:tc>
          <w:tcPr>
            <w:tcW w:w="1843" w:type="dxa"/>
          </w:tcPr>
          <w:p w14:paraId="05A4CBFE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13 (13.8)</w:t>
            </w:r>
          </w:p>
        </w:tc>
      </w:tr>
      <w:tr w:rsidR="00DF1BE0" w:rsidRPr="00A652DF" w14:paraId="278FC95A" w14:textId="77777777" w:rsidTr="00083349">
        <w:tc>
          <w:tcPr>
            <w:tcW w:w="6804" w:type="dxa"/>
          </w:tcPr>
          <w:p w14:paraId="12CED16D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Bendamustine + rituximab</w:t>
            </w:r>
          </w:p>
        </w:tc>
        <w:tc>
          <w:tcPr>
            <w:tcW w:w="1843" w:type="dxa"/>
          </w:tcPr>
          <w:p w14:paraId="2344F5A0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10 (10.6)</w:t>
            </w:r>
          </w:p>
        </w:tc>
      </w:tr>
      <w:tr w:rsidR="00DF1BE0" w:rsidRPr="00A652DF" w14:paraId="16BDCD00" w14:textId="77777777" w:rsidTr="00083349">
        <w:tc>
          <w:tcPr>
            <w:tcW w:w="6804" w:type="dxa"/>
          </w:tcPr>
          <w:p w14:paraId="522C4D7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Rituximab</w:t>
            </w:r>
          </w:p>
        </w:tc>
        <w:tc>
          <w:tcPr>
            <w:tcW w:w="1843" w:type="dxa"/>
          </w:tcPr>
          <w:p w14:paraId="08A400C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9 (9.6)</w:t>
            </w:r>
          </w:p>
        </w:tc>
      </w:tr>
      <w:tr w:rsidR="00DF1BE0" w:rsidRPr="00A652DF" w14:paraId="58AA2C6D" w14:textId="77777777" w:rsidTr="00083349">
        <w:tc>
          <w:tcPr>
            <w:tcW w:w="6804" w:type="dxa"/>
          </w:tcPr>
          <w:p w14:paraId="0A6E2729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Fludarabine + cyclophosphamide + rituximab</w:t>
            </w:r>
          </w:p>
        </w:tc>
        <w:tc>
          <w:tcPr>
            <w:tcW w:w="1843" w:type="dxa"/>
          </w:tcPr>
          <w:p w14:paraId="3EE0FF2D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8 (8.5)</w:t>
            </w:r>
          </w:p>
        </w:tc>
      </w:tr>
      <w:tr w:rsidR="00DF1BE0" w:rsidRPr="00A652DF" w14:paraId="0E942B99" w14:textId="77777777" w:rsidTr="00083349">
        <w:tc>
          <w:tcPr>
            <w:tcW w:w="6804" w:type="dxa"/>
          </w:tcPr>
          <w:p w14:paraId="13772B97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Bendamustine</w:t>
            </w:r>
          </w:p>
        </w:tc>
        <w:tc>
          <w:tcPr>
            <w:tcW w:w="1843" w:type="dxa"/>
          </w:tcPr>
          <w:p w14:paraId="5DCFF919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5 (5.3)</w:t>
            </w:r>
          </w:p>
        </w:tc>
      </w:tr>
      <w:tr w:rsidR="00DF1BE0" w:rsidRPr="00A652DF" w14:paraId="6D81F181" w14:textId="77777777" w:rsidTr="00083349">
        <w:tc>
          <w:tcPr>
            <w:tcW w:w="6804" w:type="dxa"/>
          </w:tcPr>
          <w:p w14:paraId="6559353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Fludarabine + rituximab</w:t>
            </w:r>
          </w:p>
        </w:tc>
        <w:tc>
          <w:tcPr>
            <w:tcW w:w="1843" w:type="dxa"/>
          </w:tcPr>
          <w:p w14:paraId="2A5A83E0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5 (5.3)</w:t>
            </w:r>
          </w:p>
        </w:tc>
      </w:tr>
      <w:tr w:rsidR="00DF1BE0" w:rsidRPr="00A652DF" w14:paraId="13504155" w14:textId="77777777" w:rsidTr="00083349">
        <w:tc>
          <w:tcPr>
            <w:tcW w:w="6804" w:type="dxa"/>
          </w:tcPr>
          <w:p w14:paraId="2D1AC67E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Ofatumumab</w:t>
            </w:r>
          </w:p>
        </w:tc>
        <w:tc>
          <w:tcPr>
            <w:tcW w:w="1843" w:type="dxa"/>
          </w:tcPr>
          <w:p w14:paraId="773DA78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4 (4.3)</w:t>
            </w:r>
          </w:p>
        </w:tc>
      </w:tr>
      <w:tr w:rsidR="00DF1BE0" w:rsidRPr="00A652DF" w14:paraId="25FF3853" w14:textId="77777777" w:rsidTr="00083349">
        <w:tc>
          <w:tcPr>
            <w:tcW w:w="6804" w:type="dxa"/>
          </w:tcPr>
          <w:p w14:paraId="08E70D5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R-CHOP</w:t>
            </w:r>
          </w:p>
        </w:tc>
        <w:tc>
          <w:tcPr>
            <w:tcW w:w="1843" w:type="dxa"/>
          </w:tcPr>
          <w:p w14:paraId="22F82DB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3 (3.2)</w:t>
            </w:r>
          </w:p>
        </w:tc>
      </w:tr>
      <w:tr w:rsidR="00DF1BE0" w:rsidRPr="00A652DF" w14:paraId="77EC263F" w14:textId="77777777" w:rsidTr="00083349">
        <w:tc>
          <w:tcPr>
            <w:tcW w:w="6804" w:type="dxa"/>
          </w:tcPr>
          <w:p w14:paraId="4B20966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Fludarabine + cyclophosphamide</w:t>
            </w:r>
          </w:p>
        </w:tc>
        <w:tc>
          <w:tcPr>
            <w:tcW w:w="1843" w:type="dxa"/>
          </w:tcPr>
          <w:p w14:paraId="3C35D2FE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(2.1)</w:t>
            </w:r>
          </w:p>
        </w:tc>
      </w:tr>
      <w:tr w:rsidR="00DF1BE0" w:rsidRPr="00A652DF" w14:paraId="2444D287" w14:textId="77777777" w:rsidTr="00083349">
        <w:tc>
          <w:tcPr>
            <w:tcW w:w="6804" w:type="dxa"/>
          </w:tcPr>
          <w:p w14:paraId="3984462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 + corticosteroid</w:t>
            </w:r>
          </w:p>
        </w:tc>
        <w:tc>
          <w:tcPr>
            <w:tcW w:w="1843" w:type="dxa"/>
          </w:tcPr>
          <w:p w14:paraId="22835AF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(2.1)</w:t>
            </w:r>
          </w:p>
        </w:tc>
      </w:tr>
      <w:tr w:rsidR="00DF1BE0" w:rsidRPr="00A652DF" w14:paraId="0FEEAA06" w14:textId="77777777" w:rsidTr="00083349">
        <w:tc>
          <w:tcPr>
            <w:tcW w:w="6804" w:type="dxa"/>
          </w:tcPr>
          <w:p w14:paraId="7F4D4BF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 + corticosteroid + procarbazine</w:t>
            </w:r>
          </w:p>
        </w:tc>
        <w:tc>
          <w:tcPr>
            <w:tcW w:w="1843" w:type="dxa"/>
          </w:tcPr>
          <w:p w14:paraId="5369765D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(2.1)</w:t>
            </w:r>
          </w:p>
        </w:tc>
      </w:tr>
      <w:tr w:rsidR="00DF1BE0" w:rsidRPr="00A652DF" w14:paraId="2B358837" w14:textId="77777777" w:rsidTr="00083349">
        <w:tc>
          <w:tcPr>
            <w:tcW w:w="6804" w:type="dxa"/>
          </w:tcPr>
          <w:p w14:paraId="51FD72A8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 + corticosteroid + pirarubicin + vincristine</w:t>
            </w:r>
          </w:p>
        </w:tc>
        <w:tc>
          <w:tcPr>
            <w:tcW w:w="1843" w:type="dxa"/>
          </w:tcPr>
          <w:p w14:paraId="0324860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1E7DE41D" w14:textId="77777777" w:rsidTr="00083349">
        <w:tc>
          <w:tcPr>
            <w:tcW w:w="6804" w:type="dxa"/>
          </w:tcPr>
          <w:p w14:paraId="3FB7742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 + corticosteroid + procarbazine + etoposide</w:t>
            </w:r>
          </w:p>
        </w:tc>
        <w:tc>
          <w:tcPr>
            <w:tcW w:w="1843" w:type="dxa"/>
          </w:tcPr>
          <w:p w14:paraId="7BEF182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2369034C" w14:textId="77777777" w:rsidTr="00083349">
        <w:tc>
          <w:tcPr>
            <w:tcW w:w="6804" w:type="dxa"/>
          </w:tcPr>
          <w:p w14:paraId="5EA4E78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 + corticosteroid + vincristine</w:t>
            </w:r>
          </w:p>
        </w:tc>
        <w:tc>
          <w:tcPr>
            <w:tcW w:w="1843" w:type="dxa"/>
          </w:tcPr>
          <w:p w14:paraId="775217D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4BC41851" w14:textId="77777777" w:rsidTr="00083349">
        <w:tc>
          <w:tcPr>
            <w:tcW w:w="6804" w:type="dxa"/>
          </w:tcPr>
          <w:p w14:paraId="0EB0480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Rituximab + cyclophosphamide + corticosteroid</w:t>
            </w:r>
          </w:p>
        </w:tc>
        <w:tc>
          <w:tcPr>
            <w:tcW w:w="1843" w:type="dxa"/>
          </w:tcPr>
          <w:p w14:paraId="1BC766EB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1B793501" w14:textId="77777777" w:rsidTr="00083349">
        <w:tc>
          <w:tcPr>
            <w:tcW w:w="6804" w:type="dxa"/>
          </w:tcPr>
          <w:p w14:paraId="3CE5B830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Rituximab + cyclophosphamide + corticosteroid + etoposide + procarbazine</w:t>
            </w:r>
          </w:p>
        </w:tc>
        <w:tc>
          <w:tcPr>
            <w:tcW w:w="1843" w:type="dxa"/>
          </w:tcPr>
          <w:p w14:paraId="53D7DE55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6EEEE64E" w14:textId="77777777" w:rsidTr="00083349">
        <w:tc>
          <w:tcPr>
            <w:tcW w:w="6804" w:type="dxa"/>
          </w:tcPr>
          <w:p w14:paraId="13F31DD7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Rituximab + cyclophosphamide + vincristine + prednisone</w:t>
            </w:r>
          </w:p>
        </w:tc>
        <w:tc>
          <w:tcPr>
            <w:tcW w:w="1843" w:type="dxa"/>
          </w:tcPr>
          <w:p w14:paraId="70CC769A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70877010" w14:textId="77777777" w:rsidTr="00083349">
        <w:tc>
          <w:tcPr>
            <w:tcW w:w="6804" w:type="dxa"/>
          </w:tcPr>
          <w:p w14:paraId="5E0641F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Venetoclax</w:t>
            </w:r>
          </w:p>
        </w:tc>
        <w:tc>
          <w:tcPr>
            <w:tcW w:w="1843" w:type="dxa"/>
          </w:tcPr>
          <w:p w14:paraId="311E3FE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13E0EFB4" w14:textId="77777777" w:rsidTr="00083349">
        <w:tc>
          <w:tcPr>
            <w:tcW w:w="6804" w:type="dxa"/>
          </w:tcPr>
          <w:p w14:paraId="16E31784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Yttrium ibritumomab tiuxetan</w:t>
            </w:r>
          </w:p>
        </w:tc>
        <w:tc>
          <w:tcPr>
            <w:tcW w:w="1843" w:type="dxa"/>
          </w:tcPr>
          <w:p w14:paraId="2109E69E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  <w:tr w:rsidR="00DF1BE0" w:rsidRPr="00A652DF" w14:paraId="7B185834" w14:textId="77777777" w:rsidTr="00083349">
        <w:tc>
          <w:tcPr>
            <w:tcW w:w="6804" w:type="dxa"/>
          </w:tcPr>
          <w:p w14:paraId="375877A0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Unknown</w:t>
            </w:r>
          </w:p>
        </w:tc>
        <w:tc>
          <w:tcPr>
            <w:tcW w:w="1843" w:type="dxa"/>
          </w:tcPr>
          <w:p w14:paraId="57F2078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(1.1)</w:t>
            </w:r>
          </w:p>
        </w:tc>
      </w:tr>
    </w:tbl>
    <w:p w14:paraId="090AEED8" w14:textId="77777777" w:rsidR="00C962B1" w:rsidRDefault="00DF1BE0" w:rsidP="00C962B1">
      <w:pPr>
        <w:widowControl/>
        <w:spacing w:line="276" w:lineRule="auto"/>
        <w:rPr>
          <w:rFonts w:ascii="Times New Roman" w:hAnsi="Times New Roman" w:cs="Times New Roman"/>
          <w:sz w:val="24"/>
        </w:rPr>
        <w:sectPr w:rsidR="00C962B1" w:rsidSect="007D66D5">
          <w:endnotePr>
            <w:numFmt w:val="decimal"/>
          </w:endnotePr>
          <w:type w:val="continuous"/>
          <w:pgSz w:w="11907" w:h="16840" w:code="9"/>
          <w:pgMar w:top="1440" w:right="1701" w:bottom="1440" w:left="1701" w:header="1440" w:footer="1915" w:gutter="0"/>
          <w:cols w:space="720"/>
        </w:sectPr>
      </w:pPr>
      <w:r w:rsidRPr="00A652DF">
        <w:rPr>
          <w:rFonts w:ascii="Times New Roman" w:hAnsi="Times New Roman" w:cs="Times New Roman"/>
          <w:sz w:val="24"/>
        </w:rPr>
        <w:t>CLL, chronic lymphocytic leukemia; R-CHOP, rituximab, cyclophosphamide, doxorubicin, vincristine, and prednisone.</w:t>
      </w:r>
    </w:p>
    <w:p w14:paraId="4CAA7A80" w14:textId="77777777" w:rsidR="00DF1BE0" w:rsidRPr="00DF1BE0" w:rsidRDefault="00DF1BE0" w:rsidP="00DF1BE0">
      <w:pPr>
        <w:pStyle w:val="Heading2"/>
        <w:ind w:left="576" w:hanging="576"/>
        <w:rPr>
          <w:rFonts w:cs="Times New Roman"/>
          <w:b w:val="0"/>
          <w:bCs/>
          <w:vanish/>
          <w:specVanish/>
        </w:rPr>
      </w:pPr>
      <w:r w:rsidRPr="00DF1BE0">
        <w:rPr>
          <w:rFonts w:cs="Times New Roman"/>
          <w:bCs/>
        </w:rPr>
        <w:t>Supplementary Table S2.</w:t>
      </w:r>
    </w:p>
    <w:p w14:paraId="432A5DA3" w14:textId="77777777" w:rsidR="00DF1BE0" w:rsidRPr="00A652DF" w:rsidRDefault="00DF1BE0" w:rsidP="00DF1BE0">
      <w:pPr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sz w:val="24"/>
        </w:rPr>
        <w:t xml:space="preserve"> Baseline laboratory values in the safety analysis set.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33"/>
        <w:gridCol w:w="1934"/>
        <w:gridCol w:w="1934"/>
      </w:tblGrid>
      <w:tr w:rsidR="00DF1BE0" w:rsidRPr="00A652DF" w14:paraId="091D7C3F" w14:textId="77777777" w:rsidTr="00083349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57079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Laboratory values, median (range)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14:paraId="64CAE95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Total population</w:t>
            </w:r>
          </w:p>
          <w:p w14:paraId="5767C038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n=237</w:t>
            </w:r>
            <w:r w:rsidRPr="00A652DF">
              <w:rPr>
                <w:rFonts w:ascii="Times New Roman" w:hAnsi="Times New Roman" w:cs="Times New Roman"/>
                <w:b/>
                <w:bCs/>
                <w:sz w:val="24"/>
                <w:vertAlign w:val="superscript"/>
              </w:rPr>
              <w:t>a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14:paraId="424614F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1L CLL</w:t>
            </w:r>
          </w:p>
          <w:p w14:paraId="159EFB6F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n=142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14:paraId="0F20918B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RR CLL</w:t>
            </w:r>
          </w:p>
          <w:p w14:paraId="6F7C2828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n=94</w:t>
            </w:r>
          </w:p>
        </w:tc>
      </w:tr>
      <w:tr w:rsidR="00DF1BE0" w:rsidRPr="00A652DF" w14:paraId="3B200185" w14:textId="77777777" w:rsidTr="00083349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4B343E2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IgA, mg/dL</w:t>
            </w:r>
          </w:p>
        </w:tc>
        <w:tc>
          <w:tcPr>
            <w:tcW w:w="1933" w:type="dxa"/>
            <w:tcBorders>
              <w:top w:val="single" w:sz="4" w:space="0" w:color="auto"/>
              <w:bottom w:val="nil"/>
            </w:tcBorders>
          </w:tcPr>
          <w:p w14:paraId="2E4119AA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74.0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(7.0–3769.0)</w:t>
            </w:r>
          </w:p>
        </w:tc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12824AC7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79.6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(11.0–3769.0)</w:t>
            </w:r>
          </w:p>
        </w:tc>
        <w:tc>
          <w:tcPr>
            <w:tcW w:w="1934" w:type="dxa"/>
            <w:tcBorders>
              <w:top w:val="single" w:sz="4" w:space="0" w:color="auto"/>
              <w:bottom w:val="nil"/>
            </w:tcBorders>
          </w:tcPr>
          <w:p w14:paraId="2B7B7ABA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70.0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(7.0–998.0)</w:t>
            </w:r>
          </w:p>
        </w:tc>
      </w:tr>
      <w:tr w:rsidR="00DF1BE0" w:rsidRPr="00A652DF" w14:paraId="380B2190" w14:textId="77777777" w:rsidTr="00083349">
        <w:tc>
          <w:tcPr>
            <w:tcW w:w="2694" w:type="dxa"/>
            <w:tcBorders>
              <w:top w:val="nil"/>
            </w:tcBorders>
          </w:tcPr>
          <w:p w14:paraId="55E71DE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IgG, mg/dL</w:t>
            </w:r>
          </w:p>
        </w:tc>
        <w:tc>
          <w:tcPr>
            <w:tcW w:w="1933" w:type="dxa"/>
            <w:tcBorders>
              <w:top w:val="nil"/>
            </w:tcBorders>
          </w:tcPr>
          <w:p w14:paraId="1E726DC0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830.5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(34.0–5,912.6)</w:t>
            </w:r>
          </w:p>
        </w:tc>
        <w:tc>
          <w:tcPr>
            <w:tcW w:w="1934" w:type="dxa"/>
            <w:tcBorders>
              <w:top w:val="nil"/>
            </w:tcBorders>
          </w:tcPr>
          <w:p w14:paraId="26E921E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946.0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(265.0–5,912.6)</w:t>
            </w:r>
          </w:p>
        </w:tc>
        <w:tc>
          <w:tcPr>
            <w:tcW w:w="1934" w:type="dxa"/>
            <w:tcBorders>
              <w:top w:val="nil"/>
            </w:tcBorders>
          </w:tcPr>
          <w:p w14:paraId="58C5D1B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626.0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(34.0–2,141.0)</w:t>
            </w:r>
          </w:p>
        </w:tc>
      </w:tr>
      <w:tr w:rsidR="00DF1BE0" w:rsidRPr="00A652DF" w14:paraId="267ABF18" w14:textId="77777777" w:rsidTr="00083349">
        <w:tc>
          <w:tcPr>
            <w:tcW w:w="2694" w:type="dxa"/>
          </w:tcPr>
          <w:p w14:paraId="1E13611D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IgM, mg/dL</w:t>
            </w:r>
          </w:p>
        </w:tc>
        <w:tc>
          <w:tcPr>
            <w:tcW w:w="1933" w:type="dxa"/>
          </w:tcPr>
          <w:p w14:paraId="68815A2B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29.0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(2.0–2,279.2)</w:t>
            </w:r>
          </w:p>
        </w:tc>
        <w:tc>
          <w:tcPr>
            <w:tcW w:w="1934" w:type="dxa"/>
          </w:tcPr>
          <w:p w14:paraId="456D0C25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39.0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(8.0–1,569.0)</w:t>
            </w:r>
          </w:p>
        </w:tc>
        <w:tc>
          <w:tcPr>
            <w:tcW w:w="1934" w:type="dxa"/>
          </w:tcPr>
          <w:p w14:paraId="0377D032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26.0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(2.0–2,279.2)</w:t>
            </w:r>
          </w:p>
        </w:tc>
      </w:tr>
      <w:tr w:rsidR="00DF1BE0" w:rsidRPr="00A652DF" w14:paraId="4718C703" w14:textId="77777777" w:rsidTr="00083349">
        <w:tc>
          <w:tcPr>
            <w:tcW w:w="2694" w:type="dxa"/>
          </w:tcPr>
          <w:p w14:paraId="4E01C6A6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WBC count, /</w:t>
            </w:r>
            <w:proofErr w:type="spellStart"/>
            <w:r w:rsidRPr="00A652DF">
              <w:rPr>
                <w:rFonts w:ascii="Times New Roman" w:hAnsi="Times New Roman" w:cs="Times New Roman"/>
                <w:sz w:val="24"/>
              </w:rPr>
              <w:t>μL</w:t>
            </w:r>
            <w:proofErr w:type="spellEnd"/>
          </w:p>
        </w:tc>
        <w:tc>
          <w:tcPr>
            <w:tcW w:w="1933" w:type="dxa"/>
          </w:tcPr>
          <w:p w14:paraId="352E9A5C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18,700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(1,239–384,800)</w:t>
            </w:r>
          </w:p>
        </w:tc>
        <w:tc>
          <w:tcPr>
            <w:tcW w:w="1934" w:type="dxa"/>
          </w:tcPr>
          <w:p w14:paraId="57E47CE8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20,200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(1,239–384,800)</w:t>
            </w:r>
          </w:p>
        </w:tc>
        <w:tc>
          <w:tcPr>
            <w:tcW w:w="1934" w:type="dxa"/>
          </w:tcPr>
          <w:p w14:paraId="7398C70A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16,310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(1,870–286,000)</w:t>
            </w:r>
          </w:p>
        </w:tc>
      </w:tr>
      <w:tr w:rsidR="00DF1BE0" w:rsidRPr="00A652DF" w14:paraId="2B59A7E6" w14:textId="77777777" w:rsidTr="00083349">
        <w:tc>
          <w:tcPr>
            <w:tcW w:w="2694" w:type="dxa"/>
          </w:tcPr>
          <w:p w14:paraId="1C97AC03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Neutrophil count, /</w:t>
            </w:r>
            <w:proofErr w:type="spellStart"/>
            <w:r w:rsidRPr="00A652DF">
              <w:rPr>
                <w:rFonts w:ascii="Times New Roman" w:hAnsi="Times New Roman" w:cs="Times New Roman"/>
                <w:sz w:val="24"/>
              </w:rPr>
              <w:t>μL</w:t>
            </w:r>
            <w:proofErr w:type="spellEnd"/>
          </w:p>
        </w:tc>
        <w:tc>
          <w:tcPr>
            <w:tcW w:w="1933" w:type="dxa"/>
          </w:tcPr>
          <w:p w14:paraId="01AEB47A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2,918.7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(0.0–22,072.0)</w:t>
            </w:r>
          </w:p>
        </w:tc>
        <w:tc>
          <w:tcPr>
            <w:tcW w:w="1934" w:type="dxa"/>
          </w:tcPr>
          <w:p w14:paraId="264E6771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3,068.5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(0.0–22,072.0)</w:t>
            </w:r>
          </w:p>
        </w:tc>
        <w:tc>
          <w:tcPr>
            <w:tcW w:w="1934" w:type="dxa"/>
          </w:tcPr>
          <w:p w14:paraId="28E31998" w14:textId="77777777" w:rsidR="00DF1BE0" w:rsidRPr="00A652DF" w:rsidRDefault="00DF1BE0" w:rsidP="00083349">
            <w:pPr>
              <w:widowControl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2,573.0</w:t>
            </w:r>
            <w:r w:rsidRPr="00A652DF">
              <w:rPr>
                <w:rFonts w:ascii="Times New Roman" w:hAnsi="Times New Roman" w:cs="Times New Roman"/>
                <w:sz w:val="24"/>
              </w:rPr>
              <w:br/>
              <w:t>(0.0–13,040.0)</w:t>
            </w:r>
          </w:p>
        </w:tc>
      </w:tr>
    </w:tbl>
    <w:p w14:paraId="298AE791" w14:textId="77777777" w:rsidR="00DF1BE0" w:rsidRPr="00A652DF" w:rsidRDefault="00DF1BE0" w:rsidP="00DF1BE0">
      <w:pPr>
        <w:widowControl/>
        <w:spacing w:after="200" w:line="276" w:lineRule="auto"/>
        <w:rPr>
          <w:rFonts w:ascii="Times New Roman" w:hAnsi="Times New Roman" w:cs="Times New Roman"/>
          <w:sz w:val="24"/>
        </w:rPr>
      </w:pPr>
      <w:proofErr w:type="spellStart"/>
      <w:r w:rsidRPr="00A652DF">
        <w:rPr>
          <w:rFonts w:ascii="Times New Roman" w:hAnsi="Times New Roman" w:cs="Times New Roman"/>
          <w:sz w:val="24"/>
          <w:vertAlign w:val="superscript"/>
        </w:rPr>
        <w:t>a</w:t>
      </w:r>
      <w:r w:rsidRPr="00A652DF">
        <w:rPr>
          <w:rFonts w:ascii="Times New Roman" w:hAnsi="Times New Roman" w:cs="Times New Roman"/>
          <w:sz w:val="24"/>
        </w:rPr>
        <w:t>Includes</w:t>
      </w:r>
      <w:proofErr w:type="spellEnd"/>
      <w:r w:rsidRPr="00A652DF">
        <w:rPr>
          <w:rFonts w:ascii="Times New Roman" w:hAnsi="Times New Roman" w:cs="Times New Roman"/>
          <w:sz w:val="24"/>
        </w:rPr>
        <w:t xml:space="preserve"> one patient with unknown CLL/SLL status, who met exclusion criteria immediately after registration and had no data collected thereafter.</w:t>
      </w:r>
    </w:p>
    <w:p w14:paraId="730A6750" w14:textId="77777777" w:rsidR="00C962B1" w:rsidRDefault="00DF1BE0" w:rsidP="00DF1BE0">
      <w:pPr>
        <w:spacing w:line="276" w:lineRule="auto"/>
        <w:rPr>
          <w:rFonts w:ascii="Times New Roman" w:hAnsi="Times New Roman" w:cs="Times New Roman"/>
          <w:sz w:val="24"/>
        </w:rPr>
        <w:sectPr w:rsidR="00C962B1" w:rsidSect="007D66D5">
          <w:endnotePr>
            <w:numFmt w:val="decimal"/>
          </w:endnotePr>
          <w:type w:val="continuous"/>
          <w:pgSz w:w="11907" w:h="16840" w:code="9"/>
          <w:pgMar w:top="1440" w:right="1701" w:bottom="1440" w:left="1701" w:header="1440" w:footer="1915" w:gutter="0"/>
          <w:cols w:space="720"/>
        </w:sectPr>
      </w:pPr>
      <w:r w:rsidRPr="00A652DF">
        <w:rPr>
          <w:rFonts w:ascii="Times New Roman" w:hAnsi="Times New Roman" w:cs="Times New Roman"/>
          <w:sz w:val="24"/>
        </w:rPr>
        <w:t>1L, first-line; CLL, chronic lymphocytic leukemia; IgA/G/M, immunoglobulin A/G/M; RR, relapsed or refractory; WBC, white blood cell.</w:t>
      </w:r>
    </w:p>
    <w:p w14:paraId="182F4B93" w14:textId="77777777" w:rsidR="00DF1BE0" w:rsidRPr="00DF1BE0" w:rsidRDefault="00DF1BE0" w:rsidP="00970396">
      <w:pPr>
        <w:pStyle w:val="Heading2"/>
        <w:spacing w:before="100" w:after="100"/>
        <w:rPr>
          <w:rFonts w:cs="Times New Roman"/>
          <w:b w:val="0"/>
          <w:bCs/>
          <w:vanish/>
          <w:specVanish/>
        </w:rPr>
      </w:pPr>
      <w:r w:rsidRPr="00DF1BE0">
        <w:rPr>
          <w:rFonts w:cs="Times New Roman"/>
          <w:bCs/>
        </w:rPr>
        <w:t>Supplementary Table S3.</w:t>
      </w:r>
    </w:p>
    <w:p w14:paraId="6972F934" w14:textId="77777777" w:rsidR="00DF1BE0" w:rsidRPr="00A652DF" w:rsidRDefault="00DF1BE0" w:rsidP="00345469">
      <w:pPr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sz w:val="24"/>
        </w:rPr>
        <w:t xml:space="preserve"> Summary of subsequent treatment after ibrutinib in the per-protocol set.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341"/>
        <w:gridCol w:w="1342"/>
      </w:tblGrid>
      <w:tr w:rsidR="00DF1BE0" w:rsidRPr="00A652DF" w14:paraId="1B84E7B9" w14:textId="77777777" w:rsidTr="00970396">
        <w:tc>
          <w:tcPr>
            <w:tcW w:w="5812" w:type="dxa"/>
            <w:tcBorders>
              <w:bottom w:val="single" w:sz="4" w:space="0" w:color="auto"/>
            </w:tcBorders>
          </w:tcPr>
          <w:p w14:paraId="7ACF1F92" w14:textId="77777777" w:rsidR="00DF1BE0" w:rsidRPr="00A652DF" w:rsidRDefault="00DF1BE0" w:rsidP="00083349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76FB2284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1L CLL</w:t>
            </w:r>
          </w:p>
          <w:p w14:paraId="1B68132C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n=141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2B44426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RR CLL</w:t>
            </w:r>
          </w:p>
          <w:p w14:paraId="58A70C04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652DF">
              <w:rPr>
                <w:rFonts w:ascii="Times New Roman" w:hAnsi="Times New Roman" w:cs="Times New Roman"/>
                <w:b/>
                <w:bCs/>
                <w:sz w:val="24"/>
              </w:rPr>
              <w:t>n=93</w:t>
            </w:r>
          </w:p>
        </w:tc>
      </w:tr>
      <w:tr w:rsidR="00DF1BE0" w:rsidRPr="00A652DF" w14:paraId="035F2879" w14:textId="77777777" w:rsidTr="00970396">
        <w:tc>
          <w:tcPr>
            <w:tcW w:w="5812" w:type="dxa"/>
            <w:tcBorders>
              <w:top w:val="single" w:sz="4" w:space="0" w:color="auto"/>
              <w:bottom w:val="nil"/>
            </w:tcBorders>
          </w:tcPr>
          <w:p w14:paraId="54BA6EC2" w14:textId="77777777" w:rsidR="00DF1BE0" w:rsidRPr="00A652DF" w:rsidRDefault="00DF1BE0" w:rsidP="00083349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Post-ibrutinib treatment, n (%)</w:t>
            </w:r>
          </w:p>
        </w:tc>
        <w:tc>
          <w:tcPr>
            <w:tcW w:w="1341" w:type="dxa"/>
            <w:tcBorders>
              <w:top w:val="single" w:sz="4" w:space="0" w:color="auto"/>
              <w:bottom w:val="nil"/>
            </w:tcBorders>
          </w:tcPr>
          <w:p w14:paraId="0F37FE6B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</w:tcPr>
          <w:p w14:paraId="7227FE99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1BE0" w:rsidRPr="00A652DF" w14:paraId="7BAA2BD1" w14:textId="77777777" w:rsidTr="00970396">
        <w:tc>
          <w:tcPr>
            <w:tcW w:w="5812" w:type="dxa"/>
            <w:tcBorders>
              <w:top w:val="nil"/>
            </w:tcBorders>
          </w:tcPr>
          <w:p w14:paraId="74A06B37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341" w:type="dxa"/>
            <w:tcBorders>
              <w:top w:val="nil"/>
            </w:tcBorders>
          </w:tcPr>
          <w:p w14:paraId="493E2533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31 (22.0)</w:t>
            </w:r>
          </w:p>
        </w:tc>
        <w:tc>
          <w:tcPr>
            <w:tcW w:w="1342" w:type="dxa"/>
            <w:tcBorders>
              <w:top w:val="nil"/>
            </w:tcBorders>
          </w:tcPr>
          <w:p w14:paraId="7025F80E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31 (33.3)</w:t>
            </w:r>
          </w:p>
        </w:tc>
      </w:tr>
      <w:tr w:rsidR="00DF1BE0" w:rsidRPr="00A652DF" w14:paraId="5F5CF278" w14:textId="77777777" w:rsidTr="00970396">
        <w:tc>
          <w:tcPr>
            <w:tcW w:w="5812" w:type="dxa"/>
          </w:tcPr>
          <w:p w14:paraId="4A5FDF25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1341" w:type="dxa"/>
          </w:tcPr>
          <w:p w14:paraId="5B006FC6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109 (77.3)</w:t>
            </w:r>
          </w:p>
        </w:tc>
        <w:tc>
          <w:tcPr>
            <w:tcW w:w="1342" w:type="dxa"/>
          </w:tcPr>
          <w:p w14:paraId="3ACCD6E5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62 (66.7)</w:t>
            </w:r>
          </w:p>
        </w:tc>
      </w:tr>
      <w:tr w:rsidR="00DF1BE0" w:rsidRPr="00A652DF" w14:paraId="051AC6BA" w14:textId="77777777" w:rsidTr="00970396">
        <w:tc>
          <w:tcPr>
            <w:tcW w:w="5812" w:type="dxa"/>
          </w:tcPr>
          <w:p w14:paraId="0BCED949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Unknown</w:t>
            </w:r>
          </w:p>
        </w:tc>
        <w:tc>
          <w:tcPr>
            <w:tcW w:w="1341" w:type="dxa"/>
          </w:tcPr>
          <w:p w14:paraId="19728A62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(0.7)</w:t>
            </w:r>
          </w:p>
        </w:tc>
        <w:tc>
          <w:tcPr>
            <w:tcW w:w="1342" w:type="dxa"/>
          </w:tcPr>
          <w:p w14:paraId="5A33824E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F1BE0" w:rsidRPr="00A652DF" w14:paraId="459C0CED" w14:textId="77777777" w:rsidTr="00970396">
        <w:tc>
          <w:tcPr>
            <w:tcW w:w="5812" w:type="dxa"/>
          </w:tcPr>
          <w:p w14:paraId="6F467F9F" w14:textId="77777777" w:rsidR="00DF1BE0" w:rsidRPr="00A652DF" w:rsidRDefault="00DF1BE0" w:rsidP="00083349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Regimen, n (%)</w:t>
            </w:r>
          </w:p>
        </w:tc>
        <w:tc>
          <w:tcPr>
            <w:tcW w:w="1341" w:type="dxa"/>
          </w:tcPr>
          <w:p w14:paraId="7E9ADD7C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n=31</w:t>
            </w:r>
          </w:p>
        </w:tc>
        <w:tc>
          <w:tcPr>
            <w:tcW w:w="1342" w:type="dxa"/>
          </w:tcPr>
          <w:p w14:paraId="162FDF73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n=31</w:t>
            </w:r>
          </w:p>
        </w:tc>
      </w:tr>
      <w:tr w:rsidR="00DF1BE0" w:rsidRPr="00A652DF" w14:paraId="6B68BC20" w14:textId="77777777" w:rsidTr="00970396">
        <w:tc>
          <w:tcPr>
            <w:tcW w:w="5812" w:type="dxa"/>
          </w:tcPr>
          <w:p w14:paraId="0EA8CB40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Venetoclax ± rituximab</w:t>
            </w:r>
          </w:p>
        </w:tc>
        <w:tc>
          <w:tcPr>
            <w:tcW w:w="1341" w:type="dxa"/>
          </w:tcPr>
          <w:p w14:paraId="7C89FFFB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12 (38.7)</w:t>
            </w:r>
          </w:p>
        </w:tc>
        <w:tc>
          <w:tcPr>
            <w:tcW w:w="1342" w:type="dxa"/>
          </w:tcPr>
          <w:p w14:paraId="552E470E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14 (45.2)</w:t>
            </w:r>
          </w:p>
        </w:tc>
      </w:tr>
      <w:tr w:rsidR="00DF1BE0" w:rsidRPr="00A652DF" w14:paraId="1EDA5B44" w14:textId="77777777" w:rsidTr="00970396">
        <w:tc>
          <w:tcPr>
            <w:tcW w:w="5812" w:type="dxa"/>
          </w:tcPr>
          <w:p w14:paraId="2C0601E0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Acalabrutinib</w:t>
            </w:r>
          </w:p>
        </w:tc>
        <w:tc>
          <w:tcPr>
            <w:tcW w:w="1341" w:type="dxa"/>
          </w:tcPr>
          <w:p w14:paraId="7D82B7BA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10 (32.3)</w:t>
            </w:r>
          </w:p>
        </w:tc>
        <w:tc>
          <w:tcPr>
            <w:tcW w:w="1342" w:type="dxa"/>
          </w:tcPr>
          <w:p w14:paraId="1ACF541B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(6.5)</w:t>
            </w:r>
          </w:p>
        </w:tc>
      </w:tr>
      <w:tr w:rsidR="00DF1BE0" w:rsidRPr="00A652DF" w14:paraId="5044D260" w14:textId="77777777" w:rsidTr="00970396">
        <w:tc>
          <w:tcPr>
            <w:tcW w:w="5812" w:type="dxa"/>
          </w:tcPr>
          <w:p w14:paraId="39EBEFCF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R-CHOP</w:t>
            </w:r>
          </w:p>
        </w:tc>
        <w:tc>
          <w:tcPr>
            <w:tcW w:w="1341" w:type="dxa"/>
          </w:tcPr>
          <w:p w14:paraId="2B5BA334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(6.5)</w:t>
            </w:r>
          </w:p>
        </w:tc>
        <w:tc>
          <w:tcPr>
            <w:tcW w:w="1342" w:type="dxa"/>
          </w:tcPr>
          <w:p w14:paraId="7590D4E9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3 (9.7)</w:t>
            </w:r>
          </w:p>
        </w:tc>
      </w:tr>
      <w:tr w:rsidR="00DF1BE0" w:rsidRPr="00A652DF" w14:paraId="30E6FC96" w14:textId="77777777" w:rsidTr="00970396">
        <w:tc>
          <w:tcPr>
            <w:tcW w:w="5812" w:type="dxa"/>
          </w:tcPr>
          <w:p w14:paraId="7B477DB8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Bendamustine + rituximab</w:t>
            </w:r>
          </w:p>
        </w:tc>
        <w:tc>
          <w:tcPr>
            <w:tcW w:w="1341" w:type="dxa"/>
          </w:tcPr>
          <w:p w14:paraId="00AEFBAD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(6.5)</w:t>
            </w:r>
          </w:p>
        </w:tc>
        <w:tc>
          <w:tcPr>
            <w:tcW w:w="1342" w:type="dxa"/>
          </w:tcPr>
          <w:p w14:paraId="53F9CAD4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</w:tr>
      <w:tr w:rsidR="00DF1BE0" w:rsidRPr="00A652DF" w14:paraId="0DF0197C" w14:textId="77777777" w:rsidTr="00970396">
        <w:tc>
          <w:tcPr>
            <w:tcW w:w="5812" w:type="dxa"/>
          </w:tcPr>
          <w:p w14:paraId="2874D611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Corticosteroid</w:t>
            </w:r>
          </w:p>
        </w:tc>
        <w:tc>
          <w:tcPr>
            <w:tcW w:w="1341" w:type="dxa"/>
          </w:tcPr>
          <w:p w14:paraId="25452045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(6.5)</w:t>
            </w:r>
          </w:p>
        </w:tc>
        <w:tc>
          <w:tcPr>
            <w:tcW w:w="1342" w:type="dxa"/>
          </w:tcPr>
          <w:p w14:paraId="67F3C597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</w:tr>
      <w:tr w:rsidR="00DF1BE0" w:rsidRPr="00A652DF" w14:paraId="58DD44EA" w14:textId="77777777" w:rsidTr="00970396">
        <w:tc>
          <w:tcPr>
            <w:tcW w:w="5812" w:type="dxa"/>
          </w:tcPr>
          <w:p w14:paraId="4F0E658A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Doxorubicin + bleomycin + vinblastine + dacarbazine</w:t>
            </w:r>
          </w:p>
        </w:tc>
        <w:tc>
          <w:tcPr>
            <w:tcW w:w="1341" w:type="dxa"/>
            <w:vAlign w:val="center"/>
          </w:tcPr>
          <w:p w14:paraId="765A4183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  <w:tc>
          <w:tcPr>
            <w:tcW w:w="1342" w:type="dxa"/>
            <w:vAlign w:val="center"/>
          </w:tcPr>
          <w:p w14:paraId="7F902B62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F1BE0" w:rsidRPr="00A652DF" w14:paraId="60D3CA72" w14:textId="77777777" w:rsidTr="00970396">
        <w:tc>
          <w:tcPr>
            <w:tcW w:w="5812" w:type="dxa"/>
          </w:tcPr>
          <w:p w14:paraId="3BA997A8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Etoposide</w:t>
            </w:r>
          </w:p>
        </w:tc>
        <w:tc>
          <w:tcPr>
            <w:tcW w:w="1341" w:type="dxa"/>
          </w:tcPr>
          <w:p w14:paraId="742BC8EB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  <w:tc>
          <w:tcPr>
            <w:tcW w:w="1342" w:type="dxa"/>
          </w:tcPr>
          <w:p w14:paraId="4EC7C4C0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F1BE0" w:rsidRPr="00A652DF" w14:paraId="251F2AF6" w14:textId="77777777" w:rsidTr="00970396">
        <w:tc>
          <w:tcPr>
            <w:tcW w:w="5812" w:type="dxa"/>
          </w:tcPr>
          <w:p w14:paraId="380A694E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Rituximab</w:t>
            </w:r>
          </w:p>
        </w:tc>
        <w:tc>
          <w:tcPr>
            <w:tcW w:w="1341" w:type="dxa"/>
          </w:tcPr>
          <w:p w14:paraId="0276B2C7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  <w:tc>
          <w:tcPr>
            <w:tcW w:w="1342" w:type="dxa"/>
          </w:tcPr>
          <w:p w14:paraId="1EB51CD0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F1BE0" w:rsidRPr="00A652DF" w14:paraId="3E87E94E" w14:textId="77777777" w:rsidTr="00970396">
        <w:tc>
          <w:tcPr>
            <w:tcW w:w="5812" w:type="dxa"/>
          </w:tcPr>
          <w:p w14:paraId="37BFF037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</w:t>
            </w:r>
          </w:p>
        </w:tc>
        <w:tc>
          <w:tcPr>
            <w:tcW w:w="1341" w:type="dxa"/>
          </w:tcPr>
          <w:p w14:paraId="596F4772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2" w:type="dxa"/>
          </w:tcPr>
          <w:p w14:paraId="1D14B59C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4 (12.9)</w:t>
            </w:r>
          </w:p>
        </w:tc>
      </w:tr>
      <w:tr w:rsidR="00DF1BE0" w:rsidRPr="00A652DF" w14:paraId="12C3AABA" w14:textId="77777777" w:rsidTr="00970396">
        <w:tc>
          <w:tcPr>
            <w:tcW w:w="5812" w:type="dxa"/>
          </w:tcPr>
          <w:p w14:paraId="7F0E21AF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Fludarabine</w:t>
            </w:r>
          </w:p>
        </w:tc>
        <w:tc>
          <w:tcPr>
            <w:tcW w:w="1341" w:type="dxa"/>
          </w:tcPr>
          <w:p w14:paraId="5C2F3A4C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2" w:type="dxa"/>
          </w:tcPr>
          <w:p w14:paraId="1ADC5C0A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2 (6.5)</w:t>
            </w:r>
          </w:p>
        </w:tc>
      </w:tr>
      <w:tr w:rsidR="00DF1BE0" w:rsidRPr="00A652DF" w14:paraId="3BEFDEC1" w14:textId="77777777" w:rsidTr="00970396">
        <w:tc>
          <w:tcPr>
            <w:tcW w:w="5812" w:type="dxa"/>
          </w:tcPr>
          <w:p w14:paraId="777952CC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Bendamustine</w:t>
            </w:r>
          </w:p>
        </w:tc>
        <w:tc>
          <w:tcPr>
            <w:tcW w:w="1341" w:type="dxa"/>
          </w:tcPr>
          <w:p w14:paraId="046A42EA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2" w:type="dxa"/>
          </w:tcPr>
          <w:p w14:paraId="7B95C693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</w:tr>
      <w:tr w:rsidR="00DF1BE0" w:rsidRPr="00A652DF" w14:paraId="44EAF7EB" w14:textId="77777777" w:rsidTr="00970396">
        <w:tc>
          <w:tcPr>
            <w:tcW w:w="5812" w:type="dxa"/>
          </w:tcPr>
          <w:p w14:paraId="7C415492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Cyclophosphamide + corticosteroid</w:t>
            </w:r>
          </w:p>
        </w:tc>
        <w:tc>
          <w:tcPr>
            <w:tcW w:w="1341" w:type="dxa"/>
          </w:tcPr>
          <w:p w14:paraId="715669A9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2" w:type="dxa"/>
          </w:tcPr>
          <w:p w14:paraId="1B2065B8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</w:tr>
      <w:tr w:rsidR="00DF1BE0" w:rsidRPr="00A652DF" w14:paraId="65F0F198" w14:textId="77777777" w:rsidTr="00970396">
        <w:tc>
          <w:tcPr>
            <w:tcW w:w="5812" w:type="dxa"/>
          </w:tcPr>
          <w:p w14:paraId="0535D56E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Hydroxycarbamide</w:t>
            </w:r>
          </w:p>
        </w:tc>
        <w:tc>
          <w:tcPr>
            <w:tcW w:w="1341" w:type="dxa"/>
          </w:tcPr>
          <w:p w14:paraId="7D499561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2" w:type="dxa"/>
          </w:tcPr>
          <w:p w14:paraId="0AF4A1D4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</w:tr>
      <w:tr w:rsidR="00DF1BE0" w:rsidRPr="00A652DF" w14:paraId="32E6AD61" w14:textId="77777777" w:rsidTr="00970396">
        <w:tc>
          <w:tcPr>
            <w:tcW w:w="5812" w:type="dxa"/>
          </w:tcPr>
          <w:p w14:paraId="67713B2B" w14:textId="77777777" w:rsidR="00DF1BE0" w:rsidRPr="00A652DF" w:rsidRDefault="00DF1BE0" w:rsidP="00083349">
            <w:pPr>
              <w:spacing w:before="0" w:beforeAutospacing="0" w:after="0" w:afterAutospacing="0" w:line="276" w:lineRule="auto"/>
              <w:ind w:left="283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Ofatumumab</w:t>
            </w:r>
          </w:p>
        </w:tc>
        <w:tc>
          <w:tcPr>
            <w:tcW w:w="1341" w:type="dxa"/>
          </w:tcPr>
          <w:p w14:paraId="7DF7D07C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42" w:type="dxa"/>
          </w:tcPr>
          <w:p w14:paraId="27062C85" w14:textId="77777777" w:rsidR="00DF1BE0" w:rsidRPr="00A652DF" w:rsidRDefault="00DF1BE0" w:rsidP="0008334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652DF">
              <w:rPr>
                <w:rFonts w:ascii="Times New Roman" w:hAnsi="Times New Roman" w:cs="Times New Roman"/>
                <w:sz w:val="24"/>
              </w:rPr>
              <w:t>1 (3.2)</w:t>
            </w:r>
          </w:p>
        </w:tc>
      </w:tr>
    </w:tbl>
    <w:p w14:paraId="56962B84" w14:textId="77777777" w:rsidR="00DF1BE0" w:rsidRPr="00A652DF" w:rsidRDefault="00DF1BE0" w:rsidP="00DF1BE0">
      <w:pPr>
        <w:spacing w:line="276" w:lineRule="auto"/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sz w:val="24"/>
          <w:lang w:eastAsia="en-NZ"/>
        </w:rPr>
        <w:t xml:space="preserve">1L, first-line; CLL, chronic lymphocytic leukemia; </w:t>
      </w:r>
      <w:r w:rsidRPr="00A652DF">
        <w:rPr>
          <w:rFonts w:ascii="Times New Roman" w:hAnsi="Times New Roman" w:cs="Times New Roman"/>
          <w:sz w:val="24"/>
        </w:rPr>
        <w:t>R-CHOP, rituximab, cyclophosphamide, doxorubicin, vincristine, and prednisone;</w:t>
      </w:r>
      <w:r w:rsidRPr="00A652DF">
        <w:rPr>
          <w:rFonts w:ascii="Times New Roman" w:hAnsi="Times New Roman" w:cs="Times New Roman"/>
          <w:sz w:val="24"/>
          <w:lang w:eastAsia="en-NZ"/>
        </w:rPr>
        <w:t xml:space="preserve"> RR, relapsed or refractory.</w:t>
      </w:r>
    </w:p>
    <w:p w14:paraId="5A105984" w14:textId="77777777" w:rsidR="00DF1BE0" w:rsidRPr="00A652DF" w:rsidRDefault="00DF1BE0" w:rsidP="00DF1BE0">
      <w:pPr>
        <w:tabs>
          <w:tab w:val="left" w:pos="360"/>
          <w:tab w:val="center" w:pos="4513"/>
        </w:tabs>
        <w:spacing w:line="440" w:lineRule="exact"/>
        <w:rPr>
          <w:rFonts w:ascii="Times New Roman" w:hAnsi="Times New Roman" w:cs="Times New Roman"/>
          <w:sz w:val="24"/>
          <w:highlight w:val="yellow"/>
        </w:rPr>
        <w:sectPr w:rsidR="00DF1BE0" w:rsidRPr="00A652DF" w:rsidSect="007D66D5">
          <w:endnotePr>
            <w:numFmt w:val="decimal"/>
          </w:endnotePr>
          <w:type w:val="continuous"/>
          <w:pgSz w:w="11907" w:h="16840" w:code="9"/>
          <w:pgMar w:top="1440" w:right="1701" w:bottom="1440" w:left="1701" w:header="1440" w:footer="1915" w:gutter="0"/>
          <w:cols w:space="720"/>
        </w:sectPr>
      </w:pPr>
    </w:p>
    <w:p w14:paraId="404712BE" w14:textId="77777777" w:rsidR="00DF1BE0" w:rsidRPr="00DF1BE0" w:rsidRDefault="00DF1BE0" w:rsidP="00DF1BE0">
      <w:pPr>
        <w:pStyle w:val="Heading2"/>
        <w:ind w:left="576" w:hanging="576"/>
        <w:rPr>
          <w:rFonts w:cs="Times New Roman"/>
          <w:b w:val="0"/>
          <w:bCs/>
          <w:vanish/>
          <w:lang w:eastAsia="en-NZ"/>
          <w:specVanish/>
        </w:rPr>
      </w:pPr>
      <w:r w:rsidRPr="00DF1BE0">
        <w:rPr>
          <w:rFonts w:cs="Times New Roman"/>
          <w:bCs/>
          <w:lang w:eastAsia="en-NZ"/>
        </w:rPr>
        <w:t>Supplementary Figure S1.</w:t>
      </w:r>
    </w:p>
    <w:p w14:paraId="01A6CB2F" w14:textId="77777777" w:rsidR="00DF1BE0" w:rsidRDefault="00DF1BE0" w:rsidP="00DF1BE0">
      <w:pPr>
        <w:rPr>
          <w:rFonts w:ascii="Times New Roman" w:hAnsi="Times New Roman" w:cs="Times New Roman"/>
          <w:sz w:val="24"/>
          <w:lang w:eastAsia="en-NZ"/>
        </w:rPr>
      </w:pPr>
      <w:r w:rsidRPr="00A652DF">
        <w:rPr>
          <w:rFonts w:ascii="Times New Roman" w:hAnsi="Times New Roman" w:cs="Times New Roman"/>
          <w:sz w:val="24"/>
          <w:lang w:eastAsia="en-NZ"/>
        </w:rPr>
        <w:t xml:space="preserve"> Study design.</w:t>
      </w:r>
    </w:p>
    <w:p w14:paraId="76CD7A7A" w14:textId="77777777" w:rsidR="00DF1BE0" w:rsidRPr="00A652DF" w:rsidRDefault="00DF1BE0" w:rsidP="00DF1BE0">
      <w:pPr>
        <w:rPr>
          <w:rFonts w:ascii="Times New Roman" w:hAnsi="Times New Roman" w:cs="Times New Roman"/>
          <w:sz w:val="24"/>
          <w:lang w:eastAsia="en-NZ"/>
        </w:rPr>
      </w:pPr>
      <w:r w:rsidRPr="005038D7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2E71CDA0" wp14:editId="22FFDAF6">
            <wp:extent cx="5381775" cy="1613140"/>
            <wp:effectExtent l="0" t="0" r="0" b="6350"/>
            <wp:docPr id="1217181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81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3797" cy="162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08133" w14:textId="77777777" w:rsidR="00DF1BE0" w:rsidRPr="00A652DF" w:rsidRDefault="00DF1BE0" w:rsidP="00DF1BE0">
      <w:pPr>
        <w:spacing w:line="240" w:lineRule="auto"/>
        <w:rPr>
          <w:rFonts w:ascii="Times New Roman" w:hAnsi="Times New Roman" w:cs="Times New Roman"/>
          <w:sz w:val="24"/>
          <w:lang w:eastAsia="en-NZ"/>
        </w:rPr>
      </w:pPr>
      <w:r w:rsidRPr="00A652DF">
        <w:rPr>
          <w:rFonts w:ascii="Times New Roman" w:hAnsi="Times New Roman" w:cs="Times New Roman"/>
          <w:sz w:val="24"/>
          <w:lang w:eastAsia="en-NZ"/>
        </w:rPr>
        <w:t>1L, first-line; CLL, chronic lymphocytic leukemia; RR, relapsed or refractory; SLL, small lymphocytic lymphoma.</w:t>
      </w:r>
    </w:p>
    <w:p w14:paraId="16C94FAE" w14:textId="77777777" w:rsidR="00DF1BE0" w:rsidRPr="00A652DF" w:rsidRDefault="00DF1BE0" w:rsidP="00DF1BE0">
      <w:pPr>
        <w:rPr>
          <w:rFonts w:ascii="Times New Roman" w:hAnsi="Times New Roman" w:cs="Times New Roman"/>
          <w:b/>
          <w:bCs/>
          <w:sz w:val="24"/>
          <w:highlight w:val="yellow"/>
          <w:lang w:eastAsia="en-NZ"/>
        </w:rPr>
        <w:sectPr w:rsidR="00DF1BE0" w:rsidRPr="00A652DF" w:rsidSect="007D66D5">
          <w:endnotePr>
            <w:numFmt w:val="decimal"/>
          </w:endnotePr>
          <w:type w:val="continuous"/>
          <w:pgSz w:w="11906" w:h="16838" w:code="9"/>
          <w:pgMar w:top="1440" w:right="1701" w:bottom="1440" w:left="1701" w:header="1440" w:footer="1440" w:gutter="0"/>
          <w:cols w:space="720"/>
          <w:docGrid w:linePitch="326"/>
        </w:sectPr>
      </w:pPr>
    </w:p>
    <w:p w14:paraId="44028AFF" w14:textId="77777777" w:rsidR="00DF1BE0" w:rsidRPr="00DF1BE0" w:rsidRDefault="00DF1BE0" w:rsidP="00DF1BE0">
      <w:pPr>
        <w:pStyle w:val="Heading2"/>
        <w:ind w:left="576" w:hanging="576"/>
        <w:rPr>
          <w:rFonts w:cs="Times New Roman"/>
          <w:b w:val="0"/>
          <w:bCs/>
          <w:vanish/>
          <w:specVanish/>
        </w:rPr>
      </w:pPr>
      <w:r w:rsidRPr="00DF1BE0">
        <w:rPr>
          <w:rFonts w:cs="Times New Roman"/>
          <w:bCs/>
        </w:rPr>
        <w:t>Supplementary Figure S2.</w:t>
      </w:r>
    </w:p>
    <w:p w14:paraId="309B28BD" w14:textId="77777777" w:rsidR="00DF1BE0" w:rsidRPr="00A652DF" w:rsidRDefault="00DF1BE0" w:rsidP="00DF1BE0">
      <w:pPr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sz w:val="24"/>
        </w:rPr>
        <w:t xml:space="preserve"> Kaplan–Meier curves of time to next treatment in patients with chronic lymphocytic leukemia receiving ibrutinib as (a) first-line therapy and (b) for relapsed or refractory disease in the per</w:t>
      </w:r>
      <w:r>
        <w:rPr>
          <w:rFonts w:ascii="Times New Roman" w:hAnsi="Times New Roman" w:cs="Times New Roman"/>
          <w:sz w:val="24"/>
        </w:rPr>
        <w:t>-</w:t>
      </w:r>
      <w:r w:rsidRPr="00A652DF">
        <w:rPr>
          <w:rFonts w:ascii="Times New Roman" w:hAnsi="Times New Roman" w:cs="Times New Roman"/>
          <w:sz w:val="24"/>
        </w:rPr>
        <w:t>protocol set.</w:t>
      </w:r>
    </w:p>
    <w:p w14:paraId="4B7694CE" w14:textId="77777777" w:rsidR="00DF1BE0" w:rsidRPr="00A652DF" w:rsidRDefault="00DF1BE0" w:rsidP="00DF1BE0">
      <w:pPr>
        <w:spacing w:line="240" w:lineRule="auto"/>
        <w:rPr>
          <w:rFonts w:ascii="Times New Roman" w:hAnsi="Times New Roman" w:cs="Times New Roman"/>
          <w:sz w:val="24"/>
        </w:rPr>
      </w:pPr>
      <w:r w:rsidRPr="00A652DF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5B194E1C" wp14:editId="2744634D">
            <wp:extent cx="5736566" cy="63269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73" cy="634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C0E37" w14:textId="656D88CF" w:rsidR="00CE7823" w:rsidRDefault="00DF1BE0" w:rsidP="008F1095">
      <w:pPr>
        <w:widowControl/>
        <w:spacing w:before="0" w:beforeAutospacing="0" w:after="0" w:afterAutospacing="0" w:line="240" w:lineRule="auto"/>
      </w:pPr>
      <w:r w:rsidRPr="00A652DF">
        <w:rPr>
          <w:rFonts w:ascii="Times New Roman" w:hAnsi="Times New Roman" w:cs="Times New Roman"/>
          <w:sz w:val="24"/>
        </w:rPr>
        <w:t>1L, first-line; CI, confidence interval; CLL, chronic lymphocytic leukemia; No., number; RR, relapsed or refractory; TTNT, time to next treatment.</w:t>
      </w:r>
      <w:bookmarkStart w:id="0" w:name="_GoBack"/>
      <w:bookmarkEnd w:id="0"/>
    </w:p>
    <w:sectPr w:rsidR="00CE7823" w:rsidSect="007D66D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E0"/>
    <w:rsid w:val="000D2A1D"/>
    <w:rsid w:val="000F174E"/>
    <w:rsid w:val="00160DEB"/>
    <w:rsid w:val="00203FDA"/>
    <w:rsid w:val="00303DB7"/>
    <w:rsid w:val="00345469"/>
    <w:rsid w:val="00525D35"/>
    <w:rsid w:val="005B487F"/>
    <w:rsid w:val="006D61E9"/>
    <w:rsid w:val="007D66D5"/>
    <w:rsid w:val="007F494C"/>
    <w:rsid w:val="008443E9"/>
    <w:rsid w:val="008F1095"/>
    <w:rsid w:val="00970396"/>
    <w:rsid w:val="00A63120"/>
    <w:rsid w:val="00B54EA1"/>
    <w:rsid w:val="00B807E2"/>
    <w:rsid w:val="00C34CEF"/>
    <w:rsid w:val="00C962B1"/>
    <w:rsid w:val="00CE7823"/>
    <w:rsid w:val="00D87034"/>
    <w:rsid w:val="00DF1BE0"/>
    <w:rsid w:val="00EF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AF16"/>
  <w15:chartTrackingRefBased/>
  <w15:docId w15:val="{5626D747-D74D-4002-AF52-871F8A34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BE0"/>
    <w:pPr>
      <w:widowControl w:val="0"/>
      <w:spacing w:before="100" w:beforeAutospacing="1" w:after="100" w:afterAutospacing="1" w:line="480" w:lineRule="auto"/>
    </w:pPr>
    <w:rPr>
      <w:rFonts w:ascii="Calibri" w:eastAsia="Batang" w:hAnsi="Calibri" w:cs="Vrinda"/>
      <w:szCs w:val="24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962B1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F4761" w:themeColor="accent1" w:themeShade="BF"/>
      <w:sz w:val="28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F174E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F1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F1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F1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F1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F1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F1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F1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2B1"/>
    <w:rPr>
      <w:rFonts w:ascii="Times New Roman" w:eastAsiaTheme="majorEastAsia" w:hAnsi="Times New Roman" w:cstheme="majorBidi"/>
      <w:b/>
      <w:color w:val="0F4761" w:themeColor="accent1" w:themeShade="BF"/>
      <w:sz w:val="28"/>
      <w:szCs w:val="40"/>
      <w:lang w:eastAsia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0F174E"/>
    <w:rPr>
      <w:rFonts w:ascii="Times New Roman" w:eastAsiaTheme="majorEastAsia" w:hAnsi="Times New Roman" w:cstheme="majorBidi"/>
      <w:b/>
      <w:sz w:val="24"/>
      <w:szCs w:val="32"/>
      <w:lang w:eastAsia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E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rsid w:val="00DF1B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1BE0"/>
    <w:pPr>
      <w:spacing w:line="240" w:lineRule="auto"/>
    </w:pPr>
    <w:rPr>
      <w:rFonts w:eastAsia="Arial"/>
      <w:szCs w:val="20"/>
    </w:rPr>
  </w:style>
  <w:style w:type="character" w:customStyle="1" w:styleId="CommentTextChar">
    <w:name w:val="Comment Text Char"/>
    <w:basedOn w:val="DefaultParagraphFont"/>
    <w:link w:val="CommentText"/>
    <w:rsid w:val="00DF1BE0"/>
    <w:rPr>
      <w:rFonts w:ascii="Calibri" w:eastAsia="Arial" w:hAnsi="Calibri" w:cs="Vrinda"/>
      <w:szCs w:val="20"/>
      <w:lang w:eastAsia="ko-KR"/>
      <w14:ligatures w14:val="none"/>
    </w:rPr>
  </w:style>
  <w:style w:type="paragraph" w:styleId="Revision">
    <w:name w:val="Revision"/>
    <w:hidden/>
    <w:uiPriority w:val="99"/>
    <w:semiHidden/>
    <w:rsid w:val="00DF1BE0"/>
    <w:pPr>
      <w:spacing w:after="0" w:line="240" w:lineRule="auto"/>
    </w:pPr>
    <w:rPr>
      <w:rFonts w:ascii="Calibri" w:eastAsia="Batang" w:hAnsi="Calibri" w:cs="Vrinda"/>
      <w:szCs w:val="24"/>
      <w:lang w:eastAsia="ko-KR"/>
      <w14:ligatures w14:val="none"/>
    </w:rPr>
  </w:style>
  <w:style w:type="table" w:styleId="TableGrid">
    <w:name w:val="Table Grid"/>
    <w:basedOn w:val="TableNormal"/>
    <w:uiPriority w:val="59"/>
    <w:rsid w:val="00DF1BE0"/>
    <w:pPr>
      <w:widowControl w:val="0"/>
      <w:spacing w:after="240" w:line="240" w:lineRule="auto"/>
    </w:pPr>
    <w:rPr>
      <w:rFonts w:ascii="Times New Roman" w:eastAsia="Batang" w:hAnsi="Times New Roman" w:cs="Times New Roman"/>
      <w:sz w:val="20"/>
      <w:szCs w:val="20"/>
      <w:lang w:val="en-NZ"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 [IM]</dc:creator>
  <cp:keywords/>
  <dc:description/>
  <cp:lastModifiedBy>Paul Alexander D Dennis MP</cp:lastModifiedBy>
  <cp:revision>6</cp:revision>
  <dcterms:created xsi:type="dcterms:W3CDTF">2024-08-15T21:10:00Z</dcterms:created>
  <dcterms:modified xsi:type="dcterms:W3CDTF">2024-11-12T00:49:00Z</dcterms:modified>
</cp:coreProperties>
</file>