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B4270" w14:textId="77777777" w:rsidR="00DC01E3" w:rsidRPr="00C920D4" w:rsidRDefault="00DC01E3" w:rsidP="00DC01E3">
      <w:pPr>
        <w:jc w:val="center"/>
        <w:rPr>
          <w:rFonts w:ascii="Times New Roman" w:hAnsi="Times New Roman" w:cs="Times New Roman"/>
          <w:b/>
          <w:sz w:val="22"/>
        </w:rPr>
      </w:pPr>
      <w:r w:rsidRPr="00C920D4">
        <w:rPr>
          <w:rFonts w:ascii="Times New Roman" w:hAnsi="Times New Roman" w:cs="Times New Roman"/>
          <w:b/>
          <w:sz w:val="22"/>
        </w:rPr>
        <w:t>Supplementary Material</w:t>
      </w:r>
    </w:p>
    <w:p w14:paraId="0450BAE0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</w:p>
    <w:p w14:paraId="01997AAF" w14:textId="77777777" w:rsidR="00DC01E3" w:rsidRPr="00C920D4" w:rsidRDefault="00DC01E3" w:rsidP="00DC01E3">
      <w:pPr>
        <w:rPr>
          <w:rFonts w:ascii="Times New Roman" w:hAnsi="Times New Roman" w:cs="Times New Roman"/>
          <w:b/>
          <w:bCs/>
          <w:sz w:val="22"/>
        </w:rPr>
      </w:pPr>
      <w:r w:rsidRPr="00C920D4">
        <w:rPr>
          <w:rFonts w:ascii="Times New Roman" w:hAnsi="Times New Roman" w:cs="Times New Roman" w:hint="eastAsia"/>
          <w:b/>
          <w:bCs/>
          <w:sz w:val="22"/>
        </w:rPr>
        <w:t>･</w:t>
      </w:r>
      <w:r w:rsidRPr="00C920D4">
        <w:rPr>
          <w:rFonts w:ascii="Times New Roman" w:hAnsi="Times New Roman" w:cs="Times New Roman"/>
          <w:b/>
          <w:bCs/>
          <w:sz w:val="22"/>
        </w:rPr>
        <w:t>Title</w:t>
      </w:r>
    </w:p>
    <w:p w14:paraId="78043335" w14:textId="77777777" w:rsidR="00DC01E3" w:rsidRPr="00C920D4" w:rsidRDefault="00DC01E3" w:rsidP="00DC01E3">
      <w:pPr>
        <w:rPr>
          <w:rFonts w:ascii="Times New Roman" w:hAnsi="Times New Roman" w:cs="Times New Roman"/>
          <w:b/>
          <w:bCs/>
          <w:sz w:val="22"/>
        </w:rPr>
      </w:pPr>
      <w:r w:rsidRPr="00C920D4">
        <w:rPr>
          <w:rFonts w:ascii="Times New Roman" w:hAnsi="Times New Roman" w:cs="Times New Roman"/>
          <w:b/>
          <w:bCs/>
          <w:sz w:val="22"/>
        </w:rPr>
        <w:t>Safety</w:t>
      </w:r>
      <w:r w:rsidRPr="00C920D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C920D4">
        <w:rPr>
          <w:rFonts w:ascii="Times New Roman" w:hAnsi="Times New Roman" w:cs="Times New Roman"/>
          <w:b/>
          <w:bCs/>
          <w:sz w:val="22"/>
        </w:rPr>
        <w:t>of liposomal daunorubicin-cytarabine (CPX-351) in secondary AML: Japanese P1/2 study and global P3 study</w:t>
      </w:r>
    </w:p>
    <w:p w14:paraId="542D7BD4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</w:p>
    <w:p w14:paraId="0C38D40D" w14:textId="77777777" w:rsidR="00DC01E3" w:rsidRPr="00C920D4" w:rsidRDefault="00DC01E3" w:rsidP="00DC01E3">
      <w:pPr>
        <w:rPr>
          <w:rFonts w:ascii="Times New Roman" w:hAnsi="Times New Roman" w:cs="Times New Roman"/>
          <w:b/>
          <w:bCs/>
          <w:sz w:val="22"/>
        </w:rPr>
      </w:pPr>
      <w:r w:rsidRPr="00C920D4">
        <w:rPr>
          <w:rFonts w:ascii="Times New Roman" w:hAnsi="Times New Roman" w:cs="Times New Roman" w:hint="eastAsia"/>
          <w:b/>
          <w:bCs/>
          <w:sz w:val="22"/>
        </w:rPr>
        <w:t>･</w:t>
      </w:r>
      <w:r w:rsidRPr="00C920D4">
        <w:rPr>
          <w:rFonts w:ascii="Times New Roman" w:hAnsi="Times New Roman" w:cs="Times New Roman"/>
          <w:b/>
          <w:bCs/>
          <w:sz w:val="22"/>
        </w:rPr>
        <w:t>Author names and affiliations</w:t>
      </w:r>
    </w:p>
    <w:p w14:paraId="7B2BB6EF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/>
          <w:sz w:val="22"/>
        </w:rPr>
        <w:t>Naoko Hosono</w:t>
      </w:r>
      <w:r w:rsidRPr="00C920D4">
        <w:rPr>
          <w:rFonts w:ascii="Times New Roman" w:hAnsi="Times New Roman" w:cs="Times New Roman"/>
          <w:sz w:val="22"/>
          <w:vertAlign w:val="superscript"/>
        </w:rPr>
        <w:t>1</w:t>
      </w:r>
      <w:r w:rsidRPr="00C920D4">
        <w:rPr>
          <w:rFonts w:ascii="Times New Roman" w:hAnsi="Times New Roman" w:cs="Times New Roman"/>
          <w:sz w:val="22"/>
        </w:rPr>
        <w:t>, Yusaku Tomiyama</w:t>
      </w:r>
      <w:r w:rsidRPr="00C920D4">
        <w:rPr>
          <w:rFonts w:ascii="Times New Roman" w:hAnsi="Times New Roman" w:cs="Times New Roman"/>
          <w:sz w:val="22"/>
          <w:vertAlign w:val="superscript"/>
        </w:rPr>
        <w:t>2</w:t>
      </w:r>
      <w:r w:rsidRPr="00C920D4">
        <w:rPr>
          <w:rFonts w:ascii="Times New Roman" w:hAnsi="Times New Roman" w:cs="Times New Roman"/>
          <w:sz w:val="22"/>
        </w:rPr>
        <w:t>, Nanako Emori</w:t>
      </w:r>
      <w:r w:rsidRPr="00C920D4">
        <w:rPr>
          <w:rFonts w:ascii="Times New Roman" w:hAnsi="Times New Roman" w:cs="Times New Roman"/>
          <w:sz w:val="22"/>
          <w:vertAlign w:val="superscript"/>
        </w:rPr>
        <w:t>2</w:t>
      </w:r>
      <w:r w:rsidRPr="00C920D4">
        <w:rPr>
          <w:rFonts w:ascii="Times New Roman" w:hAnsi="Times New Roman" w:cs="Times New Roman"/>
          <w:sz w:val="22"/>
        </w:rPr>
        <w:t>, Kento Isogaya</w:t>
      </w:r>
      <w:r w:rsidRPr="00C920D4">
        <w:rPr>
          <w:rFonts w:ascii="Times New Roman" w:hAnsi="Times New Roman" w:cs="Times New Roman"/>
          <w:sz w:val="22"/>
          <w:vertAlign w:val="superscript"/>
        </w:rPr>
        <w:t>3</w:t>
      </w:r>
      <w:r w:rsidRPr="00C920D4">
        <w:rPr>
          <w:rFonts w:ascii="Times New Roman" w:hAnsi="Times New Roman" w:cs="Times New Roman"/>
          <w:sz w:val="22"/>
        </w:rPr>
        <w:t>, Takahiro Yamauchi</w:t>
      </w:r>
      <w:r w:rsidRPr="00C920D4">
        <w:rPr>
          <w:rFonts w:ascii="Times New Roman" w:hAnsi="Times New Roman" w:cs="Times New Roman"/>
          <w:sz w:val="22"/>
          <w:vertAlign w:val="superscript"/>
        </w:rPr>
        <w:t>1</w:t>
      </w:r>
    </w:p>
    <w:p w14:paraId="5715E236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/>
          <w:sz w:val="22"/>
        </w:rPr>
        <w:t>1 Department of Hematology and Oncology, Faculty of Medical Sciences, University of Fukui, Fukui, Japan</w:t>
      </w:r>
    </w:p>
    <w:p w14:paraId="7D942753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/>
          <w:sz w:val="22"/>
        </w:rPr>
        <w:t>2 Medical Planning Department, Nippon Shinyaku Co., Ltd, Kyoto, Japan.</w:t>
      </w:r>
    </w:p>
    <w:p w14:paraId="37B5A911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/>
          <w:sz w:val="22"/>
        </w:rPr>
        <w:t>3 Data Science Department, Nippon Shinyaku Co., Ltd, Kyoto, Japan.</w:t>
      </w:r>
    </w:p>
    <w:p w14:paraId="4F23CC37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</w:p>
    <w:p w14:paraId="2B5E280F" w14:textId="77777777" w:rsidR="00DC01E3" w:rsidRPr="00C920D4" w:rsidRDefault="00DC01E3" w:rsidP="00DC01E3">
      <w:pPr>
        <w:rPr>
          <w:rFonts w:ascii="Times New Roman" w:hAnsi="Times New Roman" w:cs="Times New Roman"/>
          <w:b/>
          <w:bCs/>
          <w:sz w:val="22"/>
        </w:rPr>
      </w:pPr>
      <w:r w:rsidRPr="00C920D4">
        <w:rPr>
          <w:rFonts w:ascii="Times New Roman" w:hAnsi="Times New Roman" w:cs="Times New Roman" w:hint="eastAsia"/>
          <w:b/>
          <w:bCs/>
          <w:sz w:val="22"/>
        </w:rPr>
        <w:t>･</w:t>
      </w:r>
      <w:r w:rsidRPr="00C920D4">
        <w:rPr>
          <w:rFonts w:ascii="Times New Roman" w:hAnsi="Times New Roman" w:cs="Times New Roman"/>
          <w:b/>
          <w:bCs/>
          <w:sz w:val="22"/>
        </w:rPr>
        <w:t>Corresponding author</w:t>
      </w:r>
    </w:p>
    <w:p w14:paraId="56338544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 w:hint="eastAsia"/>
          <w:sz w:val="22"/>
        </w:rPr>
        <w:t>F</w:t>
      </w:r>
      <w:r w:rsidRPr="00C920D4">
        <w:rPr>
          <w:rFonts w:ascii="Times New Roman" w:hAnsi="Times New Roman" w:cs="Times New Roman"/>
          <w:sz w:val="22"/>
        </w:rPr>
        <w:t xml:space="preserve">ull name: </w:t>
      </w:r>
      <w:r w:rsidRPr="00C920D4">
        <w:rPr>
          <w:rFonts w:ascii="Times New Roman" w:hAnsi="Times New Roman" w:cs="Times New Roman" w:hint="eastAsia"/>
          <w:sz w:val="22"/>
        </w:rPr>
        <w:t>Naoko Hosono</w:t>
      </w:r>
    </w:p>
    <w:p w14:paraId="118C55ED" w14:textId="77777777" w:rsidR="00DC01E3" w:rsidRPr="00C920D4" w:rsidRDefault="00DC01E3" w:rsidP="00DC01E3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00C920D4">
        <w:rPr>
          <w:rFonts w:ascii="Times New Roman" w:hAnsi="Times New Roman" w:cs="Times New Roman" w:hint="eastAsia"/>
          <w:sz w:val="22"/>
        </w:rPr>
        <w:t>Address:</w:t>
      </w:r>
      <w:r w:rsidRPr="00C920D4">
        <w:rPr>
          <w:rFonts w:ascii="Times New Roman" w:eastAsia="Times New Roman" w:hAnsi="Times New Roman" w:cs="Times New Roman"/>
          <w:sz w:val="22"/>
        </w:rPr>
        <w:t xml:space="preserve"> 23-3 Matsuoka </w:t>
      </w:r>
      <w:proofErr w:type="spellStart"/>
      <w:r w:rsidRPr="00C920D4">
        <w:rPr>
          <w:rFonts w:ascii="Times New Roman" w:eastAsia="Times New Roman" w:hAnsi="Times New Roman" w:cs="Times New Roman"/>
          <w:sz w:val="22"/>
        </w:rPr>
        <w:t>Shimoaizuki</w:t>
      </w:r>
      <w:proofErr w:type="spellEnd"/>
      <w:r w:rsidRPr="00C920D4">
        <w:rPr>
          <w:rFonts w:ascii="Times New Roman" w:eastAsia="Times New Roman" w:hAnsi="Times New Roman" w:cs="Times New Roman"/>
          <w:sz w:val="22"/>
        </w:rPr>
        <w:t xml:space="preserve">, </w:t>
      </w:r>
      <w:proofErr w:type="spellStart"/>
      <w:r w:rsidRPr="00C920D4">
        <w:rPr>
          <w:rFonts w:ascii="Times New Roman" w:eastAsia="Times New Roman" w:hAnsi="Times New Roman" w:cs="Times New Roman"/>
          <w:sz w:val="22"/>
        </w:rPr>
        <w:t>Eiheiji-cho</w:t>
      </w:r>
      <w:proofErr w:type="spellEnd"/>
      <w:r w:rsidRPr="00C920D4">
        <w:rPr>
          <w:rFonts w:ascii="Times New Roman" w:eastAsia="Times New Roman" w:hAnsi="Times New Roman" w:cs="Times New Roman"/>
          <w:sz w:val="22"/>
        </w:rPr>
        <w:t xml:space="preserve">, Yoshida-gun, Fukui 910-1193, Japan, </w:t>
      </w:r>
    </w:p>
    <w:p w14:paraId="4FC91EDE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eastAsia="Times New Roman" w:hAnsi="Times New Roman" w:cs="Times New Roman"/>
          <w:sz w:val="22"/>
        </w:rPr>
        <w:t>phone number: +81-776-61-3111, fax number: +81-776-61-8109</w:t>
      </w:r>
    </w:p>
    <w:p w14:paraId="48F20EB8" w14:textId="66D64C6A" w:rsidR="001F23AF" w:rsidRPr="00C920D4" w:rsidRDefault="00DC01E3" w:rsidP="00DC01E3">
      <w:pPr>
        <w:rPr>
          <w:rFonts w:ascii="Times New Roman" w:eastAsia="Times New Roman" w:hAnsi="Times New Roman" w:cs="Times New Roman"/>
          <w:sz w:val="22"/>
        </w:rPr>
      </w:pPr>
      <w:r w:rsidRPr="00C920D4">
        <w:rPr>
          <w:rFonts w:ascii="Times New Roman" w:hAnsi="Times New Roman" w:cs="Times New Roman" w:hint="eastAsia"/>
          <w:sz w:val="22"/>
        </w:rPr>
        <w:t>E-mail address:</w:t>
      </w:r>
      <w:r w:rsidRPr="00C920D4">
        <w:rPr>
          <w:rFonts w:ascii="Times New Roman" w:eastAsia="Times New Roman" w:hAnsi="Times New Roman" w:cs="Times New Roman"/>
          <w:sz w:val="22"/>
        </w:rPr>
        <w:t xml:space="preserve"> hosono@u-fukui.ac.jp</w:t>
      </w:r>
    </w:p>
    <w:p w14:paraId="6C6373FC" w14:textId="3E657146" w:rsidR="00DC01E3" w:rsidRPr="00C920D4" w:rsidRDefault="00DC01E3">
      <w:pPr>
        <w:widowControl/>
        <w:jc w:val="left"/>
        <w:rPr>
          <w:sz w:val="22"/>
        </w:rPr>
      </w:pPr>
      <w:r w:rsidRPr="00C920D4">
        <w:rPr>
          <w:sz w:val="22"/>
        </w:rPr>
        <w:br w:type="page"/>
      </w:r>
    </w:p>
    <w:p w14:paraId="7811E565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  <w:sectPr w:rsidR="00DC01E3" w:rsidRPr="00C920D4" w:rsidSect="00DC01E3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54B76577" w14:textId="2EC66896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/>
          <w:sz w:val="22"/>
        </w:rPr>
        <w:lastRenderedPageBreak/>
        <w:t>Tables</w:t>
      </w:r>
    </w:p>
    <w:p w14:paraId="7F367A3B" w14:textId="7EE31A81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 w:hint="eastAsia"/>
          <w:sz w:val="22"/>
        </w:rPr>
        <w:t>Table S1</w:t>
      </w:r>
      <w:r w:rsidRPr="00C920D4">
        <w:rPr>
          <w:rFonts w:ascii="Times New Roman" w:hAnsi="Times New Roman" w:cs="Times New Roman"/>
          <w:sz w:val="22"/>
        </w:rPr>
        <w:t xml:space="preserve">. </w:t>
      </w:r>
      <w:r w:rsidR="0087602D" w:rsidRPr="00C920D4">
        <w:rPr>
          <w:rFonts w:ascii="Times New Roman" w:hAnsi="Times New Roman" w:cs="Times New Roman"/>
          <w:sz w:val="22"/>
        </w:rPr>
        <w:t>Variables in univariate analysis</w:t>
      </w:r>
      <w:r w:rsidR="00794069" w:rsidRPr="00C920D4">
        <w:rPr>
          <w:rFonts w:ascii="Times New Roman" w:hAnsi="Times New Roman" w:cs="Times New Roman"/>
          <w:sz w:val="22"/>
        </w:rPr>
        <w:t xml:space="preserve"> for time to platelets or neutrophils recovery</w:t>
      </w:r>
      <w:r w:rsidR="0087602D" w:rsidRPr="00C920D4">
        <w:rPr>
          <w:rFonts w:ascii="Times New Roman" w:hAnsi="Times New Roman" w:cs="Times New Roman"/>
          <w:sz w:val="22"/>
        </w:rPr>
        <w:t xml:space="preserve"> within the CPX-351 treated patients who achieved CR</w:t>
      </w:r>
      <w:r w:rsidR="003421D3" w:rsidRPr="00C920D4">
        <w:rPr>
          <w:rFonts w:ascii="Times New Roman" w:hAnsi="Times New Roman" w:cs="Times New Roman"/>
          <w:sz w:val="22"/>
        </w:rPr>
        <w:t xml:space="preserve"> or </w:t>
      </w:r>
      <w:r w:rsidR="0087602D" w:rsidRPr="00C920D4">
        <w:rPr>
          <w:rFonts w:ascii="Times New Roman" w:hAnsi="Times New Roman" w:cs="Times New Roman"/>
          <w:sz w:val="22"/>
        </w:rPr>
        <w:t>CRi in the first induction in the global P3 study</w:t>
      </w:r>
    </w:p>
    <w:tbl>
      <w:tblPr>
        <w:tblW w:w="96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C920D4" w:rsidRPr="00C920D4" w14:paraId="7337C1C4" w14:textId="77777777" w:rsidTr="0087602D">
        <w:trPr>
          <w:trHeight w:val="37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0FCC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Age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4F161" w14:textId="21D0C1CC" w:rsidR="0087602D" w:rsidRPr="00C920D4" w:rsidRDefault="0087602D" w:rsidP="0087602D">
            <w:pPr>
              <w:pStyle w:val="1"/>
              <w:shd w:val="clear" w:color="auto" w:fill="FFFFFF"/>
              <w:spacing w:before="0" w:beforeAutospacing="0" w:after="0" w:afterAutospacing="0" w:line="336" w:lineRule="atLeast"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22"/>
                <w:szCs w:val="22"/>
              </w:rPr>
            </w:pPr>
            <w:r w:rsidRPr="00C920D4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22"/>
                <w:szCs w:val="22"/>
              </w:rPr>
              <w:t>Baseline LDH</w:t>
            </w:r>
          </w:p>
        </w:tc>
      </w:tr>
      <w:tr w:rsidR="00C920D4" w:rsidRPr="00C920D4" w14:paraId="1F2EB7C2" w14:textId="77777777" w:rsidTr="0087602D">
        <w:trPr>
          <w:trHeight w:val="37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803A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Age: 60-69y.o. vs 70-75y.o.</w:t>
            </w:r>
            <w:r w:rsidRPr="00C920D4">
              <w:rPr>
                <w:rFonts w:ascii="游ゴシック" w:eastAsia="游ゴシック" w:hAnsi="游ゴシック" w:cs="Times New Roman" w:hint="eastAsia"/>
                <w:kern w:val="0"/>
                <w:sz w:val="22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0D01" w14:textId="60A76342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Baseline cellularity</w:t>
            </w:r>
          </w:p>
        </w:tc>
      </w:tr>
      <w:tr w:rsidR="00C920D4" w:rsidRPr="00C920D4" w14:paraId="467D69C2" w14:textId="77777777" w:rsidTr="0087602D">
        <w:trPr>
          <w:trHeight w:val="37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3FD4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Race: Asian vs White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99B42" w14:textId="257C623B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PB blast 20-40% vs &gt;60%</w:t>
            </w:r>
          </w:p>
        </w:tc>
      </w:tr>
      <w:tr w:rsidR="00C920D4" w:rsidRPr="00C920D4" w14:paraId="60341B11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119D" w14:textId="725F65C8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Race: Other vs White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A194" w14:textId="2FD133D2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PB blast &lt;20% vs &gt;60%</w:t>
            </w:r>
          </w:p>
        </w:tc>
      </w:tr>
      <w:tr w:rsidR="00C920D4" w:rsidRPr="00C920D4" w14:paraId="7F24231C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462C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Race: HISPANIC OR LATINO vs NOT HISPANIC OR LATINO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EE82" w14:textId="07BDD696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PB blast &gt;40-60% vs &gt;60%</w:t>
            </w:r>
          </w:p>
        </w:tc>
      </w:tr>
      <w:tr w:rsidR="00C920D4" w:rsidRPr="00C920D4" w14:paraId="7841721F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DA77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Sex: woman vs man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0D349" w14:textId="18DDDD0F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PB blast 1-10% vs &gt;10%</w:t>
            </w:r>
          </w:p>
        </w:tc>
      </w:tr>
      <w:tr w:rsidR="00C920D4" w:rsidRPr="00C920D4" w14:paraId="35F79D96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0BA6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Body weight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807F" w14:textId="12765481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FLT3ITD mut negative vs positive</w:t>
            </w:r>
          </w:p>
        </w:tc>
      </w:tr>
      <w:tr w:rsidR="00C920D4" w:rsidRPr="00C920D4" w14:paraId="4913BE1D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6053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Height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D5262" w14:textId="60949A59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NPM1 mut negative vs positive</w:t>
            </w:r>
          </w:p>
        </w:tc>
      </w:tr>
      <w:tr w:rsidR="00C920D4" w:rsidRPr="00C920D4" w14:paraId="06663B86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2EC9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BSA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9D1A" w14:textId="3FF23F18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CEBPA mut negative vs positive</w:t>
            </w:r>
          </w:p>
        </w:tc>
      </w:tr>
      <w:tr w:rsidR="00C920D4" w:rsidRPr="00C920D4" w14:paraId="14C8F720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45D8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BMI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31DB" w14:textId="4B6B51BC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AML subtype</w:t>
            </w:r>
          </w:p>
        </w:tc>
      </w:tr>
      <w:tr w:rsidR="00C920D4" w:rsidRPr="00C920D4" w14:paraId="0FB25EC5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52AD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ECOG PS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9AA34" w14:textId="6F2B873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Prior CMML vs Therapy-related AML</w:t>
            </w:r>
          </w:p>
        </w:tc>
      </w:tr>
      <w:tr w:rsidR="00C920D4" w:rsidRPr="00C920D4" w14:paraId="4E9DDF7A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7106" w14:textId="0BBBC4D9" w:rsidR="0087602D" w:rsidRPr="00C920D4" w:rsidRDefault="00794D88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H</w:t>
            </w:r>
            <w:r w:rsidR="0087602D"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ospitalization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EDBA1" w14:textId="73EF34B9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De novo AML with MDS karyotype vs Therapy-related AML</w:t>
            </w:r>
          </w:p>
        </w:tc>
      </w:tr>
      <w:tr w:rsidR="00C920D4" w:rsidRPr="00C920D4" w14:paraId="4FB07BDA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933C3D" w14:textId="4F274E60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Baseline Hb </w:t>
            </w:r>
            <w:r w:rsidRPr="00C920D4">
              <w:rPr>
                <w:rFonts w:ascii="Times New Roman" w:hAnsi="Times New Roman" w:cs="Times New Roman"/>
                <w:sz w:val="22"/>
              </w:rPr>
              <w:t>≤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9g/dL vs &gt;9g/dL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ABFBC" w14:textId="3AC6A534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AML with antecedent MDS with prior HMA vs Therapy-related AML</w:t>
            </w:r>
          </w:p>
        </w:tc>
      </w:tr>
      <w:tr w:rsidR="00C920D4" w:rsidRPr="00C920D4" w14:paraId="4FD5ED16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C41D2" w14:textId="3D7B7F1E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Baseline PLT </w:t>
            </w:r>
            <w:r w:rsidRPr="00C920D4">
              <w:rPr>
                <w:rFonts w:ascii="Times New Roman" w:hAnsi="Times New Roman" w:cs="Times New Roman"/>
                <w:sz w:val="22"/>
              </w:rPr>
              <w:t>≤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50×10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  <w:vertAlign w:val="superscript"/>
              </w:rPr>
              <w:t>3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/L vs &gt;50×10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  <w:vertAlign w:val="superscript"/>
              </w:rPr>
              <w:t>3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/L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5F725" w14:textId="71BC8970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AML with antecedent MDS without prior HMA vs Therapy-related AML</w:t>
            </w:r>
          </w:p>
        </w:tc>
      </w:tr>
      <w:tr w:rsidR="00C920D4" w:rsidRPr="00C920D4" w14:paraId="292C05D1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7B73B" w14:textId="5ACD7F08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Baseline WBC </w:t>
            </w:r>
            <w:r w:rsidRPr="00C920D4">
              <w:rPr>
                <w:rFonts w:ascii="Times New Roman" w:hAnsi="Times New Roman" w:cs="Times New Roman"/>
                <w:sz w:val="22"/>
              </w:rPr>
              <w:t>≤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20×10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  <w:vertAlign w:val="superscript"/>
              </w:rPr>
              <w:t>3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/L vs &gt;20×10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  <w:vertAlign w:val="superscript"/>
              </w:rPr>
              <w:t>3</w:t>
            </w: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/L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D5F00" w14:textId="68F18DD0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Cytogenetic risk </w:t>
            </w:r>
          </w:p>
        </w:tc>
      </w:tr>
      <w:tr w:rsidR="00C920D4" w:rsidRPr="00C920D4" w14:paraId="0CCC040F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7E265" w14:textId="465968BF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Total dosage of CPX-351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4EA67" w14:textId="15DA55C8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Better risk vs Poor risk</w:t>
            </w:r>
          </w:p>
        </w:tc>
      </w:tr>
      <w:tr w:rsidR="00C920D4" w:rsidRPr="00C920D4" w14:paraId="14BEF272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1C01" w14:textId="6F1451B5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Total dosage of anthracycline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156D" w14:textId="74199EBD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Intermediate risk vs Poor risk</w:t>
            </w:r>
          </w:p>
        </w:tc>
      </w:tr>
      <w:tr w:rsidR="00C920D4" w:rsidRPr="00C920D4" w14:paraId="1C959F2C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BACC7" w14:textId="798F834A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Total dosage of CPX-351 in induction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127A" w14:textId="15EBA4A2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Non-poor vs Poor</w:t>
            </w:r>
          </w:p>
        </w:tc>
      </w:tr>
      <w:tr w:rsidR="0087602D" w:rsidRPr="00C920D4" w14:paraId="251BA7A8" w14:textId="77777777" w:rsidTr="0087602D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85B2" w14:textId="11AC9583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C920D4">
              <w:rPr>
                <w:rFonts w:ascii="Times New Roman" w:eastAsia="游ゴシック" w:hAnsi="Times New Roman" w:cs="Times New Roman"/>
                <w:kern w:val="0"/>
                <w:sz w:val="22"/>
              </w:rPr>
              <w:t>Total dosage of CPX-351 in consolidation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A00CA" w14:textId="77777777" w:rsidR="0087602D" w:rsidRPr="00C920D4" w:rsidRDefault="0087602D" w:rsidP="008760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</w:tbl>
    <w:p w14:paraId="55C87241" w14:textId="6141AEB0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</w:p>
    <w:p w14:paraId="619A55C4" w14:textId="77777777" w:rsidR="00DC01E3" w:rsidRPr="00C920D4" w:rsidRDefault="00DC01E3">
      <w:pPr>
        <w:widowControl/>
        <w:jc w:val="left"/>
        <w:rPr>
          <w:rFonts w:ascii="Times New Roman" w:hAnsi="Times New Roman" w:cs="Times New Roman"/>
          <w:sz w:val="22"/>
        </w:rPr>
        <w:sectPr w:rsidR="00DC01E3" w:rsidRPr="00C920D4" w:rsidSect="00082DCA">
          <w:pgSz w:w="11906" w:h="16838"/>
          <w:pgMar w:top="1440" w:right="1077" w:bottom="1440" w:left="1077" w:header="851" w:footer="992" w:gutter="0"/>
          <w:cols w:space="425"/>
          <w:docGrid w:type="lines" w:linePitch="360"/>
        </w:sectPr>
      </w:pPr>
    </w:p>
    <w:p w14:paraId="39227DE7" w14:textId="6FD49D4D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/>
          <w:sz w:val="22"/>
        </w:rPr>
        <w:lastRenderedPageBreak/>
        <w:t>Table S2. Skin and subcutaneous tissue disorders in the Japanese P1/2 study and global P3 study</w:t>
      </w:r>
    </w:p>
    <w:tbl>
      <w:tblPr>
        <w:tblStyle w:val="a8"/>
        <w:tblW w:w="9695" w:type="dxa"/>
        <w:tblLook w:val="04A0" w:firstRow="1" w:lastRow="0" w:firstColumn="1" w:lastColumn="0" w:noHBand="0" w:noVBand="1"/>
      </w:tblPr>
      <w:tblGrid>
        <w:gridCol w:w="5159"/>
        <w:gridCol w:w="2268"/>
        <w:gridCol w:w="2268"/>
      </w:tblGrid>
      <w:tr w:rsidR="00C920D4" w:rsidRPr="00C920D4" w14:paraId="11F8D14C" w14:textId="77777777" w:rsidTr="002024B3">
        <w:trPr>
          <w:trHeight w:val="420"/>
        </w:trPr>
        <w:tc>
          <w:tcPr>
            <w:tcW w:w="5159" w:type="dxa"/>
            <w:vAlign w:val="center"/>
            <w:hideMark/>
          </w:tcPr>
          <w:p w14:paraId="51EDC6FA" w14:textId="77777777" w:rsidR="00DC01E3" w:rsidRPr="00C920D4" w:rsidRDefault="00DC01E3" w:rsidP="00477F00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System Organ Class /</w:t>
            </w:r>
          </w:p>
        </w:tc>
        <w:tc>
          <w:tcPr>
            <w:tcW w:w="2268" w:type="dxa"/>
            <w:hideMark/>
          </w:tcPr>
          <w:p w14:paraId="4CFF08F6" w14:textId="77777777" w:rsidR="00477F00" w:rsidRPr="00C920D4" w:rsidRDefault="00DC01E3" w:rsidP="00477F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Japanese P1/2 study</w:t>
            </w:r>
          </w:p>
          <w:p w14:paraId="29F75417" w14:textId="53A0703F" w:rsidR="00DC01E3" w:rsidRPr="00C920D4" w:rsidRDefault="00DC01E3" w:rsidP="00477F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>（</w:t>
            </w:r>
            <w:r w:rsidRPr="00C920D4">
              <w:rPr>
                <w:rFonts w:ascii="Times New Roman" w:hAnsi="Times New Roman" w:cs="Times New Roman"/>
                <w:sz w:val="22"/>
              </w:rPr>
              <w:t>N=47</w:t>
            </w:r>
            <w:r w:rsidRPr="00C920D4">
              <w:rPr>
                <w:rFonts w:ascii="Times New Roman" w:hAnsi="Times New Roman" w:cs="Times New Roman" w:hint="eastAsia"/>
                <w:sz w:val="22"/>
              </w:rPr>
              <w:t>）</w:t>
            </w:r>
          </w:p>
        </w:tc>
        <w:tc>
          <w:tcPr>
            <w:tcW w:w="2268" w:type="dxa"/>
            <w:hideMark/>
          </w:tcPr>
          <w:p w14:paraId="142B5224" w14:textId="77777777" w:rsidR="00477F00" w:rsidRPr="00C920D4" w:rsidRDefault="00DC01E3" w:rsidP="00477F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Global P3 study</w:t>
            </w:r>
          </w:p>
          <w:p w14:paraId="1061C615" w14:textId="6F07AAAB" w:rsidR="00DC01E3" w:rsidRPr="00C920D4" w:rsidRDefault="00DC01E3" w:rsidP="00477F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>（</w:t>
            </w:r>
            <w:r w:rsidRPr="00C920D4">
              <w:rPr>
                <w:rFonts w:ascii="Times New Roman" w:hAnsi="Times New Roman" w:cs="Times New Roman"/>
                <w:sz w:val="22"/>
              </w:rPr>
              <w:t>N=153</w:t>
            </w:r>
            <w:r w:rsidRPr="00C920D4">
              <w:rPr>
                <w:rFonts w:ascii="Times New Roman" w:hAnsi="Times New Roman" w:cs="Times New Roman" w:hint="eastAsia"/>
                <w:sz w:val="22"/>
              </w:rPr>
              <w:t>）</w:t>
            </w:r>
          </w:p>
        </w:tc>
      </w:tr>
      <w:tr w:rsidR="00C920D4" w:rsidRPr="00C920D4" w14:paraId="62DD22EC" w14:textId="77777777" w:rsidTr="002024B3">
        <w:trPr>
          <w:trHeight w:val="405"/>
        </w:trPr>
        <w:tc>
          <w:tcPr>
            <w:tcW w:w="5159" w:type="dxa"/>
            <w:hideMark/>
          </w:tcPr>
          <w:p w14:paraId="118216E5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Preferred Term</w:t>
            </w:r>
          </w:p>
        </w:tc>
        <w:tc>
          <w:tcPr>
            <w:tcW w:w="2268" w:type="dxa"/>
            <w:vAlign w:val="center"/>
            <w:hideMark/>
          </w:tcPr>
          <w:p w14:paraId="46B51134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No. (%)</w:t>
            </w:r>
          </w:p>
        </w:tc>
        <w:tc>
          <w:tcPr>
            <w:tcW w:w="2268" w:type="dxa"/>
            <w:vAlign w:val="center"/>
            <w:hideMark/>
          </w:tcPr>
          <w:p w14:paraId="2B61D2B5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No. (%)</w:t>
            </w:r>
          </w:p>
        </w:tc>
      </w:tr>
      <w:tr w:rsidR="00C920D4" w:rsidRPr="00C920D4" w14:paraId="123BD8EA" w14:textId="77777777" w:rsidTr="002024B3">
        <w:trPr>
          <w:trHeight w:val="405"/>
        </w:trPr>
        <w:tc>
          <w:tcPr>
            <w:tcW w:w="5159" w:type="dxa"/>
            <w:hideMark/>
          </w:tcPr>
          <w:p w14:paraId="5891A847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Skin and subcutaneous tissue disorders</w:t>
            </w:r>
          </w:p>
        </w:tc>
        <w:tc>
          <w:tcPr>
            <w:tcW w:w="2268" w:type="dxa"/>
            <w:vAlign w:val="center"/>
            <w:hideMark/>
          </w:tcPr>
          <w:p w14:paraId="66F17EE3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38 (80.9)</w:t>
            </w:r>
          </w:p>
        </w:tc>
        <w:tc>
          <w:tcPr>
            <w:tcW w:w="2268" w:type="dxa"/>
            <w:vAlign w:val="center"/>
            <w:hideMark/>
          </w:tcPr>
          <w:p w14:paraId="599DB529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124 (81.0)</w:t>
            </w:r>
          </w:p>
        </w:tc>
      </w:tr>
      <w:tr w:rsidR="00C920D4" w:rsidRPr="00C920D4" w14:paraId="35DB272A" w14:textId="77777777" w:rsidTr="002024B3">
        <w:trPr>
          <w:trHeight w:val="405"/>
        </w:trPr>
        <w:tc>
          <w:tcPr>
            <w:tcW w:w="5159" w:type="dxa"/>
            <w:hideMark/>
          </w:tcPr>
          <w:p w14:paraId="1CFD3585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Grade 1</w:t>
            </w:r>
          </w:p>
        </w:tc>
        <w:tc>
          <w:tcPr>
            <w:tcW w:w="2268" w:type="dxa"/>
            <w:vAlign w:val="center"/>
            <w:hideMark/>
          </w:tcPr>
          <w:p w14:paraId="38FADEBF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13 (27.7)</w:t>
            </w:r>
          </w:p>
        </w:tc>
        <w:tc>
          <w:tcPr>
            <w:tcW w:w="2268" w:type="dxa"/>
            <w:vAlign w:val="center"/>
            <w:hideMark/>
          </w:tcPr>
          <w:p w14:paraId="0B401E68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56 (36.6)</w:t>
            </w:r>
          </w:p>
        </w:tc>
      </w:tr>
      <w:tr w:rsidR="00C920D4" w:rsidRPr="00C920D4" w14:paraId="35AE95BB" w14:textId="77777777" w:rsidTr="002024B3">
        <w:trPr>
          <w:trHeight w:val="405"/>
        </w:trPr>
        <w:tc>
          <w:tcPr>
            <w:tcW w:w="5159" w:type="dxa"/>
            <w:hideMark/>
          </w:tcPr>
          <w:p w14:paraId="337A569E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Grade 2</w:t>
            </w:r>
          </w:p>
        </w:tc>
        <w:tc>
          <w:tcPr>
            <w:tcW w:w="2268" w:type="dxa"/>
            <w:vAlign w:val="center"/>
            <w:hideMark/>
          </w:tcPr>
          <w:p w14:paraId="7759B580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21 (44.3)</w:t>
            </w:r>
          </w:p>
        </w:tc>
        <w:tc>
          <w:tcPr>
            <w:tcW w:w="2268" w:type="dxa"/>
            <w:vAlign w:val="center"/>
            <w:hideMark/>
          </w:tcPr>
          <w:p w14:paraId="4794E1FE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54 (35.3)</w:t>
            </w:r>
          </w:p>
        </w:tc>
      </w:tr>
      <w:tr w:rsidR="00C920D4" w:rsidRPr="00C920D4" w14:paraId="61843AC4" w14:textId="77777777" w:rsidTr="002024B3">
        <w:trPr>
          <w:trHeight w:val="405"/>
        </w:trPr>
        <w:tc>
          <w:tcPr>
            <w:tcW w:w="5159" w:type="dxa"/>
            <w:hideMark/>
          </w:tcPr>
          <w:p w14:paraId="05B2F337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Grade 3</w:t>
            </w:r>
          </w:p>
        </w:tc>
        <w:tc>
          <w:tcPr>
            <w:tcW w:w="2268" w:type="dxa"/>
            <w:vAlign w:val="center"/>
            <w:hideMark/>
          </w:tcPr>
          <w:p w14:paraId="3D293503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4 (8.5)</w:t>
            </w:r>
          </w:p>
        </w:tc>
        <w:tc>
          <w:tcPr>
            <w:tcW w:w="2268" w:type="dxa"/>
            <w:vAlign w:val="center"/>
            <w:hideMark/>
          </w:tcPr>
          <w:p w14:paraId="70E3781F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14 (9.2)</w:t>
            </w:r>
          </w:p>
        </w:tc>
      </w:tr>
      <w:tr w:rsidR="00C920D4" w:rsidRPr="00C920D4" w14:paraId="191364C6" w14:textId="77777777" w:rsidTr="002024B3">
        <w:trPr>
          <w:trHeight w:val="405"/>
        </w:trPr>
        <w:tc>
          <w:tcPr>
            <w:tcW w:w="5159" w:type="dxa"/>
            <w:hideMark/>
          </w:tcPr>
          <w:p w14:paraId="28CF54A2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Grade 4</w:t>
            </w:r>
          </w:p>
        </w:tc>
        <w:tc>
          <w:tcPr>
            <w:tcW w:w="2268" w:type="dxa"/>
            <w:vAlign w:val="center"/>
            <w:hideMark/>
          </w:tcPr>
          <w:p w14:paraId="34EEA61D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42678984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C920D4" w:rsidRPr="00C920D4" w14:paraId="7B703076" w14:textId="77777777" w:rsidTr="002024B3">
        <w:trPr>
          <w:trHeight w:val="405"/>
        </w:trPr>
        <w:tc>
          <w:tcPr>
            <w:tcW w:w="5159" w:type="dxa"/>
            <w:hideMark/>
          </w:tcPr>
          <w:p w14:paraId="180DAEEA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Grade 5</w:t>
            </w:r>
          </w:p>
        </w:tc>
        <w:tc>
          <w:tcPr>
            <w:tcW w:w="2268" w:type="dxa"/>
            <w:vAlign w:val="center"/>
            <w:hideMark/>
          </w:tcPr>
          <w:p w14:paraId="5FFBF636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60216017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C920D4" w:rsidRPr="00C920D4" w14:paraId="4006DF71" w14:textId="77777777" w:rsidTr="002024B3">
        <w:trPr>
          <w:trHeight w:val="405"/>
        </w:trPr>
        <w:tc>
          <w:tcPr>
            <w:tcW w:w="5159" w:type="dxa"/>
            <w:hideMark/>
          </w:tcPr>
          <w:p w14:paraId="1A002478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Grade 3 Skin and subcutaneous tissue disorders</w:t>
            </w:r>
          </w:p>
        </w:tc>
        <w:tc>
          <w:tcPr>
            <w:tcW w:w="2268" w:type="dxa"/>
            <w:vAlign w:val="center"/>
            <w:hideMark/>
          </w:tcPr>
          <w:p w14:paraId="1283BDFA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268" w:type="dxa"/>
            <w:vAlign w:val="center"/>
            <w:hideMark/>
          </w:tcPr>
          <w:p w14:paraId="631BE401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C920D4" w:rsidRPr="00C920D4" w14:paraId="0806AA81" w14:textId="77777777" w:rsidTr="002024B3">
        <w:trPr>
          <w:trHeight w:val="405"/>
        </w:trPr>
        <w:tc>
          <w:tcPr>
            <w:tcW w:w="5159" w:type="dxa"/>
            <w:hideMark/>
          </w:tcPr>
          <w:p w14:paraId="62B6CD29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Acute febrile neutrophilic dermatosis</w:t>
            </w:r>
          </w:p>
        </w:tc>
        <w:tc>
          <w:tcPr>
            <w:tcW w:w="2268" w:type="dxa"/>
            <w:vAlign w:val="center"/>
            <w:hideMark/>
          </w:tcPr>
          <w:p w14:paraId="19E9994E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31AAFF08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4DE4D5CE" w14:textId="77777777" w:rsidTr="002024B3">
        <w:trPr>
          <w:trHeight w:val="405"/>
        </w:trPr>
        <w:tc>
          <w:tcPr>
            <w:tcW w:w="5159" w:type="dxa"/>
            <w:hideMark/>
          </w:tcPr>
          <w:p w14:paraId="02C7CD1E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Hyperhidrosis</w:t>
            </w:r>
          </w:p>
        </w:tc>
        <w:tc>
          <w:tcPr>
            <w:tcW w:w="2268" w:type="dxa"/>
            <w:vAlign w:val="center"/>
            <w:hideMark/>
          </w:tcPr>
          <w:p w14:paraId="4614987E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1F2AF424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226AE40E" w14:textId="77777777" w:rsidTr="002024B3">
        <w:trPr>
          <w:trHeight w:val="405"/>
        </w:trPr>
        <w:tc>
          <w:tcPr>
            <w:tcW w:w="5159" w:type="dxa"/>
            <w:hideMark/>
          </w:tcPr>
          <w:p w14:paraId="5EEB19AC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Purpura</w:t>
            </w:r>
          </w:p>
        </w:tc>
        <w:tc>
          <w:tcPr>
            <w:tcW w:w="2268" w:type="dxa"/>
            <w:vAlign w:val="center"/>
            <w:hideMark/>
          </w:tcPr>
          <w:p w14:paraId="7C44D384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77736EB4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4592D32B" w14:textId="77777777" w:rsidTr="002024B3">
        <w:trPr>
          <w:trHeight w:val="405"/>
        </w:trPr>
        <w:tc>
          <w:tcPr>
            <w:tcW w:w="5159" w:type="dxa"/>
            <w:hideMark/>
          </w:tcPr>
          <w:p w14:paraId="79BBBFE1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Rash</w:t>
            </w:r>
          </w:p>
        </w:tc>
        <w:tc>
          <w:tcPr>
            <w:tcW w:w="2268" w:type="dxa"/>
            <w:vAlign w:val="center"/>
            <w:hideMark/>
          </w:tcPr>
          <w:p w14:paraId="32BD0FED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2 (4.3)</w:t>
            </w:r>
          </w:p>
        </w:tc>
        <w:tc>
          <w:tcPr>
            <w:tcW w:w="2268" w:type="dxa"/>
            <w:vAlign w:val="center"/>
            <w:hideMark/>
          </w:tcPr>
          <w:p w14:paraId="1A18D43C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4 (2.6)</w:t>
            </w:r>
          </w:p>
        </w:tc>
      </w:tr>
      <w:tr w:rsidR="00C920D4" w:rsidRPr="00C920D4" w14:paraId="24792314" w14:textId="77777777" w:rsidTr="002024B3">
        <w:trPr>
          <w:trHeight w:val="405"/>
        </w:trPr>
        <w:tc>
          <w:tcPr>
            <w:tcW w:w="5159" w:type="dxa"/>
            <w:hideMark/>
          </w:tcPr>
          <w:p w14:paraId="2CBBFC81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 xml:space="preserve">Rash 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</w:rPr>
              <w:t>generalised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42D29936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244C76E0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7061FEDB" w14:textId="77777777" w:rsidTr="002024B3">
        <w:trPr>
          <w:trHeight w:val="405"/>
        </w:trPr>
        <w:tc>
          <w:tcPr>
            <w:tcW w:w="5159" w:type="dxa"/>
            <w:hideMark/>
          </w:tcPr>
          <w:p w14:paraId="5643767A" w14:textId="1C540D51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 xml:space="preserve">Rash </w:t>
            </w:r>
            <w:r w:rsidR="00477F00" w:rsidRPr="00C920D4">
              <w:rPr>
                <w:rFonts w:ascii="Times New Roman" w:hAnsi="Times New Roman" w:cs="Times New Roman"/>
                <w:sz w:val="22"/>
              </w:rPr>
              <w:t>macular</w:t>
            </w:r>
          </w:p>
        </w:tc>
        <w:tc>
          <w:tcPr>
            <w:tcW w:w="2268" w:type="dxa"/>
            <w:vAlign w:val="center"/>
            <w:hideMark/>
          </w:tcPr>
          <w:p w14:paraId="752519B5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2B582A78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43B2DBF1" w14:textId="77777777" w:rsidTr="002024B3">
        <w:trPr>
          <w:trHeight w:val="405"/>
        </w:trPr>
        <w:tc>
          <w:tcPr>
            <w:tcW w:w="5159" w:type="dxa"/>
            <w:hideMark/>
          </w:tcPr>
          <w:p w14:paraId="7A7AF969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Rash maculo-papular</w:t>
            </w:r>
          </w:p>
        </w:tc>
        <w:tc>
          <w:tcPr>
            <w:tcW w:w="2268" w:type="dxa"/>
            <w:vAlign w:val="center"/>
            <w:hideMark/>
          </w:tcPr>
          <w:p w14:paraId="5ABF3A0A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(2.1)</w:t>
            </w:r>
          </w:p>
        </w:tc>
        <w:tc>
          <w:tcPr>
            <w:tcW w:w="2268" w:type="dxa"/>
            <w:vAlign w:val="center"/>
            <w:hideMark/>
          </w:tcPr>
          <w:p w14:paraId="75226613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043A1F2C" w14:textId="77777777" w:rsidTr="002024B3">
        <w:trPr>
          <w:trHeight w:val="405"/>
        </w:trPr>
        <w:tc>
          <w:tcPr>
            <w:tcW w:w="5159" w:type="dxa"/>
            <w:hideMark/>
          </w:tcPr>
          <w:p w14:paraId="3FAC7BE6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Rash pruritic</w:t>
            </w:r>
          </w:p>
        </w:tc>
        <w:tc>
          <w:tcPr>
            <w:tcW w:w="2268" w:type="dxa"/>
            <w:vAlign w:val="center"/>
            <w:hideMark/>
          </w:tcPr>
          <w:p w14:paraId="571A0E1B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(2.1)</w:t>
            </w:r>
          </w:p>
        </w:tc>
        <w:tc>
          <w:tcPr>
            <w:tcW w:w="2268" w:type="dxa"/>
            <w:vAlign w:val="center"/>
            <w:hideMark/>
          </w:tcPr>
          <w:p w14:paraId="1D9BFCB3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79FD7E5F" w14:textId="77777777" w:rsidTr="002024B3">
        <w:trPr>
          <w:trHeight w:val="405"/>
        </w:trPr>
        <w:tc>
          <w:tcPr>
            <w:tcW w:w="5159" w:type="dxa"/>
            <w:hideMark/>
          </w:tcPr>
          <w:p w14:paraId="44CA7AAE" w14:textId="6D25D7DE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Skin lesion</w:t>
            </w:r>
          </w:p>
        </w:tc>
        <w:tc>
          <w:tcPr>
            <w:tcW w:w="2268" w:type="dxa"/>
            <w:vAlign w:val="center"/>
            <w:hideMark/>
          </w:tcPr>
          <w:p w14:paraId="26D138AF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43785263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27A05D6E" w14:textId="77777777" w:rsidTr="002024B3">
        <w:trPr>
          <w:trHeight w:val="405"/>
        </w:trPr>
        <w:tc>
          <w:tcPr>
            <w:tcW w:w="5159" w:type="dxa"/>
            <w:hideMark/>
          </w:tcPr>
          <w:p w14:paraId="0CE5FD9F" w14:textId="77777777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Skin ulcer</w:t>
            </w:r>
          </w:p>
        </w:tc>
        <w:tc>
          <w:tcPr>
            <w:tcW w:w="2268" w:type="dxa"/>
            <w:vAlign w:val="center"/>
            <w:hideMark/>
          </w:tcPr>
          <w:p w14:paraId="6E3F8105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154588DE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C920D4" w:rsidRPr="00C920D4" w14:paraId="26515F8A" w14:textId="77777777" w:rsidTr="002024B3">
        <w:trPr>
          <w:trHeight w:val="405"/>
        </w:trPr>
        <w:tc>
          <w:tcPr>
            <w:tcW w:w="5159" w:type="dxa"/>
            <w:hideMark/>
          </w:tcPr>
          <w:p w14:paraId="4E2D01F4" w14:textId="3BAE2706" w:rsidR="00DC01E3" w:rsidRPr="00C920D4" w:rsidRDefault="00DC01E3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</w:rPr>
              <w:t>Skin ulcer hemorrhage</w:t>
            </w:r>
          </w:p>
        </w:tc>
        <w:tc>
          <w:tcPr>
            <w:tcW w:w="2268" w:type="dxa"/>
            <w:vAlign w:val="center"/>
            <w:hideMark/>
          </w:tcPr>
          <w:p w14:paraId="2FB0C1F0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8" w:type="dxa"/>
            <w:vAlign w:val="center"/>
            <w:hideMark/>
          </w:tcPr>
          <w:p w14:paraId="2B0CD4ED" w14:textId="77777777" w:rsidR="00DC01E3" w:rsidRPr="00C920D4" w:rsidRDefault="00DC01E3" w:rsidP="00477F0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/>
                <w:sz w:val="22"/>
              </w:rPr>
              <w:t>1 (0.7)</w:t>
            </w:r>
          </w:p>
        </w:tc>
      </w:tr>
      <w:tr w:rsidR="0044798C" w:rsidRPr="00C920D4" w14:paraId="0A0F0D95" w14:textId="77777777" w:rsidTr="002024B3">
        <w:trPr>
          <w:trHeight w:val="405"/>
        </w:trPr>
        <w:tc>
          <w:tcPr>
            <w:tcW w:w="5159" w:type="dxa"/>
          </w:tcPr>
          <w:p w14:paraId="3AF2397C" w14:textId="220DFCBE" w:rsidR="0044798C" w:rsidRPr="00C920D4" w:rsidRDefault="009E4ED6" w:rsidP="00DC01E3">
            <w:pPr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>Received</w:t>
            </w:r>
            <w:r w:rsidR="0044798C" w:rsidRPr="00C920D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920D4">
              <w:rPr>
                <w:rFonts w:ascii="Times New Roman" w:hAnsi="Times New Roman" w:cs="Times New Roman" w:hint="eastAsia"/>
                <w:sz w:val="22"/>
              </w:rPr>
              <w:t>t</w:t>
            </w:r>
            <w:r w:rsidR="0044798C" w:rsidRPr="00C920D4">
              <w:rPr>
                <w:rFonts w:ascii="Times New Roman" w:hAnsi="Times New Roman" w:cs="Times New Roman"/>
                <w:sz w:val="22"/>
              </w:rPr>
              <w:t>opical steroid</w:t>
            </w:r>
          </w:p>
        </w:tc>
        <w:tc>
          <w:tcPr>
            <w:tcW w:w="2268" w:type="dxa"/>
            <w:vAlign w:val="center"/>
          </w:tcPr>
          <w:p w14:paraId="79942E86" w14:textId="25B4D478" w:rsidR="0044798C" w:rsidRPr="00C920D4" w:rsidRDefault="0044798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C920D4">
              <w:rPr>
                <w:rFonts w:ascii="Times New Roman" w:hAnsi="Times New Roman" w:cs="Times New Roman"/>
                <w:sz w:val="22"/>
              </w:rPr>
              <w:t>6 (68.4)</w:t>
            </w:r>
          </w:p>
        </w:tc>
        <w:tc>
          <w:tcPr>
            <w:tcW w:w="2268" w:type="dxa"/>
            <w:vAlign w:val="center"/>
          </w:tcPr>
          <w:p w14:paraId="44C9BAC6" w14:textId="7D1D481C" w:rsidR="0044798C" w:rsidRPr="00C920D4" w:rsidRDefault="0044798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</w:rPr>
            </w:pPr>
            <w:r w:rsidRPr="00C920D4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C920D4">
              <w:rPr>
                <w:rFonts w:ascii="Times New Roman" w:hAnsi="Times New Roman" w:cs="Times New Roman"/>
                <w:sz w:val="22"/>
              </w:rPr>
              <w:t>1 (41.1)</w:t>
            </w:r>
          </w:p>
        </w:tc>
      </w:tr>
    </w:tbl>
    <w:p w14:paraId="6728A18A" w14:textId="5997681F" w:rsidR="0032355B" w:rsidRPr="00C920D4" w:rsidRDefault="0032355B" w:rsidP="00DC01E3">
      <w:pPr>
        <w:rPr>
          <w:rFonts w:ascii="Times New Roman" w:hAnsi="Times New Roman" w:cs="Times New Roman"/>
          <w:sz w:val="22"/>
        </w:rPr>
      </w:pPr>
    </w:p>
    <w:p w14:paraId="208261C7" w14:textId="77777777" w:rsidR="0032355B" w:rsidRPr="00C920D4" w:rsidRDefault="0032355B">
      <w:pPr>
        <w:widowControl/>
        <w:jc w:val="left"/>
        <w:rPr>
          <w:rFonts w:ascii="Times New Roman" w:hAnsi="Times New Roman" w:cs="Times New Roman"/>
          <w:sz w:val="22"/>
        </w:rPr>
      </w:pPr>
      <w:r w:rsidRPr="00C920D4">
        <w:rPr>
          <w:rFonts w:ascii="Times New Roman" w:hAnsi="Times New Roman" w:cs="Times New Roman"/>
          <w:sz w:val="22"/>
        </w:rPr>
        <w:br w:type="page"/>
      </w:r>
    </w:p>
    <w:p w14:paraId="515D812A" w14:textId="1B200282" w:rsidR="0032355B" w:rsidRPr="00C920D4" w:rsidRDefault="0032355B" w:rsidP="0032355B">
      <w:pPr>
        <w:rPr>
          <w:rFonts w:ascii="Times New Roman" w:hAnsi="Times New Roman" w:cs="Times New Roman"/>
          <w:sz w:val="22"/>
          <w:szCs w:val="24"/>
        </w:rPr>
      </w:pPr>
      <w:r w:rsidRPr="00C920D4">
        <w:rPr>
          <w:rFonts w:ascii="Times New Roman" w:hAnsi="Times New Roman" w:cs="Times New Roman"/>
          <w:sz w:val="22"/>
          <w:szCs w:val="24"/>
        </w:rPr>
        <w:lastRenderedPageBreak/>
        <w:t>Table S3. Time to platelets and neutrophils recovery in the Japanese P1/2 study and global P3 study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3"/>
        <w:gridCol w:w="2158"/>
        <w:gridCol w:w="2145"/>
      </w:tblGrid>
      <w:tr w:rsidR="00C920D4" w:rsidRPr="00C920D4" w14:paraId="29567D22" w14:textId="77777777" w:rsidTr="00563E7C">
        <w:trPr>
          <w:trHeight w:val="405"/>
          <w:jc w:val="center"/>
        </w:trPr>
        <w:tc>
          <w:tcPr>
            <w:tcW w:w="5443" w:type="dxa"/>
            <w:shd w:val="clear" w:color="auto" w:fill="D0CECE" w:themeFill="background2" w:themeFillShade="E6"/>
            <w:noWrap/>
            <w:hideMark/>
          </w:tcPr>
          <w:p w14:paraId="0B30FBCE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　</w:t>
            </w:r>
          </w:p>
        </w:tc>
        <w:tc>
          <w:tcPr>
            <w:tcW w:w="2158" w:type="dxa"/>
            <w:shd w:val="clear" w:color="auto" w:fill="D0CECE" w:themeFill="background2" w:themeFillShade="E6"/>
            <w:hideMark/>
          </w:tcPr>
          <w:p w14:paraId="7138D59D" w14:textId="77777777" w:rsidR="0032355B" w:rsidRPr="00C920D4" w:rsidRDefault="0032355B" w:rsidP="005B07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Japanese P1/2 study</w:t>
            </w:r>
          </w:p>
        </w:tc>
        <w:tc>
          <w:tcPr>
            <w:tcW w:w="2145" w:type="dxa"/>
            <w:shd w:val="clear" w:color="auto" w:fill="D0CECE" w:themeFill="background2" w:themeFillShade="E6"/>
            <w:hideMark/>
          </w:tcPr>
          <w:p w14:paraId="2C67E8B0" w14:textId="77777777" w:rsidR="0032355B" w:rsidRPr="00C920D4" w:rsidRDefault="0032355B" w:rsidP="005B07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Global P3 study</w:t>
            </w:r>
          </w:p>
        </w:tc>
      </w:tr>
      <w:tr w:rsidR="00C920D4" w:rsidRPr="00C920D4" w14:paraId="579A0A28" w14:textId="77777777" w:rsidTr="00563E7C">
        <w:trPr>
          <w:trHeight w:val="405"/>
          <w:jc w:val="center"/>
        </w:trPr>
        <w:tc>
          <w:tcPr>
            <w:tcW w:w="5443" w:type="dxa"/>
            <w:shd w:val="clear" w:color="auto" w:fill="D0CECE" w:themeFill="background2" w:themeFillShade="E6"/>
            <w:noWrap/>
            <w:hideMark/>
          </w:tcPr>
          <w:p w14:paraId="760B48FB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　</w:t>
            </w:r>
          </w:p>
        </w:tc>
        <w:tc>
          <w:tcPr>
            <w:tcW w:w="2158" w:type="dxa"/>
            <w:shd w:val="clear" w:color="auto" w:fill="D0CECE" w:themeFill="background2" w:themeFillShade="E6"/>
            <w:hideMark/>
          </w:tcPr>
          <w:p w14:paraId="29FBB7E7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Median day(Q1, Q3)</w:t>
            </w:r>
          </w:p>
        </w:tc>
        <w:tc>
          <w:tcPr>
            <w:tcW w:w="2145" w:type="dxa"/>
            <w:shd w:val="clear" w:color="auto" w:fill="D0CECE" w:themeFill="background2" w:themeFillShade="E6"/>
            <w:hideMark/>
          </w:tcPr>
          <w:p w14:paraId="38CACFFE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Median day(Q1, Q3)</w:t>
            </w:r>
          </w:p>
        </w:tc>
      </w:tr>
      <w:tr w:rsidR="00C920D4" w:rsidRPr="00C920D4" w14:paraId="0407E606" w14:textId="77777777" w:rsidTr="00563E7C">
        <w:trPr>
          <w:trHeight w:val="454"/>
          <w:jc w:val="center"/>
        </w:trPr>
        <w:tc>
          <w:tcPr>
            <w:tcW w:w="5443" w:type="dxa"/>
            <w:noWrap/>
            <w:hideMark/>
          </w:tcPr>
          <w:p w14:paraId="4B8473ED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All, n</w:t>
            </w:r>
          </w:p>
        </w:tc>
        <w:tc>
          <w:tcPr>
            <w:tcW w:w="2158" w:type="dxa"/>
            <w:vAlign w:val="center"/>
            <w:hideMark/>
          </w:tcPr>
          <w:p w14:paraId="33602B4F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47</w:t>
            </w:r>
          </w:p>
        </w:tc>
        <w:tc>
          <w:tcPr>
            <w:tcW w:w="2145" w:type="dxa"/>
            <w:vAlign w:val="center"/>
            <w:hideMark/>
          </w:tcPr>
          <w:p w14:paraId="0B6A31DF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153</w:t>
            </w:r>
          </w:p>
        </w:tc>
      </w:tr>
      <w:tr w:rsidR="00C920D4" w:rsidRPr="00C920D4" w14:paraId="1CCD70D0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  <w:hideMark/>
          </w:tcPr>
          <w:p w14:paraId="3E101586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platelet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50,000 platelets/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F2F2F2" w:themeFill="background1" w:themeFillShade="F2"/>
            <w:vAlign w:val="center"/>
            <w:hideMark/>
          </w:tcPr>
          <w:p w14:paraId="0A168901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 (29, 64)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  <w:hideMark/>
          </w:tcPr>
          <w:p w14:paraId="1D929E3E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37 (34, 54)</w:t>
            </w:r>
          </w:p>
        </w:tc>
      </w:tr>
      <w:tr w:rsidR="00C920D4" w:rsidRPr="00C920D4" w14:paraId="34AECECC" w14:textId="77777777" w:rsidTr="00563E7C">
        <w:trPr>
          <w:trHeight w:val="454"/>
          <w:jc w:val="center"/>
        </w:trPr>
        <w:tc>
          <w:tcPr>
            <w:tcW w:w="5443" w:type="dxa"/>
            <w:noWrap/>
            <w:hideMark/>
          </w:tcPr>
          <w:p w14:paraId="106DAF8F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platelet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100,000 platelets/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vAlign w:val="center"/>
            <w:hideMark/>
          </w:tcPr>
          <w:p w14:paraId="5AF4CC2D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 (29, 73)</w:t>
            </w:r>
          </w:p>
        </w:tc>
        <w:tc>
          <w:tcPr>
            <w:tcW w:w="2145" w:type="dxa"/>
            <w:vAlign w:val="center"/>
            <w:hideMark/>
          </w:tcPr>
          <w:p w14:paraId="7C49C245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44 (36, NA)</w:t>
            </w:r>
          </w:p>
        </w:tc>
      </w:tr>
      <w:tr w:rsidR="00C920D4" w:rsidRPr="00C920D4" w14:paraId="683CC842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  <w:hideMark/>
          </w:tcPr>
          <w:p w14:paraId="31403A28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neutrophil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500 neutrophils/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F2F2F2" w:themeFill="background1" w:themeFillShade="F2"/>
            <w:vAlign w:val="center"/>
            <w:hideMark/>
          </w:tcPr>
          <w:p w14:paraId="0803E667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 (29, 43)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  <w:hideMark/>
          </w:tcPr>
          <w:p w14:paraId="18AAB70A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 (29, 48)</w:t>
            </w:r>
          </w:p>
        </w:tc>
      </w:tr>
      <w:tr w:rsidR="00C920D4" w:rsidRPr="00C920D4" w14:paraId="1EB71315" w14:textId="77777777" w:rsidTr="00563E7C">
        <w:trPr>
          <w:trHeight w:val="454"/>
          <w:jc w:val="center"/>
        </w:trPr>
        <w:tc>
          <w:tcPr>
            <w:tcW w:w="5443" w:type="dxa"/>
            <w:noWrap/>
            <w:hideMark/>
          </w:tcPr>
          <w:p w14:paraId="7EDB6CB5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neutrophil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1,000 neutrophils/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vAlign w:val="center"/>
            <w:hideMark/>
          </w:tcPr>
          <w:p w14:paraId="42E648B3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 (31, 51)</w:t>
            </w:r>
          </w:p>
        </w:tc>
        <w:tc>
          <w:tcPr>
            <w:tcW w:w="2145" w:type="dxa"/>
            <w:vAlign w:val="center"/>
            <w:hideMark/>
          </w:tcPr>
          <w:p w14:paraId="177FD911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41 (34, 53)</w:t>
            </w:r>
          </w:p>
        </w:tc>
      </w:tr>
      <w:tr w:rsidR="00C920D4" w:rsidRPr="00C920D4" w14:paraId="6249B149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  <w:hideMark/>
          </w:tcPr>
          <w:p w14:paraId="7063BF0E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Achieve CR/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CRi</w:t>
            </w:r>
            <w:proofErr w:type="spellEnd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 in 1 induction cycle, n</w:t>
            </w:r>
          </w:p>
        </w:tc>
        <w:tc>
          <w:tcPr>
            <w:tcW w:w="2158" w:type="dxa"/>
            <w:shd w:val="clear" w:color="auto" w:fill="F2F2F2" w:themeFill="background1" w:themeFillShade="F2"/>
            <w:vAlign w:val="center"/>
            <w:hideMark/>
          </w:tcPr>
          <w:p w14:paraId="3DA55F4B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24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  <w:hideMark/>
          </w:tcPr>
          <w:p w14:paraId="0C45869B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58</w:t>
            </w:r>
          </w:p>
        </w:tc>
      </w:tr>
      <w:tr w:rsidR="00C920D4" w:rsidRPr="00C920D4" w14:paraId="200BCFB3" w14:textId="77777777" w:rsidTr="00563E7C">
        <w:trPr>
          <w:trHeight w:val="454"/>
          <w:jc w:val="center"/>
        </w:trPr>
        <w:tc>
          <w:tcPr>
            <w:tcW w:w="5443" w:type="dxa"/>
            <w:noWrap/>
            <w:hideMark/>
          </w:tcPr>
          <w:p w14:paraId="40233A93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platelet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50,000 platelets/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vAlign w:val="center"/>
            <w:hideMark/>
          </w:tcPr>
          <w:p w14:paraId="228AF950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 (29, 47)</w:t>
            </w:r>
          </w:p>
        </w:tc>
        <w:tc>
          <w:tcPr>
            <w:tcW w:w="2145" w:type="dxa"/>
            <w:vAlign w:val="center"/>
            <w:hideMark/>
          </w:tcPr>
          <w:p w14:paraId="488B38B8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37 (34, 44)</w:t>
            </w:r>
          </w:p>
        </w:tc>
      </w:tr>
      <w:tr w:rsidR="00C920D4" w:rsidRPr="00C920D4" w14:paraId="29CE0433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  <w:hideMark/>
          </w:tcPr>
          <w:p w14:paraId="002BCC3D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platelet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100,000 platelets/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F2F2F2" w:themeFill="background1" w:themeFillShade="F2"/>
            <w:vAlign w:val="center"/>
            <w:hideMark/>
          </w:tcPr>
          <w:p w14:paraId="2B46FB35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 (29, 54.5)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  <w:hideMark/>
          </w:tcPr>
          <w:p w14:paraId="5D1FD8D3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42.5 (35, 49)</w:t>
            </w:r>
          </w:p>
        </w:tc>
      </w:tr>
      <w:tr w:rsidR="00C920D4" w:rsidRPr="00C920D4" w14:paraId="0B35999D" w14:textId="77777777" w:rsidTr="00563E7C">
        <w:trPr>
          <w:trHeight w:val="454"/>
          <w:jc w:val="center"/>
        </w:trPr>
        <w:tc>
          <w:tcPr>
            <w:tcW w:w="5443" w:type="dxa"/>
            <w:noWrap/>
            <w:hideMark/>
          </w:tcPr>
          <w:p w14:paraId="5F83E16E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neutrophil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500 neutrophils/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vAlign w:val="center"/>
            <w:hideMark/>
          </w:tcPr>
          <w:p w14:paraId="616C2F0C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 (29, 47)</w:t>
            </w:r>
          </w:p>
        </w:tc>
        <w:tc>
          <w:tcPr>
            <w:tcW w:w="2145" w:type="dxa"/>
            <w:vAlign w:val="center"/>
            <w:hideMark/>
          </w:tcPr>
          <w:p w14:paraId="0E55C364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35 (29, 41)</w:t>
            </w:r>
          </w:p>
        </w:tc>
      </w:tr>
      <w:tr w:rsidR="00C920D4" w:rsidRPr="00C920D4" w14:paraId="60B7687E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  <w:hideMark/>
          </w:tcPr>
          <w:p w14:paraId="2252DE0D" w14:textId="77777777" w:rsidR="0032355B" w:rsidRPr="00C920D4" w:rsidRDefault="0032355B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neutrophil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000 neutrophils/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F2F2F2" w:themeFill="background1" w:themeFillShade="F2"/>
            <w:vAlign w:val="center"/>
            <w:hideMark/>
          </w:tcPr>
          <w:p w14:paraId="601D4D2C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36.5 (31, 47)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  <w:hideMark/>
          </w:tcPr>
          <w:p w14:paraId="5F267084" w14:textId="77777777" w:rsidR="0032355B" w:rsidRPr="00C920D4" w:rsidRDefault="0032355B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38 (34, 43)</w:t>
            </w:r>
          </w:p>
        </w:tc>
      </w:tr>
      <w:tr w:rsidR="00C920D4" w:rsidRPr="00C920D4" w14:paraId="610AA282" w14:textId="77777777" w:rsidTr="002024B3">
        <w:trPr>
          <w:trHeight w:val="454"/>
          <w:jc w:val="center"/>
        </w:trPr>
        <w:tc>
          <w:tcPr>
            <w:tcW w:w="5443" w:type="dxa"/>
            <w:shd w:val="clear" w:color="auto" w:fill="auto"/>
            <w:noWrap/>
          </w:tcPr>
          <w:p w14:paraId="2DB96FD0" w14:textId="1CA19296" w:rsidR="00563E7C" w:rsidRPr="00C920D4" w:rsidRDefault="00563E7C" w:rsidP="005B079B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AML-MRC, n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E035315" w14:textId="2AD7E7A8" w:rsidR="00563E7C" w:rsidRPr="00C920D4" w:rsidRDefault="00563E7C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20972246" w14:textId="73F9C379" w:rsidR="00563E7C" w:rsidRPr="00C920D4" w:rsidRDefault="00563E7C" w:rsidP="005B079B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12</w:t>
            </w:r>
          </w:p>
        </w:tc>
      </w:tr>
      <w:tr w:rsidR="00C920D4" w:rsidRPr="00C920D4" w14:paraId="50BC0F56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</w:tcPr>
          <w:p w14:paraId="70092F36" w14:textId="2F50A200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platelet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50,000 platelets/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F2F2F2" w:themeFill="background1" w:themeFillShade="F2"/>
            <w:vAlign w:val="center"/>
          </w:tcPr>
          <w:p w14:paraId="2B653097" w14:textId="06FB1827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6 (29, 64)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</w:tcPr>
          <w:p w14:paraId="6405E200" w14:textId="59A18AD5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7 (34,</w:t>
            </w: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 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48)</w:t>
            </w:r>
          </w:p>
        </w:tc>
      </w:tr>
      <w:tr w:rsidR="00C920D4" w:rsidRPr="00C920D4" w14:paraId="37D6A2A6" w14:textId="77777777" w:rsidTr="002024B3">
        <w:trPr>
          <w:trHeight w:val="454"/>
          <w:jc w:val="center"/>
        </w:trPr>
        <w:tc>
          <w:tcPr>
            <w:tcW w:w="5443" w:type="dxa"/>
            <w:shd w:val="clear" w:color="auto" w:fill="auto"/>
            <w:noWrap/>
          </w:tcPr>
          <w:p w14:paraId="59A54150" w14:textId="43639FFC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platelet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100,000 platelets/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auto"/>
            <w:vAlign w:val="center"/>
          </w:tcPr>
          <w:p w14:paraId="33C7898F" w14:textId="3CA88DDA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6 (30, 73)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08F4F138" w14:textId="4B017CC2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4 (36, NA)</w:t>
            </w:r>
          </w:p>
        </w:tc>
      </w:tr>
      <w:tr w:rsidR="00C920D4" w:rsidRPr="00C920D4" w14:paraId="05E8F672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</w:tcPr>
          <w:p w14:paraId="402A81B6" w14:textId="5FFD530C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neutrophil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500 neutrophils/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F2F2F2" w:themeFill="background1" w:themeFillShade="F2"/>
            <w:vAlign w:val="center"/>
          </w:tcPr>
          <w:p w14:paraId="39BF00EE" w14:textId="0A8B5BF7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6 (29, 50)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</w:tcPr>
          <w:p w14:paraId="6F936DD2" w14:textId="52F2D7FC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 (29, 44)</w:t>
            </w:r>
          </w:p>
        </w:tc>
      </w:tr>
      <w:tr w:rsidR="00C920D4" w:rsidRPr="00C920D4" w14:paraId="1ADE08F4" w14:textId="77777777" w:rsidTr="002024B3">
        <w:trPr>
          <w:trHeight w:val="454"/>
          <w:jc w:val="center"/>
        </w:trPr>
        <w:tc>
          <w:tcPr>
            <w:tcW w:w="5443" w:type="dxa"/>
            <w:shd w:val="clear" w:color="auto" w:fill="auto"/>
            <w:noWrap/>
          </w:tcPr>
          <w:p w14:paraId="1AB7B58D" w14:textId="1467DEA9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neutrophil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1,000 neutrophils/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auto"/>
            <w:vAlign w:val="center"/>
          </w:tcPr>
          <w:p w14:paraId="14BCB58C" w14:textId="5D41507A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7 (31, 51)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268D6EBD" w14:textId="526E5C7E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0 (34, 49)</w:t>
            </w:r>
          </w:p>
        </w:tc>
      </w:tr>
      <w:tr w:rsidR="00C920D4" w:rsidRPr="00C920D4" w14:paraId="2B51185F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</w:tcPr>
          <w:p w14:paraId="530A2645" w14:textId="555181AD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Therapy-related AML, n</w:t>
            </w:r>
          </w:p>
        </w:tc>
        <w:tc>
          <w:tcPr>
            <w:tcW w:w="2158" w:type="dxa"/>
            <w:shd w:val="clear" w:color="auto" w:fill="F2F2F2" w:themeFill="background1" w:themeFillShade="F2"/>
            <w:vAlign w:val="center"/>
          </w:tcPr>
          <w:p w14:paraId="476B16A8" w14:textId="36F78F57" w:rsidR="00563E7C" w:rsidRPr="00C920D4" w:rsidRDefault="00563E7C" w:rsidP="00563E7C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</w:tcPr>
          <w:p w14:paraId="725112F4" w14:textId="6B7D39C6" w:rsidR="00563E7C" w:rsidRPr="00C920D4" w:rsidRDefault="00563E7C" w:rsidP="00563E7C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C920D4" w:rsidRPr="00C920D4" w14:paraId="5234FE45" w14:textId="77777777" w:rsidTr="002024B3">
        <w:trPr>
          <w:trHeight w:val="454"/>
          <w:jc w:val="center"/>
        </w:trPr>
        <w:tc>
          <w:tcPr>
            <w:tcW w:w="5443" w:type="dxa"/>
            <w:shd w:val="clear" w:color="auto" w:fill="auto"/>
            <w:noWrap/>
          </w:tcPr>
          <w:p w14:paraId="6120C68E" w14:textId="5E9472C8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platelet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50,000 platelets/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auto"/>
            <w:vAlign w:val="center"/>
          </w:tcPr>
          <w:p w14:paraId="416E31D1" w14:textId="4CFEE12B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9 (22, 36)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B79FEE9" w14:textId="0739E303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 (34, 62)</w:t>
            </w:r>
          </w:p>
        </w:tc>
      </w:tr>
      <w:tr w:rsidR="00C920D4" w:rsidRPr="00C920D4" w14:paraId="09F0A0CA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</w:tcPr>
          <w:p w14:paraId="560B7DCC" w14:textId="0004512E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platelet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100,000 platelets/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F2F2F2" w:themeFill="background1" w:themeFillShade="F2"/>
            <w:vAlign w:val="center"/>
          </w:tcPr>
          <w:p w14:paraId="11E5E80F" w14:textId="4C347CD0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3.5 (29, 38)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</w:tcPr>
          <w:p w14:paraId="3C043EF9" w14:textId="1742E066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 (34, NA)</w:t>
            </w:r>
          </w:p>
        </w:tc>
      </w:tr>
      <w:tr w:rsidR="00C920D4" w:rsidRPr="00C920D4" w14:paraId="083A6B1C" w14:textId="77777777" w:rsidTr="002024B3">
        <w:trPr>
          <w:trHeight w:val="454"/>
          <w:jc w:val="center"/>
        </w:trPr>
        <w:tc>
          <w:tcPr>
            <w:tcW w:w="5443" w:type="dxa"/>
            <w:shd w:val="clear" w:color="auto" w:fill="auto"/>
            <w:noWrap/>
          </w:tcPr>
          <w:p w14:paraId="6F55200D" w14:textId="40AB021D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neutrophil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500 neutrophils/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auto"/>
            <w:vAlign w:val="center"/>
          </w:tcPr>
          <w:p w14:paraId="2FBB752E" w14:textId="74B1CBA2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2.5 (29, 36)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458B3343" w14:textId="15831605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7 (34, 49)</w:t>
            </w:r>
          </w:p>
        </w:tc>
      </w:tr>
      <w:tr w:rsidR="00C920D4" w:rsidRPr="00C920D4" w14:paraId="1F4479E3" w14:textId="77777777" w:rsidTr="00563E7C">
        <w:trPr>
          <w:trHeight w:val="454"/>
          <w:jc w:val="center"/>
        </w:trPr>
        <w:tc>
          <w:tcPr>
            <w:tcW w:w="5443" w:type="dxa"/>
            <w:shd w:val="clear" w:color="auto" w:fill="F2F2F2" w:themeFill="background1" w:themeFillShade="F2"/>
            <w:noWrap/>
          </w:tcPr>
          <w:p w14:paraId="442BB583" w14:textId="7B7CF969" w:rsidR="00563E7C" w:rsidRPr="00C920D4" w:rsidRDefault="00563E7C" w:rsidP="00563E7C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 xml:space="preserve">Time to neutrophil recovery </w:t>
            </w:r>
            <w:r w:rsidRPr="00C920D4">
              <w:rPr>
                <w:rFonts w:ascii="Times New Roman" w:eastAsia="ＭＳ Ｐゴシック" w:hAnsi="Times New Roman" w:cs="Times New Roman"/>
                <w:kern w:val="36"/>
                <w:sz w:val="22"/>
              </w:rPr>
              <w:t>≥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1,000 neutrophils/</w:t>
            </w:r>
            <w:proofErr w:type="spellStart"/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μL</w:t>
            </w:r>
            <w:proofErr w:type="spellEnd"/>
          </w:p>
        </w:tc>
        <w:tc>
          <w:tcPr>
            <w:tcW w:w="2158" w:type="dxa"/>
            <w:shd w:val="clear" w:color="auto" w:fill="F2F2F2" w:themeFill="background1" w:themeFillShade="F2"/>
            <w:vAlign w:val="center"/>
          </w:tcPr>
          <w:p w14:paraId="5BDF4019" w14:textId="0837C91A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3.5 (31, 36)</w:t>
            </w:r>
          </w:p>
        </w:tc>
        <w:tc>
          <w:tcPr>
            <w:tcW w:w="2145" w:type="dxa"/>
            <w:shd w:val="clear" w:color="auto" w:fill="F2F2F2" w:themeFill="background1" w:themeFillShade="F2"/>
            <w:vAlign w:val="center"/>
          </w:tcPr>
          <w:p w14:paraId="1EAAF34C" w14:textId="4A10570F" w:rsidR="00563E7C" w:rsidRPr="00C920D4" w:rsidRDefault="00563E7C" w:rsidP="002024B3">
            <w:pPr>
              <w:wordWrap w:val="0"/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C920D4"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 w:rsidRPr="00C920D4">
              <w:rPr>
                <w:rFonts w:ascii="Times New Roman" w:hAnsi="Times New Roman" w:cs="Times New Roman"/>
                <w:sz w:val="22"/>
                <w:szCs w:val="24"/>
              </w:rPr>
              <w:t>1 (34, 55)</w:t>
            </w:r>
          </w:p>
        </w:tc>
      </w:tr>
    </w:tbl>
    <w:p w14:paraId="7730A33B" w14:textId="77777777" w:rsidR="0032355B" w:rsidRPr="00C920D4" w:rsidRDefault="0032355B" w:rsidP="0032355B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</w:p>
    <w:p w14:paraId="3BE4F4FD" w14:textId="77777777" w:rsidR="00DC01E3" w:rsidRPr="00C920D4" w:rsidRDefault="00DC01E3" w:rsidP="00DC01E3">
      <w:pPr>
        <w:rPr>
          <w:rFonts w:ascii="Times New Roman" w:hAnsi="Times New Roman" w:cs="Times New Roman"/>
          <w:sz w:val="22"/>
        </w:rPr>
      </w:pPr>
    </w:p>
    <w:sectPr w:rsidR="00DC01E3" w:rsidRPr="00C920D4" w:rsidSect="00DC01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769D9" w14:textId="77777777" w:rsidR="0043625A" w:rsidRDefault="0043625A" w:rsidP="003421D3">
      <w:r>
        <w:separator/>
      </w:r>
    </w:p>
  </w:endnote>
  <w:endnote w:type="continuationSeparator" w:id="0">
    <w:p w14:paraId="6FEB9C38" w14:textId="77777777" w:rsidR="0043625A" w:rsidRDefault="0043625A" w:rsidP="0034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8D95D" w14:textId="77777777" w:rsidR="0043625A" w:rsidRDefault="0043625A" w:rsidP="003421D3">
      <w:r>
        <w:separator/>
      </w:r>
    </w:p>
  </w:footnote>
  <w:footnote w:type="continuationSeparator" w:id="0">
    <w:p w14:paraId="7351F8C7" w14:textId="77777777" w:rsidR="0043625A" w:rsidRDefault="0043625A" w:rsidP="00342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E3"/>
    <w:rsid w:val="00082DCA"/>
    <w:rsid w:val="000F7433"/>
    <w:rsid w:val="00110824"/>
    <w:rsid w:val="00173E60"/>
    <w:rsid w:val="001E4291"/>
    <w:rsid w:val="001F23AF"/>
    <w:rsid w:val="002024B3"/>
    <w:rsid w:val="0023218C"/>
    <w:rsid w:val="002D15E3"/>
    <w:rsid w:val="0032355B"/>
    <w:rsid w:val="003421D3"/>
    <w:rsid w:val="0039221E"/>
    <w:rsid w:val="0043625A"/>
    <w:rsid w:val="0044798C"/>
    <w:rsid w:val="00477F00"/>
    <w:rsid w:val="00556C18"/>
    <w:rsid w:val="00563E7C"/>
    <w:rsid w:val="005A1B5A"/>
    <w:rsid w:val="00717413"/>
    <w:rsid w:val="00794069"/>
    <w:rsid w:val="00794D88"/>
    <w:rsid w:val="0087602D"/>
    <w:rsid w:val="00884047"/>
    <w:rsid w:val="009E4ED6"/>
    <w:rsid w:val="009E7912"/>
    <w:rsid w:val="00C920D4"/>
    <w:rsid w:val="00DC01E3"/>
    <w:rsid w:val="00E2228F"/>
    <w:rsid w:val="00E24D01"/>
    <w:rsid w:val="00E778AE"/>
    <w:rsid w:val="00ED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36065A"/>
  <w15:chartTrackingRefBased/>
  <w15:docId w15:val="{086A0237-EC91-4213-991E-51D4B55F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1E3"/>
    <w:pPr>
      <w:widowControl w:val="0"/>
      <w:jc w:val="both"/>
    </w:pPr>
    <w:rPr>
      <w14:ligatures w14:val="none"/>
    </w:rPr>
  </w:style>
  <w:style w:type="paragraph" w:styleId="1">
    <w:name w:val="heading 1"/>
    <w:basedOn w:val="a"/>
    <w:link w:val="10"/>
    <w:uiPriority w:val="9"/>
    <w:qFormat/>
    <w:rsid w:val="00ED2806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C01E3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DC01E3"/>
    <w:pPr>
      <w:jc w:val="left"/>
    </w:pPr>
    <w:rPr>
      <w14:ligatures w14:val="standardContextual"/>
    </w:rPr>
  </w:style>
  <w:style w:type="character" w:customStyle="1" w:styleId="a5">
    <w:name w:val="コメント文字列 (文字)"/>
    <w:basedOn w:val="a0"/>
    <w:link w:val="a4"/>
    <w:uiPriority w:val="99"/>
    <w:rsid w:val="00DC01E3"/>
  </w:style>
  <w:style w:type="character" w:styleId="a6">
    <w:name w:val="Hyperlink"/>
    <w:basedOn w:val="a0"/>
    <w:uiPriority w:val="99"/>
    <w:unhideWhenUsed/>
    <w:rsid w:val="00DC01E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C01E3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DC0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ED2806"/>
    <w:rPr>
      <w:rFonts w:ascii="ＭＳ Ｐゴシック" w:eastAsia="ＭＳ Ｐゴシック" w:hAnsi="ＭＳ Ｐゴシック" w:cs="ＭＳ Ｐゴシック"/>
      <w:b/>
      <w:bCs/>
      <w:kern w:val="36"/>
      <w:sz w:val="48"/>
      <w:szCs w:val="48"/>
      <w14:ligatures w14:val="none"/>
    </w:rPr>
  </w:style>
  <w:style w:type="paragraph" w:styleId="a9">
    <w:name w:val="header"/>
    <w:basedOn w:val="a"/>
    <w:link w:val="aa"/>
    <w:uiPriority w:val="99"/>
    <w:unhideWhenUsed/>
    <w:rsid w:val="003421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421D3"/>
    <w:rPr>
      <w14:ligatures w14:val="none"/>
    </w:rPr>
  </w:style>
  <w:style w:type="paragraph" w:styleId="ab">
    <w:name w:val="footer"/>
    <w:basedOn w:val="a"/>
    <w:link w:val="ac"/>
    <w:uiPriority w:val="99"/>
    <w:unhideWhenUsed/>
    <w:rsid w:val="003421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21D3"/>
    <w:rPr>
      <w14:ligatures w14:val="none"/>
    </w:rPr>
  </w:style>
  <w:style w:type="paragraph" w:styleId="ad">
    <w:name w:val="annotation subject"/>
    <w:basedOn w:val="a4"/>
    <w:next w:val="a4"/>
    <w:link w:val="ae"/>
    <w:uiPriority w:val="99"/>
    <w:semiHidden/>
    <w:unhideWhenUsed/>
    <w:rsid w:val="00110824"/>
    <w:rPr>
      <w:b/>
      <w:bCs/>
      <w14:ligatures w14:val="none"/>
    </w:rPr>
  </w:style>
  <w:style w:type="character" w:customStyle="1" w:styleId="ae">
    <w:name w:val="コメント内容 (文字)"/>
    <w:basedOn w:val="a5"/>
    <w:link w:val="ad"/>
    <w:uiPriority w:val="99"/>
    <w:semiHidden/>
    <w:rsid w:val="00110824"/>
    <w:rPr>
      <w:b/>
      <w:bCs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110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10824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1">
    <w:name w:val="Revision"/>
    <w:hidden/>
    <w:uiPriority w:val="99"/>
    <w:semiHidden/>
    <w:rsid w:val="0032355B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NIPPON SHINYAKU CO.,LTD.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冨山 祐作／Yusaku TOMIYAMA</dc:creator>
  <cp:keywords/>
  <dc:description/>
  <cp:lastModifiedBy>冨山 祐作／Yusaku TOMIYAMA</cp:lastModifiedBy>
  <cp:revision>3</cp:revision>
  <dcterms:created xsi:type="dcterms:W3CDTF">2025-07-16T03:28:00Z</dcterms:created>
  <dcterms:modified xsi:type="dcterms:W3CDTF">2025-08-08T02:47:00Z</dcterms:modified>
</cp:coreProperties>
</file>