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DE6C2D" w14:textId="5364C926" w:rsidR="00853949" w:rsidRPr="008052F5" w:rsidRDefault="004741E7">
      <w:pPr>
        <w:rPr>
          <w:rFonts w:ascii="Arial" w:hAnsi="Arial" w:cs="Arial"/>
          <w:b/>
          <w:bCs/>
          <w:sz w:val="28"/>
          <w:szCs w:val="28"/>
        </w:rPr>
      </w:pPr>
      <w:r w:rsidRPr="008052F5">
        <w:rPr>
          <w:rFonts w:ascii="Arial" w:hAnsi="Arial" w:cs="Arial"/>
          <w:b/>
          <w:bCs/>
          <w:sz w:val="28"/>
          <w:szCs w:val="28"/>
        </w:rPr>
        <w:t>Supplementary Information</w:t>
      </w:r>
    </w:p>
    <w:p w14:paraId="4ED3C794" w14:textId="77777777" w:rsidR="004741E7" w:rsidRPr="008052F5" w:rsidRDefault="004741E7" w:rsidP="42CA4079">
      <w:pPr>
        <w:rPr>
          <w:rFonts w:ascii="Arial" w:hAnsi="Arial" w:cs="Arial"/>
          <w:b/>
          <w:bCs/>
        </w:rPr>
      </w:pPr>
    </w:p>
    <w:p w14:paraId="5F7348FD" w14:textId="77777777" w:rsidR="004741E7" w:rsidRPr="008052F5" w:rsidRDefault="004741E7" w:rsidP="42CA4079">
      <w:pPr>
        <w:rPr>
          <w:rFonts w:ascii="Arial" w:hAnsi="Arial" w:cs="Arial"/>
          <w:b/>
          <w:bCs/>
        </w:rPr>
      </w:pPr>
    </w:p>
    <w:p w14:paraId="5CCC568C" w14:textId="2D9C4797" w:rsidR="00892DC7" w:rsidRPr="008052F5" w:rsidRDefault="00892DC7" w:rsidP="42CA4079">
      <w:pPr>
        <w:rPr>
          <w:rFonts w:ascii="Arial" w:hAnsi="Arial" w:cs="Arial"/>
          <w:b/>
          <w:bCs/>
        </w:rPr>
      </w:pPr>
      <w:r w:rsidRPr="008052F5">
        <w:rPr>
          <w:rFonts w:ascii="Arial" w:hAnsi="Arial" w:cs="Arial"/>
          <w:b/>
          <w:bCs/>
        </w:rPr>
        <w:t>Table S1</w:t>
      </w:r>
      <w:r w:rsidR="00305783" w:rsidRPr="008052F5">
        <w:rPr>
          <w:rFonts w:ascii="Arial" w:hAnsi="Arial" w:cs="Arial"/>
          <w:b/>
          <w:bCs/>
        </w:rPr>
        <w:t xml:space="preserve">: </w:t>
      </w:r>
      <w:r w:rsidR="00583C5F" w:rsidRPr="008052F5">
        <w:rPr>
          <w:rFonts w:ascii="Arial" w:hAnsi="Arial" w:cs="Arial"/>
          <w:b/>
          <w:bCs/>
        </w:rPr>
        <w:t>Gene expression m</w:t>
      </w:r>
      <w:r w:rsidR="00305783" w:rsidRPr="008052F5">
        <w:rPr>
          <w:rFonts w:ascii="Arial" w:hAnsi="Arial" w:cs="Arial"/>
          <w:b/>
          <w:bCs/>
        </w:rPr>
        <w:t>arkers used in cell type identification</w:t>
      </w:r>
    </w:p>
    <w:tbl>
      <w:tblPr>
        <w:tblW w:w="95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72"/>
        <w:gridCol w:w="5760"/>
      </w:tblGrid>
      <w:tr w:rsidR="008052F5" w:rsidRPr="008052F5" w14:paraId="1AB2066A"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26212A01" w14:textId="77777777"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b/>
                <w:kern w:val="0"/>
                <w:sz w:val="22"/>
                <w:szCs w:val="22"/>
                <w14:ligatures w14:val="none"/>
              </w:rPr>
              <w:t>Cell Type</w:t>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6155267A" w14:textId="4AC8B59C"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b/>
                <w:kern w:val="0"/>
                <w:sz w:val="22"/>
                <w:szCs w:val="22"/>
                <w14:ligatures w14:val="none"/>
              </w:rPr>
              <w:t>Markers</w:t>
            </w:r>
            <w:r w:rsidRPr="008052F5">
              <w:rPr>
                <w:rFonts w:ascii="Arial" w:eastAsia="Times New Roman" w:hAnsi="Arial" w:cs="Arial"/>
                <w:kern w:val="0"/>
                <w:sz w:val="22"/>
                <w:szCs w:val="22"/>
                <w14:ligatures w14:val="none"/>
              </w:rPr>
              <w:t>  </w:t>
            </w:r>
          </w:p>
        </w:tc>
      </w:tr>
      <w:tr w:rsidR="008052F5" w:rsidRPr="008052F5" w14:paraId="109B00A0"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3AACE028" w14:textId="7AFC9533"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CD8 T cells</w:t>
            </w:r>
            <w:r w:rsidR="00AB26E5"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{"citationID":"lJkk6ZOG","properties":{"formattedCitation":"\\super 1\\nosupersub{}","plainCitation":"1","noteIndex":0},"citationItems":[{"id":2521,"uris":["http://zotero.org/users/11968306/items/T2BQ2XF4"],"itemData":{"id":2521,"type":"webpage","title":"T cytotoxic cells gene expression markers | PanglaoDB","URL":"https://www.panglaodb.se/markers.html?cell_type=%27T%20cytotoxic%20cells%27","accessed":{"date-parts":[["2025",5,29]]}}}],"schema":"https://github.com/citation-style-language/schema/raw/master/csl-citation.json"} </w:instrText>
            </w:r>
            <w:r w:rsidR="00AB26E5" w:rsidRPr="008052F5">
              <w:rPr>
                <w:rFonts w:ascii="Arial" w:eastAsia="Times New Roman" w:hAnsi="Arial" w:cs="Arial"/>
                <w:kern w:val="0"/>
                <w:sz w:val="22"/>
                <w:szCs w:val="22"/>
                <w14:ligatures w14:val="none"/>
              </w:rPr>
              <w:fldChar w:fldCharType="separate"/>
            </w:r>
            <w:r w:rsidR="00F17BCA" w:rsidRPr="008052F5">
              <w:rPr>
                <w:rFonts w:ascii="Arial" w:hAnsi="Arial" w:cs="Arial"/>
                <w:kern w:val="0"/>
                <w:sz w:val="22"/>
                <w:vertAlign w:val="superscript"/>
              </w:rPr>
              <w:t>1</w:t>
            </w:r>
            <w:r w:rsidR="00AB26E5"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15203B98" w14:textId="028136CE"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lang w:val="es-US"/>
                <w14:ligatures w14:val="none"/>
              </w:rPr>
              <w:t>CD8A</w:t>
            </w:r>
            <w:r w:rsidR="00930E67"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{"citationID":"wRCTeeea","properties":{"formattedCitation":"\\super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930E67"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2,3</w:t>
            </w:r>
            <w:r w:rsidR="00930E67"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GZMB</w:t>
            </w:r>
            <w:r w:rsidR="004E53FE"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{"citationID":"Cb400Zmy","properties":{"formattedCitation":"\\super 2\\nosupersub{}","plainCitation":"2","noteIndex":0},"citationItems":[{"id":1090,"uris":["http://zotero.org/users/11968306/items/VGSCDTTG"],"itemData":{"id":1090,"type":"article-journal","abstract":"Immune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H."},{"family":"Izar","given":"Benjamin"},{"family":"Regev","given":"Aviv"}],"issued":{"date-parts":[["2018",11,1]]}}}],"schema":"https://github.com/citation-style-language/schema/raw/master/csl-citation.json"} </w:instrText>
            </w:r>
            <w:r w:rsidR="004E53FE"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2</w:t>
            </w:r>
            <w:r w:rsidR="004E53FE"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TRAC</w:t>
            </w:r>
            <w:r w:rsidR="00235FF0"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{"citationID":"1Q4RNTy5","properties":{"formattedCitation":"\\super 4\\nosupersub{}","plainCitation":"4","noteIndex":0},"citationItems":[{"id":2514,"uris":["http://zotero.org/users/11968306/items/PJHGG8EF"],"itemData":{"id":2514,"type":"article-journal","abstract":"TRAC-1 (T cell RING (really interesting new gene) protein identified in activation screen) is a novel E3 ubiquitin ligase identified from a retroviral vector-based T cell surface activation marker screen. The C-terminal truncated TRAC-1 specifically inhibited anti-TCR-mediated CD69 up-regulation in Jurkat cells, a human T leukemic cell line. In this study, we show that TRAC-1 is a RING finger ubiquitin E3 ligase with highest expression in lymphoid tissues. Point mutations that disrupt the Zn2+-chelating ability of its amino-terminal RING finger domain abolished TRAC-1’s ligase activity and the dominant inhibitory effect of C-terminal truncated TRAC-1 on TCR stimulation. The results of in vitro biochemical studies indicate that TRAC-1 can stimulate the formation of both K48- and K63-linked polyubiquitin chains and therefore could potentially activate both degradative and regulatory ubiquitin-dependent pathways. Antisense oligonucleotides to TRAC-1 specifically reduced TRAC-1 mRNA levels in Jurkat and primary T cells and inhibited their activation in response to TCR cross-linking. Collectively, these results indicate that the E3 ubiquitin ligase TRAC-1 functions as a positive regulator of T cell activation.","container-title":"The Journal of Immunology","DOI":"10.4049/jimmunol.174.9.5288","ISSN":"0022-1767","issue":"9","journalAbbreviation":"The Journal of Immunology","page":"5288-5297","source":"Silverchair","title":"A Novel E3 Ubiquitin Ligase TRAC-1 Positively Regulates T Cell Activation","volume":"174","author":[{"family":"Zhao","given":"Haoran"},{"family":"Li","given":"Connie C."},{"family":"Pardo","given":"Jorge"},{"family":"Chu","given":"Peter C."},{"family":"Liao","given":"Charlene X."},{"family":"Huang","given":"Jianing"},{"family":"Dong","given":"John G."},{"family":"Zhou","given":"Xiulan"},{"family":"Huang","given":"Qi"},{"family":"Huang","given":"Betty"},{"family":"Bennett","given":"Mark K."},{"family":"Molineaux","given":"Susan M."},{"family":"Lu","given":"Henry"},{"family":"Daniel-Issakani","given":"Sarkiz"},{"family":"Payan","given":"Donald G."},{"family":"Masuda","given":"Esteban S."}],"issued":{"date-parts":[["2005",5,1]]}}}],"schema":"https://github.com/citation-style-language/schema/raw/master/csl-citation.json"} </w:instrText>
            </w:r>
            <w:r w:rsidR="00235FF0"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4</w:t>
            </w:r>
            <w:r w:rsidR="00235FF0"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CD3E</w:t>
            </w:r>
            <w:r w:rsidR="0070557D"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{"citationID":"hoY8rSVw","properties":{"formattedCitation":"\\super 2,3,5,6\\nosupersub{}","plainCitation":"2,3,5,6","noteIndex":0},"citationItems":[{"id":1090,"uris":["http://zotero.org/users/11968306/items/VGSCDTTG"],"itemData":{"id":1090,"type":"article-journal","abstract":"Immune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J."},{"family":"Getz","given":"Gad"},{"family":"Hacohen","given":"Nir"}],"issued":{"date-parts":[["2018",11,1]]}}},{"id":2517,"uris":["http://zotero.org/users/11968306/items/3MBUCFJD"],"itemData":{"id":2517,"type":"webpage","abstract":"CD3 is an essential T cell co-receptorand defines T cell lineage. CD3is therefore an ideal T cell marker. This mini-review explains the structure of CD3, the genes involved in its expression, its function and the signal transduction pathways mediated by CD3 complex.","container-title":"Bio-Rad","language":"en","title":"The T Cell Marker, CD3 Antigen &amp; Antibodies: Mini-review","title-short":"The T Cell Marker, CD3 Antigen &amp; Antibodies","URL":"https://www.bio-rad-antibodies.com/minireview-cd3-antibody.html","author":[{"family":"Bio-Rad","given":""}],"accessed":{"date-parts":[["2025",5,29]]}}},{"id":2519,"uris":["http://zotero.org/users/11968306/items/X58JQAPS"],"itemData":{"id":2519,"type":"webpage","abstract":"UniProt is the world's leading high-quality, comprehensive and freely accessible resource of protein sequence and functional information.","container-title":"UniProt","language":"en","title":"UniProt - P07766 CD3E Human","URL":"https://www.uniprot.org/uniprotkb/P07766/entry","accessed":{"date-parts":[["2025",5,29]]}}}],"schema":"https://github.com/citation-style-language/schema/raw/master/csl-citation.json"} </w:instrText>
            </w:r>
            <w:r w:rsidR="0070557D"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2,3,5,6</w:t>
            </w:r>
            <w:r w:rsidR="0070557D"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w:t>
            </w:r>
            <w:r w:rsidRPr="008052F5">
              <w:rPr>
                <w:rFonts w:ascii="Arial" w:eastAsia="Times New Roman" w:hAnsi="Arial" w:cs="Arial"/>
                <w:kern w:val="0"/>
                <w:sz w:val="22"/>
                <w:szCs w:val="22"/>
                <w14:ligatures w14:val="none"/>
              </w:rPr>
              <w:t> </w:t>
            </w:r>
          </w:p>
        </w:tc>
      </w:tr>
      <w:tr w:rsidR="008052F5" w:rsidRPr="008052F5" w14:paraId="16B4BA20"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2573BBC4" w14:textId="4713CBEE"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CD4 T cells</w:t>
            </w:r>
            <w:r w:rsidR="0055087A"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{"citationID":"AlYaVBmH","properties":{"formattedCitation":"\\super 7\\nosupersub{}","plainCitation":"7","noteIndex":0},"citationItems":[{"id":2523,"uris":["http://zotero.org/users/11968306/items/PF7DQFYE"],"itemData":{"id":2523,"type":"webpage","title":"T helper cells gene expression markers | PanglaoDB","URL":"https://www.panglaodb.se/markers.html?cell_type=%27T%20helper%20cells%27","accessed":{"date-parts":[["2025",5,29]]}}}],"schema":"https://github.com/citation-style-language/schema/raw/master/csl-citation.json"} </w:instrText>
            </w:r>
            <w:r w:rsidR="0055087A" w:rsidRPr="008052F5">
              <w:rPr>
                <w:rFonts w:ascii="Arial" w:eastAsia="Times New Roman" w:hAnsi="Arial" w:cs="Arial"/>
                <w:kern w:val="0"/>
                <w:sz w:val="22"/>
                <w:szCs w:val="22"/>
                <w14:ligatures w14:val="none"/>
              </w:rPr>
              <w:fldChar w:fldCharType="separate"/>
            </w:r>
            <w:r w:rsidR="00F17BCA" w:rsidRPr="008052F5">
              <w:rPr>
                <w:rFonts w:ascii="Arial" w:hAnsi="Arial" w:cs="Arial"/>
                <w:kern w:val="0"/>
                <w:sz w:val="22"/>
                <w:vertAlign w:val="superscript"/>
              </w:rPr>
              <w:t>7</w:t>
            </w:r>
            <w:r w:rsidR="0055087A"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63F7062C" w14:textId="673080AC"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lang w:val="es-US"/>
                <w14:ligatures w14:val="none"/>
              </w:rPr>
              <w:t>CD4</w:t>
            </w:r>
            <w:r w:rsidR="00116B1E"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{"citationID":"8Kmaf5q1","properties":{"formattedCitation":"\\super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116B1E"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2,3</w:t>
            </w:r>
            <w:r w:rsidR="00116B1E"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CCR4</w:t>
            </w:r>
            <w:r w:rsidR="00C92FE6"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{"citationID":"Q3r2rFNc","properties":{"formattedCitation":"\\super 8\\nosupersub{}","plainCitation":"8","noteIndex":0},"citationItems":[{"id":2525,"uris":["http://zotero.org/users/11968306/items/BK5ALGDD"],"itemData":{"id":2525,"type":"article-journal","abstract":"Helper T cells are classified into Th1 and Th2 subsets based on their profiles of cytokine production. Th1 cells are involved in cell-mediated immunity, whereas Th2 cells induce humoral responses. Selective recruitment of these two subsets depends on specific adhesion molecules and specific chemoattractants. Here, we demonstrate that the T cell-directed CC chemokine thymus and activation-regulated chemokine (TARC) was abundantly produced by monocytes treated with granulocyte macrophage colony stimulating factor (GM-CSF) or IL-3, especially in the presence of IL-4 and by dendritic cells derived from monocytes cultured with GM-CSF + IL-4. The receptor for TARC and another macrophage/dendritic cell-derived CC chemokine macrophage-derived chemokine (MDC) is CCR4, a G protein-coupled receptor. CCR4 was found to be expressed on ~20% of adult peripheral blood effector/memory CD4+ T cells. T cells attracted by TARC and MDC generated cell lines predominantly producing Th2-type cytokines, IL-4 and IL-5. Fractionated CCR4+ cells but not CCR4– cells also selectively gave rise to Th2-type cell lines. When naive CD4+ T cells from adult peripheral blood were polarized in vitro, Th2-type cells selectively expressed CCR4 and vigorously migrated toward TARC and MDC. Taken together, CCR4 is selectively expressed on Th2-type T cells and antigen-presenting cells may recruit Th2 cells expressing CCR4 by producing TARC and MDC in Th2-dominant conditions.","container-title":"International Immunology","DOI":"10.1093/intimm/11.1.81","ISSN":"0953-8178","issue":"1","journalAbbreviation":"International Immunology","page":"81-88","source":"Silverchair","title":"Selective recruitment of CCR4-bearing Th2 cells toward antigen-presenting cells by the CC chemokines thymus and activation-regulated chemokine and macrophage-derived chemokine","volume":"11","author":[{"family":"Imai","given":"Toshio"},{"family":"Nagira","given":"Morio"},{"family":"Takagi","given":"Shin"},{"family":"Kakizaki","given":"Mayumi"},{"family":"Nishimura","given":"Miyuki"},{"family":"Wang","given":"Jianbin"},{"family":"Gray","given":"Patrick W."},{"family":"Matsushima","given":"Kouji"},{"family":"Yoshie","given":"Osamu"}],"issued":{"date-parts":[["1999",1,1]]}}}],"schema":"https://github.com/citation-style-language/schema/raw/master/csl-citation.json"} </w:instrText>
            </w:r>
            <w:r w:rsidR="00C92FE6"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8</w:t>
            </w:r>
            <w:r w:rsidR="00C92FE6"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CD28</w:t>
            </w:r>
            <w:r w:rsidR="00E8409E"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{"citationID":"qu8yK00S","properties":{"formattedCitation":"\\super 9\\nosupersub{}","plainCitation":"9","noteIndex":0},"citationItems":[{"id":2528,"uris":["http://zotero.org/users/11968306/items/LX2TGU42"],"itemData":{"id":2528,"type":"article-journal","abstract":"Ligation of the CD28 receptor on T cells provides a critical second signal alongside T cell receptor (TCR) ligation for naive T cell activation. Here, we discuss the expression, structure, and biochemistry of CD28 and its ligands. CD28 signals play a key role in many T cell processes, including cytoskeletal remodeling, production of cytokines, survival, and differentiation. CD28 ligation leads to unique epigenetic, transcriptional, and post-translational changes in T cells that cannot be recapitulated by TCR ligation alone. We discuss the function of CD28 and its ligands in both effector and regulatory T cells. CD28 is critical for regulatory T cell survival and the maintenance of immune homeostasis. We outline the roles that CD28 and its family members play in human disease and we review the clinical efficacy of drugs that block CD28 ligands. Despite the centrality of CD28 and its family members and ligands to immune function, many aspects of CD28 biology remain unclear. Translation of a basic understanding of CD28 function into immunomodulatory therapeutics has been uneven, with both successes and failures. Such real-world results might stem from multiple factors, including complex receptor-ligand interactions among CD28 family members, differences between the mouse and human CD28 families, and cell-type specific roles of CD28 family members.","container-title":"Immunity","DOI":"10.1016/j.immuni.2016.04.020","ISSN":"1074-7613","issue":"5","journalAbbreviation":"Immunity","page":"973-988","source":"ScienceDirect","title":"CD28 Costimulation: From Mechanism to Therapy","title-short":"CD28 Costimulation","volume":"44","author":[{"family":"Esensten","given":"Jonathan H."},{"family":"Helou","given":"Ynes A."},{"family":"Chopra","given":"Gaurav"},{"family":"Weiss","given":"Arthur"},{"family":"Bluestone","given":"Jeffrey A."}],"issued":{"date-parts":[["2016",5,17]]}}}],"schema":"https://github.com/citation-style-language/schema/raw/master/csl-citation.json"} </w:instrText>
            </w:r>
            <w:r w:rsidR="00E8409E"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9</w:t>
            </w:r>
            <w:r w:rsidR="00E8409E"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IL13</w:t>
            </w:r>
            <w:r w:rsidR="00F17BCA"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{"citationID":"l91QVdbi","properties":{"formattedCitation":"\\super 10\\nosupersub{}","plainCitation":"10","noteIndex":0},"citationItems":[{"id":2531,"uris":["http://zotero.org/users/11968306/items/TKXR5KLE"],"itemData":{"id":2531,"type":"article-journal","abstract":"Allergic disease represents a significant global health burden, and disease incidence continues to rise in urban areas of the world. As such, a better understanding of the basic immune mechanisms underlying disease pathology are likely the key to developing therapeutic interventions to both prevent disease onset as well as to ameliorate disease morbidity in those individuals already suffering from a disorder linked to type-2 inflammation. Two factors central to type-2 immunity are interleukin(IL)-4 and IL-13. These two cytokines have been linked to virtually all of the major disease hallmarks associated with type-2 inflammation. Therefore, IL-4 and IL-13 and their regulatory pathways represent ideal targets to suppress disease. However, despite sharing many common regulatory pathways and receptors, these cytokines perform very distinct functions during a type-2 immune response. This review summarizes the literature surrounding the function and expression of IL-4 and IL-13 in CD4+ T cells and innate immune cells. It highlights recent in vivo findings regarding the differential expression and non-canonical regulation of IL-4 and IL-13 in various immune cells, which likely play an underappreciated and important role in type-2 allergic immunity.","container-title":"Cytokine","DOI":"10.1016/j.cyto.2015.05.008","ISSN":"1043-4666","issue":"1","journalAbbreviation":"Cytokine","note":"PMID: 26073683\nPMCID: PMC5118948","page":"25-37","source":"PubMed Central","title":"The differential expression of IL-4 and IL-13 and its impact on type-2 Immunity","volume":"75","author":[{"family":"Bao","given":"Katherine"},{"family":"Reinhardt","given":"R. Lee"}],"issued":{"date-parts":[["2015",9]]}}}],"schema":"https://github.com/citation-style-language/schema/raw/master/csl-citation.json"} </w:instrText>
            </w:r>
            <w:r w:rsidR="00F17BCA" w:rsidRPr="008052F5">
              <w:rPr>
                <w:rFonts w:ascii="Arial" w:eastAsia="Times New Roman" w:hAnsi="Arial" w:cs="Arial"/>
                <w:kern w:val="0"/>
                <w:sz w:val="22"/>
                <w:szCs w:val="22"/>
                <w:lang w:val="es-US"/>
                <w14:ligatures w14:val="none"/>
              </w:rPr>
              <w:fldChar w:fldCharType="separate"/>
            </w:r>
            <w:r w:rsidR="00F17BCA" w:rsidRPr="008052F5">
              <w:rPr>
                <w:rFonts w:ascii="Arial" w:hAnsi="Arial" w:cs="Arial"/>
                <w:kern w:val="0"/>
                <w:sz w:val="22"/>
                <w:vertAlign w:val="superscript"/>
              </w:rPr>
              <w:t>10</w:t>
            </w:r>
            <w:r w:rsidR="00F17BCA" w:rsidRPr="008052F5">
              <w:rPr>
                <w:rFonts w:ascii="Arial" w:eastAsia="Times New Roman" w:hAnsi="Arial" w:cs="Arial"/>
                <w:kern w:val="0"/>
                <w:sz w:val="22"/>
                <w:szCs w:val="22"/>
                <w:lang w:val="es-US"/>
                <w14:ligatures w14:val="none"/>
              </w:rPr>
              <w:fldChar w:fldCharType="end"/>
            </w:r>
            <w:r w:rsidR="00410673" w:rsidRPr="008052F5">
              <w:rPr>
                <w:rFonts w:ascii="Arial" w:eastAsia="Times New Roman" w:hAnsi="Arial" w:cs="Arial"/>
                <w:kern w:val="0"/>
                <w:sz w:val="22"/>
                <w:szCs w:val="22"/>
                <w:lang w:val="es-US"/>
                <w14:ligatures w14:val="none"/>
              </w:rPr>
              <w:t>, (- FOXP3</w:t>
            </w:r>
            <w:r w:rsidR="00050906" w:rsidRPr="008052F5">
              <w:rPr>
                <w:rFonts w:ascii="Arial" w:eastAsia="Times New Roman" w:hAnsi="Arial" w:cs="Arial"/>
                <w:kern w:val="0"/>
                <w:sz w:val="22"/>
                <w:szCs w:val="22"/>
                <w:lang w:val="es-US"/>
                <w14:ligatures w14:val="none"/>
              </w:rPr>
              <w:fldChar w:fldCharType="begin"/>
            </w:r>
            <w:r w:rsidR="007E2CA9" w:rsidRPr="008052F5">
              <w:rPr>
                <w:rFonts w:ascii="Arial" w:eastAsia="Times New Roman" w:hAnsi="Arial" w:cs="Arial"/>
                <w:kern w:val="0"/>
                <w:sz w:val="22"/>
                <w:szCs w:val="22"/>
                <w:lang w:val="es-US"/>
                <w14:ligatures w14:val="none"/>
              </w:rPr>
              <w:instrText xml:space="preserve"> ADDIN ZOTERO_ITEM CSL_CITATION {"citationID":"oCPsnNaQ","properties":{"formattedCitation":"\\super 11\\nosupersub{}","plainCitation":"11","noteIndex":0},"citationItems":[{"id":2534,"uris":["http://zotero.org/users/11968306/items/CYLY426G"],"itemData":{"id":2534,"type":"article-journal","abstract":"Shohei Hori recalls the early work that led to the identification of FOXP3 as the master regulator of regulatory T cells.","container-title":"Nature Reviews Immunology","DOI":"10.1038/s41577-021-00598-9","ISSN":"1474-1741","issue":"10","journalAbbreviation":"Nat Rev Immunol","language":"en","license":"2021 Springer Nature Limited","note":"publisher: Nature Publishing Group","page":"618-619","source":"www-nature-com.proxy1.library.virginia.edu","title":"FOXP3 as a master regulator of Treg cells","volume":"21","author":[{"family":"Hori","given":"Shohei"}],"issued":{"date-parts":[["2021",10]]}}}],"schema":"https://github.com/citation-style-language/schema/raw/master/csl-citation.json"} </w:instrText>
            </w:r>
            <w:r w:rsidR="00050906" w:rsidRPr="008052F5">
              <w:rPr>
                <w:rFonts w:ascii="Arial" w:eastAsia="Times New Roman" w:hAnsi="Arial" w:cs="Arial"/>
                <w:kern w:val="0"/>
                <w:sz w:val="22"/>
                <w:szCs w:val="22"/>
                <w:lang w:val="es-US"/>
                <w14:ligatures w14:val="none"/>
              </w:rPr>
              <w:fldChar w:fldCharType="separate"/>
            </w:r>
            <w:r w:rsidR="00050906" w:rsidRPr="008052F5">
              <w:rPr>
                <w:rFonts w:ascii="Arial" w:hAnsi="Arial" w:cs="Arial"/>
                <w:kern w:val="0"/>
                <w:sz w:val="22"/>
                <w:vertAlign w:val="superscript"/>
              </w:rPr>
              <w:t>11</w:t>
            </w:r>
            <w:r w:rsidR="00050906" w:rsidRPr="008052F5">
              <w:rPr>
                <w:rFonts w:ascii="Arial" w:eastAsia="Times New Roman" w:hAnsi="Arial" w:cs="Arial"/>
                <w:kern w:val="0"/>
                <w:sz w:val="22"/>
                <w:szCs w:val="22"/>
                <w:lang w:val="es-US"/>
                <w14:ligatures w14:val="none"/>
              </w:rPr>
              <w:fldChar w:fldCharType="end"/>
            </w:r>
            <w:r w:rsidR="00410673" w:rsidRPr="008052F5">
              <w:rPr>
                <w:rFonts w:ascii="Arial" w:eastAsia="Times New Roman" w:hAnsi="Arial" w:cs="Arial"/>
                <w:kern w:val="0"/>
                <w:sz w:val="22"/>
                <w:szCs w:val="22"/>
                <w:lang w:val="es-US"/>
                <w14:ligatures w14:val="none"/>
              </w:rPr>
              <w:t>)</w:t>
            </w:r>
          </w:p>
        </w:tc>
      </w:tr>
      <w:tr w:rsidR="008052F5" w:rsidRPr="008052F5" w14:paraId="091C29E5"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2E5525EF" w14:textId="071FD234"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B cells</w:t>
            </w:r>
            <w:r w:rsidR="0069068C"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{"citationID":"AXVbXw5N","properties":{"formattedCitation":"\\super 12\\nosupersub{}","plainCitation":"12","noteIndex":0},"citationItems":[{"id":2536,"uris":["http://zotero.org/users/11968306/items/BXIA72P7"],"itemData":{"id":2536,"type":"webpage","title":"B cells gene expression markers | PanglaoDB","URL":"https://www.panglaodb.se/markers.html?cell_type=%27B%20cells%27","accessed":{"date-parts":[["2025",5,29]]}}}],"schema":"https://github.com/citation-style-language/schema/raw/master/csl-citation.json"} </w:instrText>
            </w:r>
            <w:r w:rsidR="0069068C" w:rsidRPr="008052F5">
              <w:rPr>
                <w:rFonts w:ascii="Arial" w:eastAsia="Times New Roman" w:hAnsi="Arial" w:cs="Arial"/>
                <w:kern w:val="0"/>
                <w:sz w:val="22"/>
                <w:szCs w:val="22"/>
                <w14:ligatures w14:val="none"/>
              </w:rPr>
              <w:fldChar w:fldCharType="separate"/>
            </w:r>
            <w:r w:rsidR="0069068C" w:rsidRPr="008052F5">
              <w:rPr>
                <w:rFonts w:ascii="Arial" w:hAnsi="Arial" w:cs="Arial"/>
                <w:kern w:val="0"/>
                <w:sz w:val="22"/>
                <w:vertAlign w:val="superscript"/>
              </w:rPr>
              <w:t>12</w:t>
            </w:r>
            <w:r w:rsidR="0069068C"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139D002B" w14:textId="4437D398"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PXK</w:t>
            </w:r>
            <w:r w:rsidR="003E7841"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{"citationID":"7NBeJbsi","properties":{"formattedCitation":"\\super 13\\nosupersub{}","plainCitation":"13","noteIndex":0},"citationItems":[{"id":2538,"uris":["http://zotero.org/users/11968306/items/LJ2BFDNV"],"itemData":{"id":2538,"type":"article-journal","abstract":"Genome wide association studies have identified variants in PXK that confer risk for humoral autoimmune diseases, including systemic lupus erythematosus (SLE or lupus), rheumatoid arthritis and more recently systemic sclerosis. While PXK is involved in trafficking of epidermal growth factor Receptor (EGFR) in COS-7 cells, mechanisms linking PXK to lupus pathophysiology have remained undefined. In an effort to uncover the mechanism at this locus that increases lupus-risk, we undertook a fine-mapping analysis in a large multi-ancestral study of lupus patients and controls. We define a large (257kb) common haplotype marking a single causal variant that confers lupus risk detected only in European ancestral populations and spans the promoter through the 3′ UTR of PXK. The strongest association was found at rs6445972 with P &lt; 4.62 × 10−10, OR 0.81 (0.75–0.86). Using stepwise logistic regression analysis, we demonstrate that one signal drives the genetic association in the region. Bayesian analysis confirms our results, identifying a 95% credible set consisting of 172 variants spanning 202 kb. Functionally, we found that PXK operates on the B-cell antigen receptor (BCR); we confirmed that PXK influenced the rate of BCR internalization. Furthermore, we demonstrate that individuals carrying the risk haplotype exhibited a decreased rate of BCR internalization, a process known to impact B cell survival and cell fate. Taken together, these data define a new candidate mechanism for the genetic association of variants around PXK with lupus risk and highlight the regulation of intracellular trafficking as a genetically regulated pathway mediating human autoimmunity.","container-title":"Frontiers in Genetics","DOI":"10.3389/fgene.2014.00450","ISSN":"1664-8021","journalAbbreviation":"Front Genet","note":"PMID: 25620976\nPMCID: PMC4288052","page":"450","source":"PubMed Central","title":"Lupus risk variants in the PXK locus alter B-cell receptor internalization","volume":"5","author":[{"family":"Vaughn","given":"Samuel E."},{"family":"Foley","given":"Corinne"},{"family":"Lu","given":"Xiaoming"},{"family":"Patel","given":"Zubin H."},{"family":"Zoller","given":"Erin E."},{"family":"Magnusen","given":"Albert F."},{"family":"Williams","given":"Adrienne H."},{"family":"Ziegler","given":"Julie T."},{"family":"Comeau","given":"Mary E."},{"family":"Marion","given":"Miranda C."},{"family":"Glenn","given":"Stuart B."},{"family":"Adler","given":"Adam"},{"family":"Shen","given":"Nan"},{"family":"Nath","given":"Swapan"},{"family":"Stevens","given":"Anne M."},{"family":"Freedman","given":"Barry I."},{"family":"Tsao","given":"Betty P."},{"family":"Jacob","given":"Chaim O."},{"family":"Kamen","given":"Diane L."},{"family":"Brown","given":"Elizabeth E."},{"family":"Gilkeson","given":"Gary S."},{"family":"Alarcón","given":"Graciela S."},{"family":"Reveille","given":"John D."},{"family":"Anaya","given":"Juan-Manuel"},{"family":"James","given":"Judith A."},{"family":"Moser","given":"Kathy L."},{"family":"Criswell","given":"Lindsey A."},{"family":"Vilá","given":"Luis M."},{"family":"Alarcón-Riquelme","given":"Marta E."},{"family":"Petri","given":"Michelle"},{"family":"Scofield","given":"R. Hal"},{"family":"Kimberly","given":"Robert P."},{"family":"Ramsey-Goldman","given":"Rosalind"},{"family":"Binjoo","given":"Young"},{"family":"Choi","given":"Jeongim"},{"family":"Bae","given":"Sang-Cheol"},{"family":"Boackle","given":"Susan A."},{"family":"Vyse","given":"Timothy J."},{"family":"Guthridge","given":"Joel M."},{"family":"Namjou","given":"Bahram"},{"family":"Gaffney","given":"Patrick M."},{"family":"Langefeld","given":"Carl D."},{"family":"Kaufman","given":"Kenneth M."},{"family":"Kelly","given":"Jennifer A."},{"family":"Harley","given":"Isaac T. W."},{"family":"Harley","given":"John B."},{"family":"Kottyan","given":"Leah C."}],"issued":{"date-parts":[["2015",1,8]]}}}],"schema":"https://github.com/citation-style-language/schema/raw/master/csl-citation.json"} </w:instrText>
            </w:r>
            <w:r w:rsidR="003E7841" w:rsidRPr="008052F5">
              <w:rPr>
                <w:rFonts w:ascii="Arial" w:eastAsia="Times New Roman" w:hAnsi="Arial" w:cs="Arial"/>
                <w:kern w:val="0"/>
                <w:sz w:val="22"/>
                <w:szCs w:val="22"/>
                <w14:ligatures w14:val="none"/>
              </w:rPr>
              <w:fldChar w:fldCharType="separate"/>
            </w:r>
            <w:r w:rsidR="003E7841" w:rsidRPr="008052F5">
              <w:rPr>
                <w:rFonts w:ascii="Arial" w:hAnsi="Arial" w:cs="Arial"/>
                <w:kern w:val="0"/>
                <w:sz w:val="22"/>
                <w:vertAlign w:val="superscript"/>
              </w:rPr>
              <w:t>13</w:t>
            </w:r>
            <w:r w:rsidR="003E7841"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HLA-DRA</w:t>
            </w:r>
            <w:r w:rsidR="00C742B6"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{"citationID":"GWVk7Csz","properties":{"formattedCitation":"\\super 14\\nosupersub{}","plainCitation":"14","noteIndex":0},"citationItems":[{"id":2541,"uris":["http://zotero.org/users/11968306/items/Z8RGYW4X"],"itemData":{"id":2541,"type":"webpage","abstract":"Gene target information for HLA-DRA - major histocompatibility complex, class II, DR alpha (human). Find diseases associated with this biological target and compounds tested against it in bioassay experiments.","language":"en","title":"HLA-DRA - major histocompatibility complex, class II, DR alpha (human)","URL":"https://pubchem.ncbi.nlm.nih.gov/gene/HLA-DRA/human","author":[{"family":"PubChem","given":""}],"accessed":{"date-parts":[["2025",5,29]]}}}],"schema":"https://github.com/citation-style-language/schema/raw/master/csl-citation.json"} </w:instrText>
            </w:r>
            <w:r w:rsidR="00C742B6" w:rsidRPr="008052F5">
              <w:rPr>
                <w:rFonts w:ascii="Arial" w:eastAsia="Times New Roman" w:hAnsi="Arial" w:cs="Arial"/>
                <w:kern w:val="0"/>
                <w:sz w:val="22"/>
                <w:szCs w:val="22"/>
                <w14:ligatures w14:val="none"/>
              </w:rPr>
              <w:fldChar w:fldCharType="separate"/>
            </w:r>
            <w:r w:rsidR="00C742B6" w:rsidRPr="008052F5">
              <w:rPr>
                <w:rFonts w:ascii="Arial" w:hAnsi="Arial" w:cs="Arial"/>
                <w:kern w:val="0"/>
                <w:sz w:val="22"/>
                <w:vertAlign w:val="superscript"/>
              </w:rPr>
              <w:t>14</w:t>
            </w:r>
            <w:r w:rsidR="00C742B6"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MS4A1</w:t>
            </w:r>
            <w:r w:rsidR="00F552D0"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{"citationID":"zJGJSmI0","properties":{"formattedCitation":"\\super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F552D0" w:rsidRPr="008052F5">
              <w:rPr>
                <w:rFonts w:ascii="Arial" w:eastAsia="Times New Roman" w:hAnsi="Arial" w:cs="Arial"/>
                <w:kern w:val="0"/>
                <w:sz w:val="22"/>
                <w:szCs w:val="22"/>
                <w14:ligatures w14:val="none"/>
              </w:rPr>
              <w:fldChar w:fldCharType="separate"/>
            </w:r>
            <w:r w:rsidR="00F552D0" w:rsidRPr="008052F5">
              <w:rPr>
                <w:rFonts w:ascii="Arial" w:hAnsi="Arial" w:cs="Arial"/>
                <w:kern w:val="0"/>
                <w:sz w:val="22"/>
                <w:vertAlign w:val="superscript"/>
              </w:rPr>
              <w:t>2,3</w:t>
            </w:r>
            <w:r w:rsidR="00F552D0"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CD19</w:t>
            </w:r>
            <w:r w:rsidR="00F552D0"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{"citationID":"OYoCO3BT","properties":{"formattedCitation":"\\super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F552D0" w:rsidRPr="008052F5">
              <w:rPr>
                <w:rFonts w:ascii="Arial" w:eastAsia="Times New Roman" w:hAnsi="Arial" w:cs="Arial"/>
                <w:kern w:val="0"/>
                <w:sz w:val="22"/>
                <w:szCs w:val="22"/>
                <w14:ligatures w14:val="none"/>
              </w:rPr>
              <w:fldChar w:fldCharType="separate"/>
            </w:r>
            <w:r w:rsidR="00F552D0" w:rsidRPr="008052F5">
              <w:rPr>
                <w:rFonts w:ascii="Arial" w:hAnsi="Arial" w:cs="Arial"/>
                <w:kern w:val="0"/>
                <w:sz w:val="22"/>
                <w:vertAlign w:val="superscript"/>
              </w:rPr>
              <w:t>2,3</w:t>
            </w:r>
            <w:r w:rsidR="00F552D0"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r>
      <w:tr w:rsidR="008052F5" w:rsidRPr="008052F5" w14:paraId="13648A12"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187FF97B" w14:textId="26BD750D"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Regulatory T cells (Tregs)</w:t>
            </w:r>
            <w:r w:rsidR="007747D1"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{"citationID":"Vrdfee7h","properties":{"formattedCitation":"\\super 15\\nosupersub{}","plainCitation":"15","noteIndex":0},"citationItems":[{"id":2542,"uris":["http://zotero.org/users/11968306/items/8DDB85Q5"],"itemData":{"id":2542,"type":"webpage","title":"T regulatory cells gene expression markers | PanglaoDB","URL":"https://www.panglaodb.se/markers.html?cell_type=%27T%20regulatory%20cells%27","accessed":{"date-parts":[["2025",5,29]]}}}],"schema":"https://github.com/citation-style-language/schema/raw/master/csl-citation.json"} </w:instrText>
            </w:r>
            <w:r w:rsidR="007747D1" w:rsidRPr="008052F5">
              <w:rPr>
                <w:rFonts w:ascii="Arial" w:eastAsia="Times New Roman" w:hAnsi="Arial" w:cs="Arial"/>
                <w:kern w:val="0"/>
                <w:sz w:val="22"/>
                <w:szCs w:val="22"/>
                <w14:ligatures w14:val="none"/>
              </w:rPr>
              <w:fldChar w:fldCharType="separate"/>
            </w:r>
            <w:r w:rsidR="007747D1" w:rsidRPr="008052F5">
              <w:rPr>
                <w:rFonts w:ascii="Arial" w:hAnsi="Arial" w:cs="Arial"/>
                <w:kern w:val="0"/>
                <w:sz w:val="22"/>
                <w:vertAlign w:val="superscript"/>
              </w:rPr>
              <w:t>15</w:t>
            </w:r>
            <w:r w:rsidR="007747D1"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00929B82" w14:textId="533A6ED4"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FOXP3</w:t>
            </w:r>
            <w:r w:rsidR="003D74BD"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{"citationID":"HfM058nh","properties":{"formattedCitation":"\\super 11\\nosupersub{}","plainCitation":"11","noteIndex":0},"citationItems":[{"id":2534,"uris":["http://zotero.org/users/11968306/items/CYLY426G"],"itemData":{"id":2534,"type":"article-journal","abstract":"Shohei Hori recalls the early work that led to the identification of FOXP3 as the master regulator of regulatory T cells.","container-title":"Nature Reviews Immunology","DOI":"10.1038/s41577-021-00598-9","ISSN":"1474-1741","issue":"10","journalAbbreviation":"Nat Rev Immunol","language":"en","license":"2021 Springer Nature Limited","note":"publisher: Nature Publishing Group","page":"618-619","source":"www-nature-com.proxy1.library.virginia.edu","title":"FOXP3 as a master regulator of Treg cells","volume":"21","author":[{"family":"Hori","given":"Shohei"}],"issued":{"date-parts":[["2021",10]]}}}],"schema":"https://github.com/citation-style-language/schema/raw/master/csl-citation.json"} </w:instrText>
            </w:r>
            <w:r w:rsidR="003D74BD" w:rsidRPr="008052F5">
              <w:rPr>
                <w:rFonts w:ascii="Arial" w:eastAsia="Times New Roman" w:hAnsi="Arial" w:cs="Arial"/>
                <w:kern w:val="0"/>
                <w:sz w:val="22"/>
                <w:szCs w:val="22"/>
                <w14:ligatures w14:val="none"/>
              </w:rPr>
              <w:fldChar w:fldCharType="separate"/>
            </w:r>
            <w:r w:rsidR="003D74BD" w:rsidRPr="008052F5">
              <w:rPr>
                <w:rFonts w:ascii="Arial" w:hAnsi="Arial" w:cs="Arial"/>
                <w:kern w:val="0"/>
                <w:sz w:val="22"/>
                <w:vertAlign w:val="superscript"/>
              </w:rPr>
              <w:t>11</w:t>
            </w:r>
            <w:r w:rsidR="003D74BD"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IKZF2</w:t>
            </w:r>
            <w:r w:rsidR="00DB14F5"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{"citationID":"150NvbiW","properties":{"formattedCitation":"\\super 16\\nosupersub{}","plainCitation":"16","noteIndex":0},"citationItems":[{"id":2544,"uris":["http://zotero.org/users/11968306/items/B6AY5WUD"],"itemData":{"id":2544,"type":"article-journal","abstract":"The transcriptional regulators that drive regulatory T (Treg) cell development and function remain partially understood. Helios (Ikzf2) and Eos (Ikzf4) are closely-related members of the Ikaros family of transcription factors. They are highly expressed in CD4+ Treg cells and functionally important for Treg cell biology, as mice deficient for either Helios or Eos are susceptible to autoimmune diseases. However, it remains unknown if these factors exhibit specific or partially redundant functions in Treg cells. Here we show that mice with germline deletions of both Ikzf2 and Ikzf4 are not very different from animals with single Ikzf2 or Ikzf4 deletions. Double knockout Treg cells differentiate normally, and efficiently suppress effector T cell proliferation in vitro. Both Helios and Eos are required for optimal Foxp3 protein expression. Surprisingly, Helios and Eos regulate different, largely non-overlapping, sets of genes. Only Helios is required for proper Treg cell aging, as Helios deficiency results in reduced Treg cell frequencies in the spleen of older animals. These results indicate that Helios and Eos are required for distinct aspects of Treg cell function.","container-title":"Biochemical and Biophysical Research Communications","DOI":"10.1016/j.bbrc.2023.06.087","ISSN":"0006-291X","journalAbbreviation":"Biochemical and Biophysical Research Communications","page":"83-89","source":"ScienceDirect","title":"CD4+ regulatory T cells lacking Helios and Eos","volume":"674","author":[{"family":"Polak","given":"Katarzyna"},{"family":"Marchal","given":"Patricia"},{"family":"Taroni","given":"Chiara"},{"family":"Ebel","given":"Claudine"},{"family":"Kirstetter","given":"Peggy"},{"family":"Kastner","given":"Philippe"},{"family":"Chan","given":"Susan"}],"issued":{"date-parts":[["2023",9,24]]}}}],"schema":"https://github.com/citation-style-language/schema/raw/master/csl-citation.json"} </w:instrText>
            </w:r>
            <w:r w:rsidR="00DB14F5" w:rsidRPr="008052F5">
              <w:rPr>
                <w:rFonts w:ascii="Arial" w:eastAsia="Times New Roman" w:hAnsi="Arial" w:cs="Arial"/>
                <w:kern w:val="0"/>
                <w:sz w:val="22"/>
                <w:szCs w:val="22"/>
                <w14:ligatures w14:val="none"/>
              </w:rPr>
              <w:fldChar w:fldCharType="separate"/>
            </w:r>
            <w:r w:rsidR="00DB14F5" w:rsidRPr="008052F5">
              <w:rPr>
                <w:rFonts w:ascii="Arial" w:hAnsi="Arial" w:cs="Arial"/>
                <w:kern w:val="0"/>
                <w:sz w:val="22"/>
                <w:vertAlign w:val="superscript"/>
              </w:rPr>
              <w:t>16</w:t>
            </w:r>
            <w:r w:rsidR="00DB14F5"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IL2RA</w:t>
            </w:r>
            <w:r w:rsidR="00062D73"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{"citationID":"pCjbWZ27","properties":{"formattedCitation":"\\super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062D73" w:rsidRPr="008052F5">
              <w:rPr>
                <w:rFonts w:ascii="Arial" w:eastAsia="Times New Roman" w:hAnsi="Arial" w:cs="Arial"/>
                <w:kern w:val="0"/>
                <w:sz w:val="22"/>
                <w:szCs w:val="22"/>
                <w14:ligatures w14:val="none"/>
              </w:rPr>
              <w:fldChar w:fldCharType="separate"/>
            </w:r>
            <w:r w:rsidR="00062D73" w:rsidRPr="008052F5">
              <w:rPr>
                <w:rFonts w:ascii="Arial" w:hAnsi="Arial" w:cs="Arial"/>
                <w:kern w:val="0"/>
                <w:sz w:val="22"/>
                <w:vertAlign w:val="superscript"/>
              </w:rPr>
              <w:t>2,3</w:t>
            </w:r>
            <w:r w:rsidR="00062D73"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TNFRSF4</w:t>
            </w:r>
            <w:r w:rsidR="00583C5F"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{"citationID":"kkCRidr2","properties":{"formattedCitation":"\\super 17\\nosupersub{}","plainCitation":"17","noteIndex":0},"citationItems":[{"id":2546,"uris":["http://zotero.org/users/11968306/items/3HY5N6ZS"],"itemData":{"id":2546,"type":"article-journal","abstract":"Leukemia stem cells (LSCs) promote the disease and seem resistant to therapy and immune control. Why LSCs are selectively resistant against elimination by CD8+ cytotoxic T cells (CTLs) is still unknown. In this study, we demonstrate that LSCs in chronic myeloid leukemia (CML) can be recognized and killed by CD8+ CTLs in vitro. However, Tregs, which preferentially localized close to CD8+ CTLs in CML BM, protected LSCs from MHC class I-dependent CD8+ CTL-mediated elimination in vivo. BM Tregs in CML were characterized by the selective expression of tumor necrosis factor receptor 4 (Tnfrsf4). Stimulation of Tnfrsf4 signaling did not deplete Tregs but reduced the capacity of Tregs to protect LSCs from CD8+ CTL-mediated killing. In the BM of newly diagnosed CML patients, TNFRSF4 mRNA levels were significantly increased and correlated with the expression of the Treg-restricted transcription factor FOXP3. Overall, these results identify Tregs as key regulators of immune escape of LSCs and TNFRSF4 as a potential target to reduce the function of Tregs and boost antileukemic immunity in CML.","container-title":"JCI insight","DOI":"10.1172/jci.insight.151797","ISSN":"2379-3708","issue":"23","journalAbbreviation":"JCI Insight","language":"eng","note":"PMID: 34727093\nPMCID: PMC8675189","page":"e151797","source":"PubMed","title":"Tnfrsf4-expressing regulatory T cells promote immune escape of chronic myeloid leukemia stem cells","volume":"6","author":[{"family":"Hinterbrandner","given":"Magdalena"},{"family":"Rubino","given":"Viviana"},{"family":"Stoll","given":"Carina"},{"family":"Forster","given":"Stefan"},{"family":"Schnüriger","given":"Noah"},{"family":"Radpour","given":"Ramin"},{"family":"Baerlocher","given":"Gabriela M."},{"family":"Ochsenbein","given":"Adrian F."},{"family":"Riether","given":"Carsten"}],"issued":{"date-parts":[["2021",12,8]]}}}],"schema":"https://github.com/citation-style-language/schema/raw/master/csl-citation.json"} </w:instrText>
            </w:r>
            <w:r w:rsidR="00583C5F" w:rsidRPr="008052F5">
              <w:rPr>
                <w:rFonts w:ascii="Arial" w:eastAsia="Times New Roman" w:hAnsi="Arial" w:cs="Arial"/>
                <w:kern w:val="0"/>
                <w:sz w:val="22"/>
                <w:szCs w:val="22"/>
                <w14:ligatures w14:val="none"/>
              </w:rPr>
              <w:fldChar w:fldCharType="separate"/>
            </w:r>
            <w:r w:rsidR="00583C5F" w:rsidRPr="008052F5">
              <w:rPr>
                <w:rFonts w:ascii="Arial" w:hAnsi="Arial" w:cs="Arial"/>
                <w:kern w:val="0"/>
                <w:sz w:val="22"/>
                <w:vertAlign w:val="superscript"/>
              </w:rPr>
              <w:t>17</w:t>
            </w:r>
            <w:r w:rsidR="00583C5F"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r>
      <w:tr w:rsidR="008052F5" w:rsidRPr="008052F5" w14:paraId="669D3DB8"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13117EBA" w14:textId="26A235E5"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NK cells</w:t>
            </w:r>
            <w:r w:rsidR="006B59AB"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{"citationID":"FkL7dzhx","properties":{"formattedCitation":"\\super 18\\nosupersub{}","plainCitation":"18","noteIndex":0},"citationItems":[{"id":2549,"uris":["http://zotero.org/users/11968306/items/YAARFIZB"],"itemData":{"id":2549,"type":"webpage","title":"NK cells gene expression markers | PanglaoDB","URL":"https://www.panglaodb.se/markers.html?cell_type=%27NK%20cells%27","accessed":{"date-parts":[["2025",5,29]]}}}],"schema":"https://github.com/citation-style-language/schema/raw/master/csl-citation.json"} </w:instrText>
            </w:r>
            <w:r w:rsidR="006B59AB" w:rsidRPr="008052F5">
              <w:rPr>
                <w:rFonts w:ascii="Arial" w:eastAsia="Times New Roman" w:hAnsi="Arial" w:cs="Arial"/>
                <w:kern w:val="0"/>
                <w:sz w:val="22"/>
                <w:szCs w:val="22"/>
                <w14:ligatures w14:val="none"/>
              </w:rPr>
              <w:fldChar w:fldCharType="separate"/>
            </w:r>
            <w:r w:rsidR="006B59AB" w:rsidRPr="008052F5">
              <w:rPr>
                <w:rFonts w:ascii="Arial" w:hAnsi="Arial" w:cs="Arial"/>
                <w:kern w:val="0"/>
                <w:sz w:val="22"/>
                <w:vertAlign w:val="superscript"/>
              </w:rPr>
              <w:t>18</w:t>
            </w:r>
            <w:r w:rsidR="006B59AB"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21376EAA" w14:textId="25F4F1B0"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NCAM1</w:t>
            </w:r>
            <w:r w:rsidR="001E4FD7"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{"citationID":"p1ESNMeQ","properties":{"formattedCitation":"\\super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1E4FD7" w:rsidRPr="008052F5">
              <w:rPr>
                <w:rFonts w:ascii="Arial" w:eastAsia="Times New Roman" w:hAnsi="Arial" w:cs="Arial"/>
                <w:kern w:val="0"/>
                <w:sz w:val="22"/>
                <w:szCs w:val="22"/>
                <w14:ligatures w14:val="none"/>
              </w:rPr>
              <w:fldChar w:fldCharType="separate"/>
            </w:r>
            <w:r w:rsidR="001E4FD7" w:rsidRPr="008052F5">
              <w:rPr>
                <w:rFonts w:ascii="Arial" w:hAnsi="Arial" w:cs="Arial"/>
                <w:kern w:val="0"/>
                <w:sz w:val="22"/>
                <w:vertAlign w:val="superscript"/>
              </w:rPr>
              <w:t>2,3</w:t>
            </w:r>
            <w:r w:rsidR="001E4FD7"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FCGR3A</w:t>
            </w:r>
            <w:r w:rsidR="001E4FD7"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{"citationID":"9vnSznkT","properties":{"formattedCitation":"\\super 3,19\\nosupersub{}","plainCitation":"3,19","noteIndex":0},"citationItems":[{"id":2319,"uris":["http://zotero.org/users/11968306/items/7CKHE3WT"],"itemData":{"id":2319,"type":"article-journal","abstract":"Treatment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J."},{"family":"Getz","given":"Gad"},{"family":"Hacohen","given":"Nir"}],"issued":{"date-parts":[["2018",11,1]]}}},{"id":2550,"uris":["http://zotero.org/users/11968306/items/4ZZT76IU"],"itemData":{"id":2550,"type":"article-journal","abstract":"The FCGR3A gene encodes for the receptor important for antibody-dependent natural killer cell-mediated cytotoxicity. FCGR3A gene polymorphisms could affect the success of monoclonal antibody therapy. Although polymorphisms, such as the FcγRIIIA-V158F and -48L/R/H, have been studied extensively, an overview of other polymorphisms within this gene is lacking. To provide an overview of FCGR3A polymorphisms, we analysed the 1000 Genomes project database and found a total of 234 polymorphisms within the FCGR3A gene, of which 69%, 16%, and 15% occur in the intron, UTR, and exon regions respectively. Additionally, only 16% of all polymorphisms had a minor allele frequency (MAF) &gt; 0.01. To facilitate (full-length) analysis of FCGR3A gene polymorphism, we developed a FCGR3A gene-specific amplification and sequencing protocol for Sanger sequencing and MinION (Nanopore Technologies). First, we used the Sanger sequencing protocol to study the presence of the V158F polymorphism in 76 individuals resulting in frequencies of 38% homozygous T/T, 7% homozygous G/G and 55% heterozygous. Next, we performed a pilot with both Sanger sequencing and MinION based sequencing of 14 DNA samples which showed a good concordance between Sanger- and MinION sequencing. Additionally, we detected 13 SNPs listed in the 1000 Genome Project, from which 11 had MAF &gt; 0.01, and 10 SNPs were not listed in 1000 Genome Project. In summary, we demonstrated that FCGR3A gene is more polymorphic than previously described. As most novel polymorphisms are located in non-coding regions, their functional relevance needs to be studied in future functional studies.","container-title":"Scientific Reports","DOI":"10.1038/s41598-018-34258-1","ISSN":"2045-2322","issue":"1","journalAbbreviation":"Sci Rep","language":"en","license":"2018 The Author(s)","note":"publisher: Nature Publishing Group","page":"15983","source":"www-nature-com.proxy1.library.virginia.edu","title":"A comprehensive overview of FCGR3A gene variability by full-length gene sequencing including the identification of V158F polymorphism","volume":"8","author":[{"family":"Mahaweni","given":"Niken M."},{"family":"Olieslagers","given":"Timo I."},{"family":"Rivas","given":"Ivan Olivares"},{"family":"Molenbroeck","given":"Stefan J. J."},{"family":"Groeneweg","given":"Mathijs"},{"family":"Bos","given":"Gerard M. J."},{"family":"Tilanus","given":"Marcel G. J."},{"family":"Voorter","given":"Christina E. M."},{"family":"Wieten","given":"Lotte"}],"issued":{"date-parts":[["2018",10,29]]}}}],"schema":"https://github.com/citation-style-language/schema/raw/master/csl-citation.json"} </w:instrText>
            </w:r>
            <w:r w:rsidR="001E4FD7" w:rsidRPr="008052F5">
              <w:rPr>
                <w:rFonts w:ascii="Arial" w:eastAsia="Times New Roman" w:hAnsi="Arial" w:cs="Arial"/>
                <w:kern w:val="0"/>
                <w:sz w:val="22"/>
                <w:szCs w:val="22"/>
                <w14:ligatures w14:val="none"/>
              </w:rPr>
              <w:fldChar w:fldCharType="separate"/>
            </w:r>
            <w:r w:rsidR="00147C83" w:rsidRPr="008052F5">
              <w:rPr>
                <w:rFonts w:ascii="Arial" w:hAnsi="Arial" w:cs="Arial"/>
                <w:kern w:val="0"/>
                <w:sz w:val="22"/>
                <w:vertAlign w:val="superscript"/>
              </w:rPr>
              <w:t>3,19</w:t>
            </w:r>
            <w:r w:rsidR="001E4FD7"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GNLY</w:t>
            </w:r>
            <w:r w:rsidR="0020369D"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{"citationID":"6hWUF8xr","properties":{"formattedCitation":"\\super 20\\nosupersub{}","plainCitation":"20","noteIndex":0},"citationItems":[{"id":2552,"uris":["http://zotero.org/users/11968306/items/86ZWQ2R4"],"itemData":{"id":2552,"type":"article-journal","abstract":"Granulysin (GNLY) is a cytolytic molecule expressed by human CTL and NK cells with activity against a variety of tumors and microbes, including Mycobacterium tuberculosis. Although the molecular mechanism of GNLY-induced apoptosis of Jurkat T cells is well defined in vitro, no direct evidence for its in vivo effects has been demonstrated. Because there is no murine homologue of GNLY, we generated mice expressing GNLY using a bacterial artificial chromosome containing the human GNLY gene and its 5′ and 3′ flanking regions. GNLY is expressed in leukocytes from transgenic mice with similar kinetics as in PBMC from humans: GNLY is constitutively expressed in NK cells and, following stimulation through the TCR, appears in T lymphocytes 8–10 days after activation. Both forms of GNLY (9 and 15 kDa) are produced by activated T cells, whereas the 15-kDa form predominates in freshly isolated NK cells from transgenic animals. GNLY mRNA is highest in spleen, with detectable expression in thymus and lungs, and minimal expression in heart, kidney, liver, muscle, intestine, and brain. Allospecific cell lines generated from GNLY transgenic animals showed enhanced killing of target cells. In vivo effects of GNLY were evaluated using the syngeneic T lymphoma tumor C6VL. GNLY transgenic mice survived significantly longer than nontransgenic littermates in response to a lethal tumor challenge. These findings demonstrate for the first time an in vivo effect of GNLY and suggest that GNLY may prove a useful therapeutic modality for the treatment of cancer.","container-title":"Journal of immunology (Baltimore, Md. : 1950)","DOI":"10.4049/jimmunol.178.1.77","ISSN":"0022-1767","issue":"1","journalAbbreviation":"J Immunol","note":"PMID: 17182542\nPMCID: PMC2664664","page":"77-84","source":"PubMed Central","title":"Granulysin-Mediated Tumor Rejection in Transgenic Mice","volume":"178","author":[{"family":"Huang","given":"Lisa P."},{"family":"Lyu","given":"Shu-Chen"},{"family":"Clayberger","given":"Carol"},{"family":"Krensky","given":"Alan M."}],"issued":{"date-parts":[["2007",1,1]]}}}],"schema":"https://github.com/citation-style-language/schema/raw/master/csl-citation.json"} </w:instrText>
            </w:r>
            <w:r w:rsidR="0020369D" w:rsidRPr="008052F5">
              <w:rPr>
                <w:rFonts w:ascii="Arial" w:eastAsia="Times New Roman" w:hAnsi="Arial" w:cs="Arial"/>
                <w:kern w:val="0"/>
                <w:sz w:val="22"/>
                <w:szCs w:val="22"/>
                <w14:ligatures w14:val="none"/>
              </w:rPr>
              <w:fldChar w:fldCharType="separate"/>
            </w:r>
            <w:r w:rsidR="0020369D" w:rsidRPr="008052F5">
              <w:rPr>
                <w:rFonts w:ascii="Arial" w:hAnsi="Arial" w:cs="Arial"/>
                <w:kern w:val="0"/>
                <w:sz w:val="22"/>
                <w:vertAlign w:val="superscript"/>
              </w:rPr>
              <w:t>20</w:t>
            </w:r>
            <w:r w:rsidR="0020369D"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KLRD1</w:t>
            </w:r>
            <w:r w:rsidR="008254B2"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{"citationID":"Lv43kylF","properties":{"formattedCitation":"\\super 2\\nosupersub{}","plainCitation":"2","noteIndex":0},"citationItems":[{"id":1090,"uris":["http://zotero.org/users/11968306/items/VGSCDTTG"],"itemData":{"id":1090,"type":"article-journal","abstract":"Immune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H."},{"family":"Izar","given":"Benjamin"},{"family":"Regev","given":"Aviv"}],"issued":{"date-parts":[["2018",11,1]]}}}],"schema":"https://github.com/citation-style-language/schema/raw/master/csl-citation.json"} </w:instrText>
            </w:r>
            <w:r w:rsidR="008254B2" w:rsidRPr="008052F5">
              <w:rPr>
                <w:rFonts w:ascii="Arial" w:eastAsia="Times New Roman" w:hAnsi="Arial" w:cs="Arial"/>
                <w:kern w:val="0"/>
                <w:sz w:val="22"/>
                <w:szCs w:val="22"/>
                <w14:ligatures w14:val="none"/>
              </w:rPr>
              <w:fldChar w:fldCharType="separate"/>
            </w:r>
            <w:r w:rsidR="008254B2" w:rsidRPr="008052F5">
              <w:rPr>
                <w:rFonts w:ascii="Arial" w:hAnsi="Arial" w:cs="Arial"/>
                <w:kern w:val="0"/>
                <w:sz w:val="22"/>
                <w:vertAlign w:val="superscript"/>
              </w:rPr>
              <w:t>2</w:t>
            </w:r>
            <w:r w:rsidR="008254B2" w:rsidRPr="008052F5">
              <w:rPr>
                <w:rFonts w:ascii="Arial" w:eastAsia="Times New Roman" w:hAnsi="Arial" w:cs="Arial"/>
                <w:kern w:val="0"/>
                <w:sz w:val="22"/>
                <w:szCs w:val="22"/>
                <w14:ligatures w14:val="none"/>
              </w:rPr>
              <w:fldChar w:fldCharType="end"/>
            </w:r>
            <w:r w:rsidR="004975F5" w:rsidRPr="008052F5">
              <w:rPr>
                <w:rFonts w:ascii="Arial" w:eastAsia="Times New Roman" w:hAnsi="Arial" w:cs="Arial"/>
                <w:kern w:val="0"/>
                <w:sz w:val="22"/>
                <w:szCs w:val="22"/>
                <w14:ligatures w14:val="none"/>
              </w:rPr>
              <w:t>,</w:t>
            </w:r>
            <w:r w:rsidR="00ED06F5" w:rsidRPr="008052F5">
              <w:rPr>
                <w:rFonts w:ascii="Arial" w:eastAsia="Times New Roman" w:hAnsi="Arial" w:cs="Arial"/>
                <w:kern w:val="0"/>
                <w:sz w:val="22"/>
                <w:szCs w:val="22"/>
                <w14:ligatures w14:val="none"/>
              </w:rPr>
              <w:t xml:space="preserve"> (-</w:t>
            </w:r>
            <w:r w:rsidR="00410673" w:rsidRPr="008052F5">
              <w:rPr>
                <w:rFonts w:ascii="Arial" w:eastAsia="Times New Roman" w:hAnsi="Arial" w:cs="Arial"/>
                <w:kern w:val="0"/>
                <w:sz w:val="22"/>
                <w:szCs w:val="22"/>
                <w14:ligatures w14:val="none"/>
              </w:rPr>
              <w:t xml:space="preserve"> </w:t>
            </w:r>
            <w:r w:rsidR="00ED06F5" w:rsidRPr="008052F5">
              <w:rPr>
                <w:rFonts w:ascii="Arial" w:eastAsia="Times New Roman" w:hAnsi="Arial" w:cs="Arial"/>
                <w:kern w:val="0"/>
                <w:sz w:val="22"/>
                <w:szCs w:val="22"/>
                <w14:ligatures w14:val="none"/>
              </w:rPr>
              <w:t>CD3D/E</w:t>
            </w:r>
            <w:r w:rsidR="00886957"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{"citationID":"SW9wKLbR","properties":{"formattedCitation":"\\super 21\\nosupersub{}","plainCitation":"21","noteIndex":0},"citationItems":[{"id":2555,"uris":["http://zotero.org/users/11968306/items/CM9ABQMA"],"itemData":{"id":2555,"type":"article-journal","abstract":"NK cells have been defined as CD3-, CD16+, and/or CD56+ lymphocytes that mediate MHC-unrestricted cytotoxicity against certain tumors and virus-infected cells. Although CD3 epsilon transcripts have been detected in some NK clones, it has generally been thought that NK cells do not express CD3 proteins other than zeta which is associated with CD16 (Fc gamma RIII). We demonstrate that adult peripheral blood NK cell lines and clones express cytoplasmic CD3 epsilon proteins, but not CD3 delta or gamma. CD3 epsilon proteins were detected by immunoprecipitation, Western blot analysis, and immunofluorescence using antiserum directed against the cytoplasmic domain of CD3 epsilon. Although resting, adult peripheral blood NK cells have essentially undetectable levels of CD3 epsilon protein, expression was increased substantially after activation. In contrast to adult NK cells, NK cell clones established from human fetal liver express CD3 gamma, delta, and epsilon protein subunits that associate and form CD3 epsilon, gamma and CD3 epsilon, delta complexes in the cytoplasm, but are apparently unable to be transported to the cell surface. These results indicate that expression of CD3 gamma delta epsilon subunits is not restricted to T lymphocytes and supports the possibility that NK and T cells may be derived from common origins.","container-title":"Journal of Immunology (Baltimore, Md.: 1950)","ISSN":"0022-1767","issue":"6","journalAbbreviation":"J Immunol","language":"eng","note":"PMID: 1387664","page":"1876-1880","source":"PubMed","title":"Expression of cytoplasmic CD3 epsilon proteins in activated human adult natural killer (NK) cells and CD3 gamma, delta, epsilon complexes in fetal NK cells. Implications for the relationship of NK and T lymphocytes","volume":"149","author":[{"family":"Lanier","given":"L. L."},{"family":"Chang","given":"C."},{"family":"Spits","given":"H."},{"family":"Phillips","given":"J. H."}],"issued":{"date-parts":[["1992",9,15]]}}}],"schema":"https://github.com/citation-style-language/schema/raw/master/csl-citation.json"} </w:instrText>
            </w:r>
            <w:r w:rsidR="00886957" w:rsidRPr="008052F5">
              <w:rPr>
                <w:rFonts w:ascii="Arial" w:eastAsia="Times New Roman" w:hAnsi="Arial" w:cs="Arial"/>
                <w:kern w:val="0"/>
                <w:sz w:val="22"/>
                <w:szCs w:val="22"/>
                <w14:ligatures w14:val="none"/>
              </w:rPr>
              <w:fldChar w:fldCharType="separate"/>
            </w:r>
            <w:r w:rsidR="00886957" w:rsidRPr="008052F5">
              <w:rPr>
                <w:rFonts w:ascii="Arial" w:hAnsi="Arial" w:cs="Arial"/>
                <w:kern w:val="0"/>
                <w:sz w:val="22"/>
                <w:vertAlign w:val="superscript"/>
              </w:rPr>
              <w:t>21</w:t>
            </w:r>
            <w:r w:rsidR="00886957" w:rsidRPr="008052F5">
              <w:rPr>
                <w:rFonts w:ascii="Arial" w:eastAsia="Times New Roman" w:hAnsi="Arial" w:cs="Arial"/>
                <w:kern w:val="0"/>
                <w:sz w:val="22"/>
                <w:szCs w:val="22"/>
                <w14:ligatures w14:val="none"/>
              </w:rPr>
              <w:fldChar w:fldCharType="end"/>
            </w:r>
            <w:r w:rsidR="00410673" w:rsidRPr="008052F5">
              <w:rPr>
                <w:rFonts w:ascii="Arial" w:eastAsia="Times New Roman" w:hAnsi="Arial" w:cs="Arial"/>
                <w:kern w:val="0"/>
                <w:sz w:val="22"/>
                <w:szCs w:val="22"/>
                <w14:ligatures w14:val="none"/>
              </w:rPr>
              <w:t>)</w:t>
            </w:r>
          </w:p>
        </w:tc>
      </w:tr>
      <w:tr w:rsidR="008052F5" w:rsidRPr="008052F5" w14:paraId="6165D41D"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tcPr>
          <w:p w14:paraId="39963BDA" w14:textId="0ABFDB4E" w:rsidR="00C90337" w:rsidRPr="008052F5" w:rsidRDefault="00C90337" w:rsidP="00892DC7">
            <w:pPr>
              <w:spacing w:after="0" w:line="240" w:lineRule="auto"/>
              <w:textAlignment w:val="baseline"/>
              <w:rPr>
                <w:rFonts w:ascii="Arial" w:eastAsia="Times New Roman" w:hAnsi="Arial" w:cs="Arial"/>
                <w:kern w:val="0"/>
                <w:sz w:val="22"/>
                <w:szCs w:val="22"/>
                <w14:ligatures w14:val="none"/>
              </w:rPr>
            </w:pPr>
            <w:r w:rsidRPr="008052F5">
              <w:rPr>
                <w:rFonts w:ascii="Arial" w:eastAsia="Times New Roman" w:hAnsi="Arial" w:cs="Arial"/>
                <w:kern w:val="0"/>
                <w:sz w:val="22"/>
                <w:szCs w:val="22"/>
                <w14:ligatures w14:val="none"/>
              </w:rPr>
              <w:t>NK T cells</w:t>
            </w:r>
            <w:r w:rsidR="007E2CA9"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{"citationID":"0sBnO0Qi","properties":{"formattedCitation":"\\super 22\\nosupersub{}","plainCitation":"22","noteIndex":0},"citationItems":[{"id":5105,"uris":["http://zotero.org/users/11968306/items/CCRR5AAL"],"itemData":{"id":5105,"type":"article-journal","abstract":"T cells, with numerous classifications, are vital components of the adaptive immune system, which function to maintain homeostasis to protect against pathogens. With the rapid development of single-cell RNA sequencing (scRNA-seq), the specificity and functions of high-resolution characterizations and identities of T cells are continuously explored and discovered. The exact T cell identities provide new insights for deeply understanding the heterogeneity of T cells and for the identification of previously unrecognized cell subsets. The accuracy and specificity of T cell cluster and annotation are critical and important in scRNA-seq analyses, even though the characters and numbers of T cell marker gene panels (MGPs) are to be furthermore improved and uncovered. In order to initiate the discussion on identities of T cell subsets/clusters and impacts of identity specificity in the understanding of immune function, the present review systematically summarized the T cell identities of MGPs and functional characteristics of distinct T cell identities in the scRNA-seq analysis. We also discussed the critical gene differences among panels across T cell subsets, cell functional states, tissue types, and diseases, with a special focus on the significance and potential values of T cell MGP accuracy and specificity in clinical applications. We hope that the precise knowledge of T cell subsets/clusters benefit decision designs and makings of biomarker discoveries and therapeutic strategies to improve the outcomes of patients.","container-title":"Clinical and Translational Discovery","DOI":"10.1002/ctd2.199","ISSN":"2768-0622","issue":"3","language":"en","license":"© 2023 The Authors. Clinical and Translational Discovery published by John Wiley &amp; Sons Australia, Ltd on behalf of Shanghai Institute of Clinical Bioinformatics.","note":"_eprint: https://onlinelibrary.wiley.com/doi/pdf/10.1002/ctd2.199","page":"e199","source":"Wiley Online Library","title":"Specificity and function of T cell subset identities using single-cell sequencing","volume":"3","author":[{"family":"Liu","given":"Xuanqi"},{"family":"Zhu","given":"Zhenhua"},{"family":"Wang","given":"Xiangdong"}],"issued":{"date-parts":[["2023"]]}}}],"schema":"https://github.com/citation-style-language/schema/raw/master/csl-citation.json"} </w:instrText>
            </w:r>
            <w:r w:rsidR="007E2CA9" w:rsidRPr="008052F5">
              <w:rPr>
                <w:rFonts w:ascii="Arial" w:eastAsia="Times New Roman" w:hAnsi="Arial" w:cs="Arial"/>
                <w:kern w:val="0"/>
                <w:sz w:val="22"/>
                <w:szCs w:val="22"/>
                <w14:ligatures w14:val="none"/>
              </w:rPr>
              <w:fldChar w:fldCharType="separate"/>
            </w:r>
            <w:r w:rsidR="007E2CA9" w:rsidRPr="008052F5">
              <w:rPr>
                <w:rFonts w:ascii="Arial" w:hAnsi="Arial" w:cs="Arial"/>
                <w:kern w:val="0"/>
                <w:sz w:val="22"/>
                <w:vertAlign w:val="superscript"/>
              </w:rPr>
              <w:t>22</w:t>
            </w:r>
            <w:r w:rsidR="007E2CA9" w:rsidRPr="008052F5">
              <w:rPr>
                <w:rFonts w:ascii="Arial" w:eastAsia="Times New Roman" w:hAnsi="Arial" w:cs="Arial"/>
                <w:kern w:val="0"/>
                <w:sz w:val="22"/>
                <w:szCs w:val="22"/>
                <w14:ligatures w14:val="none"/>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5382F109" w14:textId="20FBCD06" w:rsidR="00C90337" w:rsidRPr="008052F5" w:rsidRDefault="000D616C" w:rsidP="00892DC7">
            <w:pPr>
              <w:spacing w:after="0" w:line="240" w:lineRule="auto"/>
              <w:textAlignment w:val="baseline"/>
              <w:rPr>
                <w:rFonts w:ascii="Arial" w:eastAsia="Times New Roman" w:hAnsi="Arial" w:cs="Arial"/>
                <w:kern w:val="0"/>
                <w:sz w:val="22"/>
                <w:szCs w:val="22"/>
                <w14:ligatures w14:val="none"/>
              </w:rPr>
            </w:pPr>
            <w:r w:rsidRPr="008052F5">
              <w:rPr>
                <w:rFonts w:ascii="Arial" w:eastAsia="Times New Roman" w:hAnsi="Arial" w:cs="Arial"/>
                <w:kern w:val="0"/>
                <w:sz w:val="22"/>
                <w:szCs w:val="22"/>
                <w14:ligatures w14:val="none"/>
              </w:rPr>
              <w:t>CD3E</w:t>
            </w:r>
            <w:r w:rsidR="007E4027" w:rsidRPr="008052F5">
              <w:rPr>
                <w:rFonts w:ascii="Arial" w:eastAsia="Times New Roman" w:hAnsi="Arial" w:cs="Arial"/>
                <w:kern w:val="0"/>
                <w:sz w:val="22"/>
                <w:szCs w:val="22"/>
                <w14:ligatures w14:val="none"/>
              </w:rPr>
              <w:fldChar w:fldCharType="begin"/>
            </w:r>
            <w:r w:rsidR="007E4027" w:rsidRPr="008052F5">
              <w:rPr>
                <w:rFonts w:ascii="Arial" w:eastAsia="Times New Roman" w:hAnsi="Arial" w:cs="Arial"/>
                <w:kern w:val="0"/>
                <w:sz w:val="22"/>
                <w:szCs w:val="22"/>
                <w14:ligatures w14:val="none"/>
              </w:rPr>
              <w:instrText xml:space="preserve"> ADDIN ZOTERO_ITEM CSL_CITATION {"citationID":"mDPFjM98","properties":{"formattedCitation":"\\super 23\\nosupersub{}","plainCitation":"23","noteIndex":0},"citationItems":[{"id":5108,"uris":["http://zotero.org/users/11968306/items/UTSFYJRM"],"itemData":{"id":5108,"type":"article-journal","abstract":"Although single-cell RNA sequencing studies have begun to provide compendia of cell expression profiles1–9, it has been difficult to systematically identify and localize all molecular cell types in individual organs to create a full molecular cell atlas. Here, using droplet- and plate-based single-cell RNA sequencing of approximately 75,000 human cells across all lung tissue compartments and circulating blood, combined with a multi-pronged cell annotation approach, we create an extensive cell atlas of the human lung. We define the gene expression profiles and anatomical locations of 58 cell populations in the human lung, including 41 out of 45 previously known cell types and 14 previously unknown ones. This comprehensive molecular atlas identifies the biochemical functions of lung cells and the transcription factors and markers for making and monitoring them; defines the cell targets of circulating hormones and predicts local signalling interactions and immune cell homing; and identifies cell types that are directly affected by lung disease genes and respiratory viruses. By comparing human and mouse data, we identified 17 molecular cell types that have been gained or lost during lung evolution and others with substantially altered expression profiles, revealing extensive plasticity of cell types and cell-type-specific gene expression during organ evolution including expression switches between cell types. This atlas provides the molecular foundation for investigating how lung cell identities, functions and interactions are achieved in development and tissue engineering and altered in disease and evolution.","container-title":"Nature","DOI":"10.1038/s41586-020-2922-4","ISSN":"1476-4687","issue":"7835","language":"en","license":"2020 The Author(s), under exclusive licence to Springer Nature Limited","note":"publisher: Nature Publishing Group","page":"619-625","source":"www.nature.com","title":"A molecular cell atlas of the human lung from single-cell RNA sequencing","volume":"587","author":[{"family":"Travaglini","given":"Kyle J."},{"family":"Nabhan","given":"Ahmad N."},{"family":"Penland","given":"Lolita"},{"family":"Sinha","given":"Rahul"},{"family":"Gillich","given":"Astrid"},{"family":"Sit","given":"Rene V."},{"family":"Chang","given":"Stephen"},{"family":"Conley","given":"Stephanie D."},{"family":"Mori","given":"Yasuo"},{"family":"Seita","given":"Jun"},{"family":"Berry","given":"Gerald J."},{"family":"Shrager","given":"Joseph B."},{"family":"Metzger","given":"Ross J."},{"family":"Kuo","given":"Christin S."},{"family":"Neff","given":"Norma"},{"family":"Weissman","given":"Irving L."},{"family":"Quake","given":"Stephen R."},{"family":"Krasnow","given":"Mark A."}],"issued":{"date-parts":[["2020",11]]}}}],"schema":"https://github.com/citation-style-language/schema/raw/master/csl-citation.json"} </w:instrText>
            </w:r>
            <w:r w:rsidR="007E4027" w:rsidRPr="008052F5">
              <w:rPr>
                <w:rFonts w:ascii="Arial" w:eastAsia="Times New Roman" w:hAnsi="Arial" w:cs="Arial"/>
                <w:kern w:val="0"/>
                <w:sz w:val="22"/>
                <w:szCs w:val="22"/>
                <w14:ligatures w14:val="none"/>
              </w:rPr>
              <w:fldChar w:fldCharType="separate"/>
            </w:r>
            <w:r w:rsidR="007E4027" w:rsidRPr="008052F5">
              <w:rPr>
                <w:rFonts w:ascii="Arial" w:hAnsi="Arial" w:cs="Arial"/>
                <w:kern w:val="0"/>
                <w:sz w:val="22"/>
                <w:vertAlign w:val="superscript"/>
              </w:rPr>
              <w:t>23</w:t>
            </w:r>
            <w:r w:rsidR="007E4027"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xml:space="preserve">, </w:t>
            </w:r>
            <w:r w:rsidR="006D49A7" w:rsidRPr="008052F5">
              <w:rPr>
                <w:rFonts w:ascii="Arial" w:eastAsia="Times New Roman" w:hAnsi="Arial" w:cs="Arial"/>
                <w:kern w:val="0"/>
                <w:sz w:val="22"/>
                <w:szCs w:val="22"/>
                <w14:ligatures w14:val="none"/>
              </w:rPr>
              <w:t>CD8A</w:t>
            </w:r>
            <w:r w:rsidR="00A40251" w:rsidRPr="008052F5">
              <w:rPr>
                <w:rFonts w:ascii="Arial" w:eastAsia="Times New Roman" w:hAnsi="Arial" w:cs="Arial"/>
                <w:kern w:val="0"/>
                <w:sz w:val="22"/>
                <w:szCs w:val="22"/>
                <w14:ligatures w14:val="none"/>
              </w:rPr>
              <w:fldChar w:fldCharType="begin"/>
            </w:r>
            <w:r w:rsidR="00A40251" w:rsidRPr="008052F5">
              <w:rPr>
                <w:rFonts w:ascii="Arial" w:eastAsia="Times New Roman" w:hAnsi="Arial" w:cs="Arial"/>
                <w:kern w:val="0"/>
                <w:sz w:val="22"/>
                <w:szCs w:val="22"/>
                <w14:ligatures w14:val="none"/>
              </w:rPr>
              <w:instrText xml:space="preserve"> ADDIN ZOTERO_ITEM CSL_CITATION {"citationID":"asAbpqJl","properties":{"formattedCitation":"\\super 23\\nosupersub{}","plainCitation":"23","noteIndex":0},"citationItems":[{"id":5108,"uris":["http://zotero.org/users/11968306/items/UTSFYJRM"],"itemData":{"id":5108,"type":"article-journal","abstract":"Although single-cell RNA sequencing studies have begun to provide compendia of cell expression profiles1–9, it has been difficult to systematically identify and localize all molecular cell types in individual organs to create a full molecular cell atlas. Here, using droplet- and plate-based single-cell RNA sequencing of approximately 75,000 human cells across all lung tissue compartments and circulating blood, combined with a multi-pronged cell annotation approach, we create an extensive cell atlas of the human lung. We define the gene expression profiles and anatomical locations of 58 cell populations in the human lung, including 41 out of 45 previously known cell types and 14 previously unknown ones. This comprehensive molecular atlas identifies the biochemical functions of lung cells and the transcription factors and markers for making and monitoring them; defines the cell targets of circulating hormones and predicts local signalling interactions and immune cell homing; and identifies cell types that are directly affected by lung disease genes and respiratory viruses. By comparing human and mouse data, we identified 17 molecular cell types that have been gained or lost during lung evolution and others with substantially altered expression profiles, revealing extensive plasticity of cell types and cell-type-specific gene expression during organ evolution including expression switches between cell types. This atlas provides the molecular foundation for investigating how lung cell identities, functions and interactions are achieved in development and tissue engineering and altered in disease and evolution.","container-title":"Nature","DOI":"10.1038/s41586-020-2922-4","ISSN":"1476-4687","issue":"7835","language":"en","license":"2020 The Author(s), under exclusive licence to Springer Nature Limited","note":"publisher: Nature Publishing Group","page":"619-625","source":"www.nature.com","title":"A molecular cell atlas of the human lung from single-cell RNA sequencing","volume":"587","author":[{"family":"Travaglini","given":"Kyle J."},{"family":"Nabhan","given":"Ahmad N."},{"family":"Penland","given":"Lolita"},{"family":"Sinha","given":"Rahul"},{"family":"Gillich","given":"Astrid"},{"family":"Sit","given":"Rene V."},{"family":"Chang","given":"Stephen"},{"family":"Conley","given":"Stephanie D."},{"family":"Mori","given":"Yasuo"},{"family":"Seita","given":"Jun"},{"family":"Berry","given":"Gerald J."},{"family":"Shrager","given":"Joseph B."},{"family":"Metzger","given":"Ross J."},{"family":"Kuo","given":"Christin S."},{"family":"Neff","given":"Norma"},{"family":"Weissman","given":"Irving L."},{"family":"Quake","given":"Stephen R."},{"family":"Krasnow","given":"Mark A."}],"issued":{"date-parts":[["2020",11]]}}}],"schema":"https://github.com/citation-style-language/schema/raw/master/csl-citation.json"} </w:instrText>
            </w:r>
            <w:r w:rsidR="00A40251" w:rsidRPr="008052F5">
              <w:rPr>
                <w:rFonts w:ascii="Arial" w:eastAsia="Times New Roman" w:hAnsi="Arial" w:cs="Arial"/>
                <w:kern w:val="0"/>
                <w:sz w:val="22"/>
                <w:szCs w:val="22"/>
                <w14:ligatures w14:val="none"/>
              </w:rPr>
              <w:fldChar w:fldCharType="separate"/>
            </w:r>
            <w:r w:rsidR="00A40251" w:rsidRPr="008052F5">
              <w:rPr>
                <w:rFonts w:ascii="Arial" w:hAnsi="Arial" w:cs="Arial"/>
                <w:kern w:val="0"/>
                <w:sz w:val="22"/>
                <w:vertAlign w:val="superscript"/>
              </w:rPr>
              <w:t>23</w:t>
            </w:r>
            <w:r w:rsidR="00A40251" w:rsidRPr="008052F5">
              <w:rPr>
                <w:rFonts w:ascii="Arial" w:eastAsia="Times New Roman" w:hAnsi="Arial" w:cs="Arial"/>
                <w:kern w:val="0"/>
                <w:sz w:val="22"/>
                <w:szCs w:val="22"/>
                <w14:ligatures w14:val="none"/>
              </w:rPr>
              <w:fldChar w:fldCharType="end"/>
            </w:r>
            <w:r w:rsidR="006D49A7" w:rsidRPr="008052F5">
              <w:rPr>
                <w:rFonts w:ascii="Arial" w:eastAsia="Times New Roman" w:hAnsi="Arial" w:cs="Arial"/>
                <w:kern w:val="0"/>
                <w:sz w:val="22"/>
                <w:szCs w:val="22"/>
                <w14:ligatures w14:val="none"/>
              </w:rPr>
              <w:t xml:space="preserve">, </w:t>
            </w:r>
            <w:r w:rsidRPr="008052F5">
              <w:rPr>
                <w:rFonts w:ascii="Arial" w:eastAsia="Times New Roman" w:hAnsi="Arial" w:cs="Arial"/>
                <w:kern w:val="0"/>
                <w:sz w:val="22"/>
                <w:szCs w:val="22"/>
                <w14:ligatures w14:val="none"/>
              </w:rPr>
              <w:t>KLRF1</w:t>
            </w:r>
            <w:r w:rsidR="00605604" w:rsidRPr="008052F5">
              <w:rPr>
                <w:rFonts w:ascii="Arial" w:eastAsia="Times New Roman" w:hAnsi="Arial" w:cs="Arial"/>
                <w:kern w:val="0"/>
                <w:sz w:val="22"/>
                <w:szCs w:val="22"/>
                <w14:ligatures w14:val="none"/>
              </w:rPr>
              <w:fldChar w:fldCharType="begin"/>
            </w:r>
            <w:r w:rsidR="00605604" w:rsidRPr="008052F5">
              <w:rPr>
                <w:rFonts w:ascii="Arial" w:eastAsia="Times New Roman" w:hAnsi="Arial" w:cs="Arial"/>
                <w:kern w:val="0"/>
                <w:sz w:val="22"/>
                <w:szCs w:val="22"/>
                <w14:ligatures w14:val="none"/>
              </w:rPr>
              <w:instrText xml:space="preserve"> ADDIN ZOTERO_ITEM CSL_CITATION {"citationID":"K6iR0Fng","properties":{"formattedCitation":"\\super 24\\nosupersub{}","plainCitation":"24","noteIndex":0},"citationItems":[{"id":5110,"uris":["http://zotero.org/users/11968306/items/C8L3ER96"],"itemData":{"id":5110,"type":"article-journal","abstract":"It remains unclear whether immune responses following natural infection can be sustained or potentially prove critical for long-term immune protection against SARS-CoV-2 reinfection. Here, we systematically mapped the phenotypic landscape of SARS-CoV-2-specific immune responses in peripheral blood samples of convalescent patients with COVID-19 by single-cell RNA sequencing. The relative percentage of the CD8 + effector memory subset was increased in both convalescent moderate and severe cases, but NKT-CD160 and marginal zone B clusters were decreased. Innate immune responses were attenuated reflected by decreased expression of genes involved in interferon-gamma, leukocyte migration and neutrophil mediated immune response in convalescent COVID-19 patients. Functions of T cell were strengthened in convalescent COVID-19 patients by clear endorsement of increased expression of genes involved in biological processes of regulation of T cell activation, differentiation and cell–cell adhesion. In addition, T cell mediated immune responses were enhanced with remarkable clonal expansions of TCR and increased transition of CD4 + effector memory and CD8 + effector-GNLY in severe subjects. B cell immune responses displayed complicated and dualfunctions during convalescence of COVID-19, providing a novel mechanism that B cell activation was observed especially in moderate while humoral immune response was weakened. Interestingly, HLA class I genes displayed downregulation while HLA class II genes upregulation in both T and B cell subsets in convalescent individuals. Our results showed that innate immunity was declined but SARS-CoV-2-specific T cell responses were retained even strengthened whereas complicated and dualfunctions of B cells, including declined humoral immunity were presented at several months following infections.","container-title":"International Immunopharmacology","DOI":"10.1016/j.intimp.2022.108767","ISSN":"1567-5769","journalAbbreviation":"International Immunopharmacology","page":"108767","source":"ScienceDirect","title":"Immune features of COVID-19 convalescent individuals revealed by a single-cell RNA sequencing","volume":"108","author":[{"family":"Zhao","given":"Pingsen"},{"family":"Zou","given":"Jiahua"},{"family":"Zhou","given":"Fan"},{"family":"Zhu","given":"Yanyan"},{"family":"Song","given":"Qibin"},{"family":"Yu","given":"Dongdong"},{"family":"Li","given":"Xiangpan"}],"issued":{"date-parts":[["2022",7,1]]}}}],"schema":"https://github.com/citation-style-language/schema/raw/master/csl-citation.json"} </w:instrText>
            </w:r>
            <w:r w:rsidR="00605604" w:rsidRPr="008052F5">
              <w:rPr>
                <w:rFonts w:ascii="Arial" w:eastAsia="Times New Roman" w:hAnsi="Arial" w:cs="Arial"/>
                <w:kern w:val="0"/>
                <w:sz w:val="22"/>
                <w:szCs w:val="22"/>
                <w14:ligatures w14:val="none"/>
              </w:rPr>
              <w:fldChar w:fldCharType="separate"/>
            </w:r>
            <w:r w:rsidR="00605604" w:rsidRPr="008052F5">
              <w:rPr>
                <w:rFonts w:ascii="Arial" w:hAnsi="Arial" w:cs="Arial"/>
                <w:kern w:val="0"/>
                <w:sz w:val="22"/>
                <w:vertAlign w:val="superscript"/>
              </w:rPr>
              <w:t>24</w:t>
            </w:r>
            <w:r w:rsidR="00605604"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xml:space="preserve">, </w:t>
            </w:r>
            <w:r w:rsidR="00A924F5" w:rsidRPr="008052F5">
              <w:rPr>
                <w:rFonts w:ascii="Arial" w:eastAsia="Times New Roman" w:hAnsi="Arial" w:cs="Arial"/>
                <w:kern w:val="0"/>
                <w:sz w:val="22"/>
                <w:szCs w:val="22"/>
                <w14:ligatures w14:val="none"/>
              </w:rPr>
              <w:t>FC</w:t>
            </w:r>
            <w:r w:rsidR="00F8136E" w:rsidRPr="008052F5">
              <w:rPr>
                <w:rFonts w:ascii="Arial" w:eastAsia="Times New Roman" w:hAnsi="Arial" w:cs="Arial"/>
                <w:kern w:val="0"/>
                <w:sz w:val="22"/>
                <w:szCs w:val="22"/>
                <w14:ligatures w14:val="none"/>
              </w:rPr>
              <w:t>G3A</w:t>
            </w:r>
            <w:r w:rsidR="00274B12" w:rsidRPr="008052F5">
              <w:rPr>
                <w:rFonts w:ascii="Arial" w:eastAsia="Times New Roman" w:hAnsi="Arial" w:cs="Arial"/>
                <w:kern w:val="0"/>
                <w:sz w:val="22"/>
                <w:szCs w:val="22"/>
                <w14:ligatures w14:val="none"/>
              </w:rPr>
              <w:fldChar w:fldCharType="begin"/>
            </w:r>
            <w:r w:rsidR="00274B12" w:rsidRPr="008052F5">
              <w:rPr>
                <w:rFonts w:ascii="Arial" w:eastAsia="Times New Roman" w:hAnsi="Arial" w:cs="Arial"/>
                <w:kern w:val="0"/>
                <w:sz w:val="22"/>
                <w:szCs w:val="22"/>
                <w14:ligatures w14:val="none"/>
              </w:rPr>
              <w:instrText xml:space="preserve"> ADDIN ZOTERO_ITEM CSL_CITATION {"citationID":"gpJ89thc","properties":{"formattedCitation":"\\super 25\\nosupersub{}","plainCitation":"25","noteIndex":0},"citationItems":[{"id":5112,"uris":["http://zotero.org/users/11968306/items/FUMESSSJ"],"itemData":{"id":5112,"type":"article-journal","abstract":"Interstitial cystitis (IC) is a severely debilitating and chronic disorder with unclear etiology and pathophysiology, which makes the diagnosis difficult and treatment challenging. To investigate the role of immunity in IC bladders, we sequenced 135,091 CD45+ immune cells from 15 female patients with IC and 9 controls with stress urinary incontinence using single-cell RNA sequencing (scRNA-seq). 22 immune subpopulations were identified in the constructed landscape. Among them, M2-like macrophages, inflammatory CD14+ macrophages, and conventional dendritic cells had the most communications with other immune cells. Then, a significant increase of central memory CD4+ T cells, regulatory T cells, GZMK+CD8+ T cells, activated B cells, un-switched memory B cells, and neutrophils, and a significant decrease of CD8+ effector T cells, Th17 cells, follicular helper T cells, switched memory B cells, transitional B cells, and macrophages were noted in IC bladders. The enrichment analysis identified a virus-related response during the dynamic change of cell proportion, furthermore, the human polyomavirus-2 was detected with a positive rate of 95% in urine of patients with IC. By integrating the results of scRNA-seq with spatial transcriptomics, we found nearly all immune subpopulations were enriched in the urothelial region or located close to fibroblasts in IC bladders, but they were discovered around urothelium and smooth muscle cells in control bladders. These findings depict the immune landscape for IC and might provide valuable insights into the pathophysiology of IC.","container-title":"Signal Transduction and Targeted Therapy","DOI":"10.1038/s41392-022-00962-8","ISSN":"2059-3635","issue":"1","journalAbbreviation":"Sig Transduct Target Ther","language":"en","license":"2022 The Author(s)","note":"publisher: Nature Publishing Group","page":"161","source":"www.nature.com","title":"Integrating single-cell RNA sequencing with spatial transcriptomics reveals immune landscape for interstitial cystitis","volume":"7","author":[{"family":"Peng","given":"Liao"},{"family":"Jin","given":"Xi"},{"family":"Li","given":"Bo-ya"},{"family":"Zeng","given":"Xiao"},{"family":"Liao","given":"Bang-hua"},{"family":"Jin","given":"Tao"},{"family":"Chen","given":"Jia-wei"},{"family":"Gao","given":"Xiao-shuai"},{"family":"Wang","given":"Wei"},{"family":"He","given":"Qing"},{"family":"Chen","given":"Guo"},{"family":"Gong","given":"Li-Na"},{"family":"Shen","given":"Hong"},{"family":"Wang","given":"Kun-jie"},{"family":"Li","given":"Hong"},{"family":"Luo","given":"De-yi"}],"issued":{"date-parts":[["2022",5,20]]}}}],"schema":"https://github.com/citation-style-language/schema/raw/master/csl-citation.json"} </w:instrText>
            </w:r>
            <w:r w:rsidR="00274B12" w:rsidRPr="008052F5">
              <w:rPr>
                <w:rFonts w:ascii="Arial" w:eastAsia="Times New Roman" w:hAnsi="Arial" w:cs="Arial"/>
                <w:kern w:val="0"/>
                <w:sz w:val="22"/>
                <w:szCs w:val="22"/>
                <w14:ligatures w14:val="none"/>
              </w:rPr>
              <w:fldChar w:fldCharType="separate"/>
            </w:r>
            <w:r w:rsidR="00274B12" w:rsidRPr="008052F5">
              <w:rPr>
                <w:rFonts w:ascii="Arial" w:hAnsi="Arial" w:cs="Arial"/>
                <w:kern w:val="0"/>
                <w:sz w:val="22"/>
                <w:vertAlign w:val="superscript"/>
              </w:rPr>
              <w:t>25</w:t>
            </w:r>
            <w:r w:rsidR="00274B12" w:rsidRPr="008052F5">
              <w:rPr>
                <w:rFonts w:ascii="Arial" w:eastAsia="Times New Roman" w:hAnsi="Arial" w:cs="Arial"/>
                <w:kern w:val="0"/>
                <w:sz w:val="22"/>
                <w:szCs w:val="22"/>
                <w14:ligatures w14:val="none"/>
              </w:rPr>
              <w:fldChar w:fldCharType="end"/>
            </w:r>
            <w:r w:rsidR="00F8136E" w:rsidRPr="008052F5">
              <w:rPr>
                <w:rFonts w:ascii="Arial" w:eastAsia="Times New Roman" w:hAnsi="Arial" w:cs="Arial"/>
                <w:kern w:val="0"/>
                <w:sz w:val="22"/>
                <w:szCs w:val="22"/>
                <w14:ligatures w14:val="none"/>
              </w:rPr>
              <w:t>, NKG7</w:t>
            </w:r>
            <w:r w:rsidR="00BE565D" w:rsidRPr="008052F5">
              <w:rPr>
                <w:rFonts w:ascii="Arial" w:eastAsia="Times New Roman" w:hAnsi="Arial" w:cs="Arial"/>
                <w:kern w:val="0"/>
                <w:sz w:val="22"/>
                <w:szCs w:val="22"/>
                <w14:ligatures w14:val="none"/>
              </w:rPr>
              <w:fldChar w:fldCharType="begin"/>
            </w:r>
            <w:r w:rsidR="00BE565D" w:rsidRPr="008052F5">
              <w:rPr>
                <w:rFonts w:ascii="Arial" w:eastAsia="Times New Roman" w:hAnsi="Arial" w:cs="Arial"/>
                <w:kern w:val="0"/>
                <w:sz w:val="22"/>
                <w:szCs w:val="22"/>
                <w14:ligatures w14:val="none"/>
              </w:rPr>
              <w:instrText xml:space="preserve"> ADDIN ZOTERO_ITEM CSL_CITATION {"citationID":"tipT8FUU","properties":{"formattedCitation":"\\super 24\\nosupersub{}","plainCitation":"24","noteIndex":0},"citationItems":[{"id":5110,"uris":["http://zotero.org/users/11968306/items/C8L3ER96"],"itemData":{"id":5110,"type":"article-journal","abstract":"It remains unclear whether immune responses following natural infection can be sustained or potentially prove critical for long-term immune protection against SARS-CoV-2 reinfection. Here, we systematically mapped the phenotypic landscape of SARS-CoV-2-specific immune responses in peripheral blood samples of convalescent patients with COVID-19 by single-cell RNA sequencing. The relative percentage of the CD8 + effector memory subset was increased in both convalescent moderate and severe cases, but NKT-CD160 and marginal zone B clusters were decreased. Innate immune responses were attenuated reflected by decreased expression of genes involved in interferon-gamma, leukocyte migration and neutrophil mediated immune response in convalescent COVID-19 patients. Functions of T cell were strengthened in convalescent COVID-19 patients by clear endorsement of increased expression of genes involved in biological processes of regulation of T cell activation, differentiation and cell–cell adhesion. In addition, T cell mediated immune responses were enhanced with remarkable clonal expansions of TCR and increased transition of CD4 + effector memory and CD8 + effector-GNLY in severe subjects. B cell immune responses displayed complicated and dualfunctions during convalescence of COVID-19, providing a novel mechanism that B cell activation was observed especially in moderate while humoral immune response was weakened. Interestingly, HLA class I genes displayed downregulation while HLA class II genes upregulation in both T and B cell subsets in convalescent individuals. Our results showed that innate immunity was declined but SARS-CoV-2-specific T cell responses were retained even strengthened whereas complicated and dualfunctions of B cells, including declined humoral immunity were presented at several months following infections.","container-title":"International Immunopharmacology","DOI":"10.1016/j.intimp.2022.108767","ISSN":"1567-5769","journalAbbreviation":"International Immunopharmacology","page":"108767","source":"ScienceDirect","title":"Immune features of COVID-19 convalescent individuals revealed by a single-cell RNA sequencing","volume":"108","author":[{"family":"Zhao","given":"Pingsen"},{"family":"Zou","given":"Jiahua"},{"family":"Zhou","given":"Fan"},{"family":"Zhu","given":"Yanyan"},{"family":"Song","given":"Qibin"},{"family":"Yu","given":"Dongdong"},{"family":"Li","given":"Xiangpan"}],"issued":{"date-parts":[["2022",7,1]]}}}],"schema":"https://github.com/citation-style-language/schema/raw/master/csl-citation.json"} </w:instrText>
            </w:r>
            <w:r w:rsidR="00BE565D" w:rsidRPr="008052F5">
              <w:rPr>
                <w:rFonts w:ascii="Arial" w:eastAsia="Times New Roman" w:hAnsi="Arial" w:cs="Arial"/>
                <w:kern w:val="0"/>
                <w:sz w:val="22"/>
                <w:szCs w:val="22"/>
                <w14:ligatures w14:val="none"/>
              </w:rPr>
              <w:fldChar w:fldCharType="separate"/>
            </w:r>
            <w:r w:rsidR="00BE565D" w:rsidRPr="008052F5">
              <w:rPr>
                <w:rFonts w:ascii="Arial" w:hAnsi="Arial" w:cs="Arial"/>
                <w:kern w:val="0"/>
                <w:sz w:val="22"/>
                <w:vertAlign w:val="superscript"/>
              </w:rPr>
              <w:t>24</w:t>
            </w:r>
            <w:r w:rsidR="00BE565D" w:rsidRPr="008052F5">
              <w:rPr>
                <w:rFonts w:ascii="Arial" w:eastAsia="Times New Roman" w:hAnsi="Arial" w:cs="Arial"/>
                <w:kern w:val="0"/>
                <w:sz w:val="22"/>
                <w:szCs w:val="22"/>
                <w14:ligatures w14:val="none"/>
              </w:rPr>
              <w:fldChar w:fldCharType="end"/>
            </w:r>
            <w:r w:rsidR="00F8136E" w:rsidRPr="008052F5">
              <w:rPr>
                <w:rFonts w:ascii="Arial" w:eastAsia="Times New Roman" w:hAnsi="Arial" w:cs="Arial"/>
                <w:kern w:val="0"/>
                <w:sz w:val="22"/>
                <w:szCs w:val="22"/>
                <w14:ligatures w14:val="none"/>
              </w:rPr>
              <w:t xml:space="preserve">, </w:t>
            </w:r>
            <w:r w:rsidR="003110B4" w:rsidRPr="008052F5">
              <w:rPr>
                <w:rFonts w:ascii="Arial" w:eastAsia="Times New Roman" w:hAnsi="Arial" w:cs="Arial"/>
                <w:kern w:val="0"/>
                <w:sz w:val="22"/>
                <w:szCs w:val="22"/>
                <w14:ligatures w14:val="none"/>
              </w:rPr>
              <w:t>KLRD1</w:t>
            </w:r>
            <w:r w:rsidR="00330056" w:rsidRPr="008052F5">
              <w:rPr>
                <w:rFonts w:ascii="Arial" w:eastAsia="Times New Roman" w:hAnsi="Arial" w:cs="Arial"/>
                <w:kern w:val="0"/>
                <w:sz w:val="22"/>
                <w:szCs w:val="22"/>
                <w14:ligatures w14:val="none"/>
              </w:rPr>
              <w:fldChar w:fldCharType="begin"/>
            </w:r>
            <w:r w:rsidR="00330056" w:rsidRPr="008052F5">
              <w:rPr>
                <w:rFonts w:ascii="Arial" w:eastAsia="Times New Roman" w:hAnsi="Arial" w:cs="Arial"/>
                <w:kern w:val="0"/>
                <w:sz w:val="22"/>
                <w:szCs w:val="22"/>
                <w14:ligatures w14:val="none"/>
              </w:rPr>
              <w:instrText xml:space="preserve"> ADDIN ZOTERO_ITEM CSL_CITATION {"citationID":"y2bxovqO","properties":{"formattedCitation":"\\super 24\\nosupersub{}","plainCitation":"24","noteIndex":0},"citationItems":[{"id":5110,"uris":["http://zotero.org/users/11968306/items/C8L3ER96"],"itemData":{"id":5110,"type":"article-journal","abstract":"It remains unclear whether immune responses following natural infection can be sustained or potentially prove critical for long-term immune protection against SARS-CoV-2 reinfection. Here, we systematically mapped the phenotypic landscape of SARS-CoV-2-specific immune responses in peripheral blood samples of convalescent patients with COVID-19 by single-cell RNA sequencing. The relative percentage of the CD8 + effector memory subset was increased in both convalescent moderate and severe cases, but NKT-CD160 and marginal zone B clusters were decreased. Innate immune responses were attenuated reflected by decreased expression of genes involved in interferon-gamma, leukocyte migration and neutrophil mediated immune response in convalescent COVID-19 patients. Functions of T cell were strengthened in convalescent COVID-19 patients by clear endorsement of increased expression of genes involved in biological processes of regulation of T cell activation, differentiation and cell–cell adhesion. In addition, T cell mediated immune responses were enhanced with remarkable clonal expansions of TCR and increased transition of CD4 + effector memory and CD8 + effector-GNLY in severe subjects. B cell immune responses displayed complicated and dualfunctions during convalescence of COVID-19, providing a novel mechanism that B cell activation was observed especially in moderate while humoral immune response was weakened. Interestingly, HLA class I genes displayed downregulation while HLA class II genes upregulation in both T and B cell subsets in convalescent individuals. Our results showed that innate immunity was declined but SARS-CoV-2-specific T cell responses were retained even strengthened whereas complicated and dualfunctions of B cells, including declined humoral immunity were presented at several months following infections.","container-title":"International Immunopharmacology","DOI":"10.1016/j.intimp.2022.108767","ISSN":"1567-5769","journalAbbreviation":"International Immunopharmacology","page":"108767","source":"ScienceDirect","title":"Immune features of COVID-19 convalescent individuals revealed by a single-cell RNA sequencing","volume":"108","author":[{"family":"Zhao","given":"Pingsen"},{"family":"Zou","given":"Jiahua"},{"family":"Zhou","given":"Fan"},{"family":"Zhu","given":"Yanyan"},{"family":"Song","given":"Qibin"},{"family":"Yu","given":"Dongdong"},{"family":"Li","given":"Xiangpan"}],"issued":{"date-parts":[["2022",7,1]]}}}],"schema":"https://github.com/citation-style-language/schema/raw/master/csl-citation.json"} </w:instrText>
            </w:r>
            <w:r w:rsidR="00330056" w:rsidRPr="008052F5">
              <w:rPr>
                <w:rFonts w:ascii="Arial" w:eastAsia="Times New Roman" w:hAnsi="Arial" w:cs="Arial"/>
                <w:kern w:val="0"/>
                <w:sz w:val="22"/>
                <w:szCs w:val="22"/>
                <w14:ligatures w14:val="none"/>
              </w:rPr>
              <w:fldChar w:fldCharType="separate"/>
            </w:r>
            <w:r w:rsidR="00330056" w:rsidRPr="008052F5">
              <w:rPr>
                <w:rFonts w:ascii="Arial" w:hAnsi="Arial" w:cs="Arial"/>
                <w:kern w:val="0"/>
                <w:sz w:val="22"/>
                <w:vertAlign w:val="superscript"/>
              </w:rPr>
              <w:t>24</w:t>
            </w:r>
            <w:r w:rsidR="00330056" w:rsidRPr="008052F5">
              <w:rPr>
                <w:rFonts w:ascii="Arial" w:eastAsia="Times New Roman" w:hAnsi="Arial" w:cs="Arial"/>
                <w:kern w:val="0"/>
                <w:sz w:val="22"/>
                <w:szCs w:val="22"/>
                <w14:ligatures w14:val="none"/>
              </w:rPr>
              <w:fldChar w:fldCharType="end"/>
            </w:r>
          </w:p>
        </w:tc>
      </w:tr>
      <w:tr w:rsidR="008052F5" w:rsidRPr="008052F5" w14:paraId="6DDCABDC"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tcPr>
          <w:p w14:paraId="27453BE5" w14:textId="51D000D4" w:rsidR="00CC271F" w:rsidRPr="008052F5" w:rsidRDefault="00CC271F" w:rsidP="00892DC7">
            <w:pPr>
              <w:spacing w:after="0" w:line="240" w:lineRule="auto"/>
              <w:textAlignment w:val="baseline"/>
              <w:rPr>
                <w:rFonts w:ascii="Arial" w:eastAsia="Times New Roman" w:hAnsi="Arial" w:cs="Arial"/>
                <w:kern w:val="0"/>
                <w:sz w:val="22"/>
                <w:szCs w:val="22"/>
                <w14:ligatures w14:val="none"/>
              </w:rPr>
            </w:pPr>
            <w:r w:rsidRPr="008052F5">
              <w:rPr>
                <w:rFonts w:ascii="Arial" w:eastAsia="Times New Roman" w:hAnsi="Arial" w:cs="Arial"/>
                <w:kern w:val="0"/>
                <w:sz w:val="22"/>
                <w:szCs w:val="22"/>
                <w14:ligatures w14:val="none"/>
              </w:rPr>
              <w:t>γδ T cells</w:t>
            </w:r>
            <w:r w:rsidR="008351A4" w:rsidRPr="008052F5">
              <w:rPr>
                <w:rFonts w:ascii="Arial" w:eastAsia="Times New Roman" w:hAnsi="Arial" w:cs="Arial"/>
                <w:kern w:val="0"/>
                <w:sz w:val="22"/>
                <w:szCs w:val="22"/>
                <w14:ligatures w14:val="none"/>
              </w:rPr>
              <w:fldChar w:fldCharType="begin"/>
            </w:r>
            <w:r w:rsidR="008351A4" w:rsidRPr="008052F5">
              <w:rPr>
                <w:rFonts w:ascii="Arial" w:eastAsia="Times New Roman" w:hAnsi="Arial" w:cs="Arial"/>
                <w:kern w:val="0"/>
                <w:sz w:val="22"/>
                <w:szCs w:val="22"/>
                <w14:ligatures w14:val="none"/>
              </w:rPr>
              <w:instrText xml:space="preserve"> ADDIN ZOTERO_ITEM CSL_CITATION {"citationID":"7nBWKb3u","properties":{"formattedCitation":"\\super 22\\nosupersub{}","plainCitation":"22","noteIndex":0},"citationItems":[{"id":5105,"uris":["http://zotero.org/users/11968306/items/CCRR5AAL"],"itemData":{"id":5105,"type":"article-journal","abstract":"T cells, with numerous classifications, are vital components of the adaptive immune system, which function to maintain homeostasis to protect against pathogens. With the rapid development of single-cell RNA sequencing (scRNA-seq), the specificity and functions of high-resolution characterizations and identities of T cells are continuously explored and discovered. The exact T cell identities provide new insights for deeply understanding the heterogeneity of T cells and for the identification of previously unrecognized cell subsets. The accuracy and specificity of T cell cluster and annotation are critical and important in scRNA-seq analyses, even though the characters and numbers of T cell marker gene panels (MGPs) are to be furthermore improved and uncovered. In order to initiate the discussion on identities of T cell subsets/clusters and impacts of identity specificity in the understanding of immune function, the present review systematically summarized the T cell identities of MGPs and functional characteristics of distinct T cell identities in the scRNA-seq analysis. We also discussed the critical gene differences among panels across T cell subsets, cell functional states, tissue types, and diseases, with a special focus on the significance and potential values of T cell MGP accuracy and specificity in clinical applications. We hope that the precise knowledge of T cell subsets/clusters benefit decision designs and makings of biomarker discoveries and therapeutic strategies to improve the outcomes of patients.","container-title":"Clinical and Translational Discovery","DOI":"10.1002/ctd2.199","ISSN":"2768-0622","issue":"3","language":"en","license":"© 2023 The Authors. Clinical and Translational Discovery published by John Wiley &amp; Sons Australia, Ltd on behalf of Shanghai Institute of Clinical Bioinformatics.","note":"_eprint: https://onlinelibrary.wiley.com/doi/pdf/10.1002/ctd2.199","page":"e199","source":"Wiley Online Library","title":"Specificity and function of T cell subset identities using single-cell sequencing","volume":"3","author":[{"family":"Liu","given":"Xuanqi"},{"family":"Zhu","given":"Zhenhua"},{"family":"Wang","given":"Xiangdong"}],"issued":{"date-parts":[["2023"]]}}}],"schema":"https://github.com/citation-style-language/schema/raw/master/csl-citation.json"} </w:instrText>
            </w:r>
            <w:r w:rsidR="008351A4" w:rsidRPr="008052F5">
              <w:rPr>
                <w:rFonts w:ascii="Arial" w:eastAsia="Times New Roman" w:hAnsi="Arial" w:cs="Arial"/>
                <w:kern w:val="0"/>
                <w:sz w:val="22"/>
                <w:szCs w:val="22"/>
                <w14:ligatures w14:val="none"/>
              </w:rPr>
              <w:fldChar w:fldCharType="separate"/>
            </w:r>
            <w:r w:rsidR="008351A4" w:rsidRPr="008052F5">
              <w:rPr>
                <w:rFonts w:ascii="Arial" w:hAnsi="Arial" w:cs="Arial"/>
                <w:kern w:val="0"/>
                <w:sz w:val="22"/>
                <w:vertAlign w:val="superscript"/>
              </w:rPr>
              <w:t>22</w:t>
            </w:r>
            <w:r w:rsidR="008351A4" w:rsidRPr="008052F5">
              <w:rPr>
                <w:rFonts w:ascii="Arial" w:eastAsia="Times New Roman" w:hAnsi="Arial" w:cs="Arial"/>
                <w:kern w:val="0"/>
                <w:sz w:val="22"/>
                <w:szCs w:val="22"/>
                <w14:ligatures w14:val="none"/>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26177B29" w14:textId="2A91607E" w:rsidR="00CC271F" w:rsidRPr="008052F5" w:rsidRDefault="00BD1FFB" w:rsidP="00892DC7">
            <w:pPr>
              <w:spacing w:after="0" w:line="240" w:lineRule="auto"/>
              <w:textAlignment w:val="baseline"/>
              <w:rPr>
                <w:rFonts w:ascii="Arial" w:eastAsia="Times New Roman" w:hAnsi="Arial" w:cs="Arial"/>
                <w:kern w:val="0"/>
                <w:sz w:val="22"/>
                <w:szCs w:val="22"/>
                <w14:ligatures w14:val="none"/>
              </w:rPr>
            </w:pPr>
            <w:r w:rsidRPr="008052F5">
              <w:rPr>
                <w:rFonts w:ascii="Arial" w:eastAsia="Times New Roman" w:hAnsi="Arial" w:cs="Arial"/>
                <w:kern w:val="0"/>
                <w:sz w:val="22"/>
                <w:szCs w:val="22"/>
                <w14:ligatures w14:val="none"/>
              </w:rPr>
              <w:t>CD3E</w:t>
            </w:r>
            <w:r w:rsidR="008E54AC" w:rsidRPr="008052F5">
              <w:rPr>
                <w:rFonts w:ascii="Arial" w:eastAsia="Times New Roman" w:hAnsi="Arial" w:cs="Arial"/>
                <w:kern w:val="0"/>
                <w:sz w:val="22"/>
                <w:szCs w:val="22"/>
                <w14:ligatures w14:val="none"/>
              </w:rPr>
              <w:fldChar w:fldCharType="begin"/>
            </w:r>
            <w:r w:rsidR="008E54AC" w:rsidRPr="008052F5">
              <w:rPr>
                <w:rFonts w:ascii="Arial" w:eastAsia="Times New Roman" w:hAnsi="Arial" w:cs="Arial"/>
                <w:kern w:val="0"/>
                <w:sz w:val="22"/>
                <w:szCs w:val="22"/>
                <w14:ligatures w14:val="none"/>
              </w:rPr>
              <w:instrText xml:space="preserve"> ADDIN ZOTERO_ITEM CSL_CITATION {"citationID":"HYyZ6zz7","properties":{"formattedCitation":"\\super 26\\nosupersub{}","plainCitation":"26","noteIndex":0},"citationItems":[{"id":5117,"uris":["http://zotero.org/users/11968306/items/8LAT56MG"],"itemData":{"id":5117,"type":"article-journal","abstract":"Since the beginning of the SARS-CoV-2 pandemic, COVID-19 appeared as a unique disease with unconventional tissue and systemic immune features. Here we show a COVID-19 immune signature associated with severity by integrating single-cell RNA-seq analysis from blood samples and broncho-alveolar lavage fluids with clinical, immunological and functional ex vivo data. This signature is characterized by lung accumulation of naïve lymphoid cells associated with a systemic expansion and activation of myeloid cells. Myeloid-driven immune suppression is a hallmark of COVID-19 evolution, highlighting arginase-1 expression with immune regulatory features of monocytes. Monocyte-dependent and neutrophil-dependent immune suppression loss is associated with fatal clinical outcome in severe patients. Additionally, our analysis shows a lung CXCR6+ effector memory T cell subset is associated with better prognosis in patients with severe COVID-19. In summary, COVID-19-induced myeloid dysregulation and lymphoid impairment establish a condition of ‘immune silence’ in patients with critical COVID-19.","container-title":"Nature Communications","DOI":"10.1038/s41467-021-21702-6","ISSN":"2041-1723","issue":"1","journalAbbreviation":"Nat Commun","language":"en","license":"2021 The Author(s)","note":"publisher: Nature Publishing Group","page":"1428","source":"www.nature.com","title":"Deciphering the state of immune silence in fatal COVID-19 patients","volume":"12","author":[{"family":"Bost","given":"Pierre"},{"family":"De Sanctis","given":"Francesco"},{"family":"Canè","given":"Stefania"},{"family":"Ugel","given":"Stefano"},{"family":"Donadello","given":"Katia"},{"family":"Castellucci","given":"Monica"},{"family":"Eyal","given":"David"},{"family":"Fiore","given":"Alessandra"},{"family":"Anselmi","given":"Cristina"},{"family":"Barouni","given":"Roza Maria"},{"family":"Trovato","given":"Rosalinda"},{"family":"Caligola","given":"Simone"},{"family":"Lamolinara","given":"Alessia"},{"family":"Iezzi","given":"Manuela"},{"family":"Facciotti","given":"Federica"},{"family":"Mazzariol","given":"Annarita"},{"family":"Gibellini","given":"Davide"},{"family":"De Nardo","given":"Pasquale"},{"family":"Tacconelli","given":"Evelina"},{"family":"Gottin","given":"Leonardo"},{"family":"Polati","given":"Enrico"},{"family":"Schwikowski","given":"Benno"},{"family":"Amit","given":"Ido"},{"family":"Bronte","given":"Vincenzo"}],"issued":{"date-parts":[["2021",3,5]]}}}],"schema":"https://github.com/citation-style-language/schema/raw/master/csl-citation.json"} </w:instrText>
            </w:r>
            <w:r w:rsidR="008E54AC" w:rsidRPr="008052F5">
              <w:rPr>
                <w:rFonts w:ascii="Arial" w:eastAsia="Times New Roman" w:hAnsi="Arial" w:cs="Arial"/>
                <w:kern w:val="0"/>
                <w:sz w:val="22"/>
                <w:szCs w:val="22"/>
                <w14:ligatures w14:val="none"/>
              </w:rPr>
              <w:fldChar w:fldCharType="separate"/>
            </w:r>
            <w:r w:rsidR="008E54AC" w:rsidRPr="008052F5">
              <w:rPr>
                <w:rFonts w:ascii="Arial" w:hAnsi="Arial" w:cs="Arial"/>
                <w:kern w:val="0"/>
                <w:sz w:val="22"/>
                <w:vertAlign w:val="superscript"/>
              </w:rPr>
              <w:t>26</w:t>
            </w:r>
            <w:r w:rsidR="008E54AC"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xml:space="preserve">, </w:t>
            </w:r>
            <w:r w:rsidR="00A176EF" w:rsidRPr="008052F5">
              <w:rPr>
                <w:rFonts w:ascii="Arial" w:eastAsia="Times New Roman" w:hAnsi="Arial" w:cs="Arial"/>
                <w:kern w:val="0"/>
                <w:sz w:val="22"/>
                <w:szCs w:val="22"/>
                <w14:ligatures w14:val="none"/>
              </w:rPr>
              <w:t>GZMH</w:t>
            </w:r>
            <w:r w:rsidR="00671386" w:rsidRPr="008052F5">
              <w:rPr>
                <w:rFonts w:ascii="Arial" w:eastAsia="Times New Roman" w:hAnsi="Arial" w:cs="Arial"/>
                <w:kern w:val="0"/>
                <w:sz w:val="22"/>
                <w:szCs w:val="22"/>
                <w14:ligatures w14:val="none"/>
              </w:rPr>
              <w:fldChar w:fldCharType="begin"/>
            </w:r>
            <w:r w:rsidR="00671386" w:rsidRPr="008052F5">
              <w:rPr>
                <w:rFonts w:ascii="Arial" w:eastAsia="Times New Roman" w:hAnsi="Arial" w:cs="Arial"/>
                <w:kern w:val="0"/>
                <w:sz w:val="22"/>
                <w:szCs w:val="22"/>
                <w14:ligatures w14:val="none"/>
              </w:rPr>
              <w:instrText xml:space="preserve"> ADDIN ZOTERO_ITEM CSL_CITATION {"citationID":"H7DkTrte","properties":{"formattedCitation":"\\super 26\\nosupersub{}","plainCitation":"26","noteIndex":0},"citationItems":[{"id":5117,"uris":["http://zotero.org/users/11968306/items/8LAT56MG"],"itemData":{"id":5117,"type":"article-journal","abstract":"Since the beginning of the SARS-CoV-2 pandemic, COVID-19 appeared as a unique disease with unconventional tissue and systemic immune features. Here we show a COVID-19 immune signature associated with severity by integrating single-cell RNA-seq analysis from blood samples and broncho-alveolar lavage fluids with clinical, immunological and functional ex vivo data. This signature is characterized by lung accumulation of naïve lymphoid cells associated with a systemic expansion and activation of myeloid cells. Myeloid-driven immune suppression is a hallmark of COVID-19 evolution, highlighting arginase-1 expression with immune regulatory features of monocytes. Monocyte-dependent and neutrophil-dependent immune suppression loss is associated with fatal clinical outcome in severe patients. Additionally, our analysis shows a lung CXCR6+ effector memory T cell subset is associated with better prognosis in patients with severe COVID-19. In summary, COVID-19-induced myeloid dysregulation and lymphoid impairment establish a condition of ‘immune silence’ in patients with critical COVID-19.","container-title":"Nature Communications","DOI":"10.1038/s41467-021-21702-6","ISSN":"2041-1723","issue":"1","journalAbbreviation":"Nat Commun","language":"en","license":"2021 The Author(s)","note":"publisher: Nature Publishing Group","page":"1428","source":"www.nature.com","title":"Deciphering the state of immune silence in fatal COVID-19 patients","volume":"12","author":[{"family":"Bost","given":"Pierre"},{"family":"De Sanctis","given":"Francesco"},{"family":"Canè","given":"Stefania"},{"family":"Ugel","given":"Stefano"},{"family":"Donadello","given":"Katia"},{"family":"Castellucci","given":"Monica"},{"family":"Eyal","given":"David"},{"family":"Fiore","given":"Alessandra"},{"family":"Anselmi","given":"Cristina"},{"family":"Barouni","given":"Roza Maria"},{"family":"Trovato","given":"Rosalinda"},{"family":"Caligola","given":"Simone"},{"family":"Lamolinara","given":"Alessia"},{"family":"Iezzi","given":"Manuela"},{"family":"Facciotti","given":"Federica"},{"family":"Mazzariol","given":"Annarita"},{"family":"Gibellini","given":"Davide"},{"family":"De Nardo","given":"Pasquale"},{"family":"Tacconelli","given":"Evelina"},{"family":"Gottin","given":"Leonardo"},{"family":"Polati","given":"Enrico"},{"family":"Schwikowski","given":"Benno"},{"family":"Amit","given":"Ido"},{"family":"Bronte","given":"Vincenzo"}],"issued":{"date-parts":[["2021",3,5]]}}}],"schema":"https://github.com/citation-style-language/schema/raw/master/csl-citation.json"} </w:instrText>
            </w:r>
            <w:r w:rsidR="00671386" w:rsidRPr="008052F5">
              <w:rPr>
                <w:rFonts w:ascii="Arial" w:eastAsia="Times New Roman" w:hAnsi="Arial" w:cs="Arial"/>
                <w:kern w:val="0"/>
                <w:sz w:val="22"/>
                <w:szCs w:val="22"/>
                <w14:ligatures w14:val="none"/>
              </w:rPr>
              <w:fldChar w:fldCharType="separate"/>
            </w:r>
            <w:r w:rsidR="00671386" w:rsidRPr="008052F5">
              <w:rPr>
                <w:rFonts w:ascii="Arial" w:hAnsi="Arial" w:cs="Arial"/>
                <w:kern w:val="0"/>
                <w:sz w:val="22"/>
                <w:vertAlign w:val="superscript"/>
              </w:rPr>
              <w:t>26</w:t>
            </w:r>
            <w:r w:rsidR="00671386" w:rsidRPr="008052F5">
              <w:rPr>
                <w:rFonts w:ascii="Arial" w:eastAsia="Times New Roman" w:hAnsi="Arial" w:cs="Arial"/>
                <w:kern w:val="0"/>
                <w:sz w:val="22"/>
                <w:szCs w:val="22"/>
                <w14:ligatures w14:val="none"/>
              </w:rPr>
              <w:fldChar w:fldCharType="end"/>
            </w:r>
            <w:r w:rsidR="00A176EF" w:rsidRPr="008052F5">
              <w:rPr>
                <w:rFonts w:ascii="Arial" w:eastAsia="Times New Roman" w:hAnsi="Arial" w:cs="Arial"/>
                <w:kern w:val="0"/>
                <w:sz w:val="22"/>
                <w:szCs w:val="22"/>
                <w14:ligatures w14:val="none"/>
              </w:rPr>
              <w:t>, TRDC</w:t>
            </w:r>
            <w:r w:rsidR="00C41DCB"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{"citationID":"32KGCMFg","properties":{"formattedCitation":"\\super 27\\nosupersub{}","plainCitation":"27","noteIndex":0},"citationItems":[{"id":400,"uris":["http://zotero.org/users/11968306/items/Q3EHWDGS"],"itemData":{"id":400,"type":"article-journal","abstract":"Advanced metastatic cancer poses utmost clinical challenges and may present molecular and cellular features distinct from an early-stage cancer. Herein, we present single-cell transcriptome profiling of metastatic lung adenocarcinoma, the most prevalent histological lung cancer type diagnosed at stage IV in over 40% of all cases. From 208,506 cells populating the normal tissues or early to metastatic stage cancer in 44 patients, we identify a cancer cell subtype deviating from the normal differentiation trajectory and dominating the metastatic stage. In all stages, the stromal and immune cell dynamics reveal ontological and functional changes that create a pro-tumoral and immunosuppressive microenvironment. Normal resident myeloid cell populations are gradually replaced with monocyte-derived macrophages and dendritic cells, along with T-cell exhaustion. This extensive single-cell analysis enhances our understanding of molecular and cellular dynamics in metastatic lung cancer and reveals potential diagnostic and therapeutic targets in cancer-microenvironment interactions.","container-title":"Nature Communications","DOI":"10.1038/s41467-020-16164-1","ISSN":"2041-1723","issue":"1","journalAbbreviation":"Nat Commun","language":"en","license":"2020 The Author(s)","note":"number: 1\npublisher: Nature Publishing Group","page":"2285","source":"www.nature.com","title":"Single-cell RNA sequencing demonstrates the molecular and cellular reprogramming of metastatic lung adenocarcinoma","volume":"11","author":[{"family":"Kim","given":"Nayoung"},{"family":"Kim","given":"Hong Kwan"},{"family":"Lee","given":"Kyungjong"},{"family":"Hong","given":"Yourae"},{"family":"Cho","given":"Jong Ho"},{"family":"Choi","given":"Jung Won"},{"family":"Lee","given":"Jung-Il"},{"family":"Suh","given":"Yeon-Lim"},{"family":"Ku","given":"Bo Mi"},{"family":"Eum","given":"Hye Hyeon"},{"family":"Choi","given":"Soyean"},{"family":"Choi","given":"Yoon-La"},{"family":"Joung","given":"Je-Gun"},{"family":"Park","given":"Woong-Yang"},{"family":"Jung","given":"Hyun Ae"},{"family":"Sun","given":"Jong-Mu"},{"family":"Lee","given":"Se-Hoon"},{"family":"Ahn","given":"Jin Seok"},{"family":"Park","given":"Keunchil"},{"family":"Ahn","given":"Myung-Ju"},{"family":"Lee","given":"Hae-Ock"}],"issued":{"date-parts":[["2020",5,8]]}}}],"schema":"https://github.com/citation-style-language/schema/raw/master/csl-citation.json"} </w:instrText>
            </w:r>
            <w:r w:rsidR="00C41DCB"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27</w:t>
            </w:r>
            <w:r w:rsidR="00C41DCB" w:rsidRPr="008052F5">
              <w:rPr>
                <w:rFonts w:ascii="Arial" w:eastAsia="Times New Roman" w:hAnsi="Arial" w:cs="Arial"/>
                <w:kern w:val="0"/>
                <w:sz w:val="22"/>
                <w:szCs w:val="22"/>
                <w14:ligatures w14:val="none"/>
              </w:rPr>
              <w:fldChar w:fldCharType="end"/>
            </w:r>
            <w:r w:rsidR="00A176EF" w:rsidRPr="008052F5">
              <w:rPr>
                <w:rFonts w:ascii="Arial" w:eastAsia="Times New Roman" w:hAnsi="Arial" w:cs="Arial"/>
                <w:kern w:val="0"/>
                <w:sz w:val="22"/>
                <w:szCs w:val="22"/>
                <w14:ligatures w14:val="none"/>
              </w:rPr>
              <w:t>, TRGC1</w:t>
            </w:r>
            <w:r w:rsidR="000B609A" w:rsidRPr="008052F5">
              <w:rPr>
                <w:rFonts w:ascii="Arial" w:eastAsia="Times New Roman" w:hAnsi="Arial" w:cs="Arial"/>
                <w:kern w:val="0"/>
                <w:sz w:val="22"/>
                <w:szCs w:val="22"/>
                <w14:ligatures w14:val="none"/>
              </w:rPr>
              <w:fldChar w:fldCharType="begin"/>
            </w:r>
            <w:r w:rsidR="000B609A" w:rsidRPr="008052F5">
              <w:rPr>
                <w:rFonts w:ascii="Arial" w:eastAsia="Times New Roman" w:hAnsi="Arial" w:cs="Arial"/>
                <w:kern w:val="0"/>
                <w:sz w:val="22"/>
                <w:szCs w:val="22"/>
                <w14:ligatures w14:val="none"/>
              </w:rPr>
              <w:instrText xml:space="preserve"> ADDIN ZOTERO_ITEM CSL_CITATION {"citationID":"cHiCPd6W","properties":{"formattedCitation":"\\super 27\\nosupersub{}","plainCitation":"27","noteIndex":0},"citationItems":[{"id":400,"uris":["http://zotero.org/users/11968306/items/Q3EHWDGS"],"itemData":{"id":400,"type":"article-journal","abstract":"Advanced metastatic cancer poses utmost clinical challenges and may present molecular and cellular features distinct from an early-stage cancer. Herein, we present single-cell transcriptome profiling of metastatic lung adenocarcinoma, the most prevalent histological lung cancer type diagnosed at stage IV in over 40% of all cases. From 208,506 cells populating the normal tissues or early to metastatic stage cancer in 44 patients, we identify a cancer cell subtype deviating from the normal differentiation trajectory and dominating the metastatic stage. In all stages, the stromal and immune cell dynamics reveal ontological and functional changes that create a pro-tumoral and immunosuppressive microenvironment. Normal resident myeloid cell populations are gradually replaced with monocyte-derived macrophages and dendritic cells, along with T-cell exhaustion. This extensive single-cell analysis enhances our understanding of molecular and cellular dynamics in metastatic lung cancer and reveals potential diagnostic and therapeutic targets in cancer-microenvironment interactions.","container-title":"Nature Communications","DOI":"10.1038/s41467-020-16164-1","ISSN":"2041-1723","issue":"1","journalAbbreviation":"Nat Commun","language":"en","license":"2020 The Author(s)","note":"number: 1\npublisher: Nature Publishing Group","page":"2285","source":"www.nature.com","title":"Single-cell RNA sequencing demonstrates the molecular and cellular reprogramming of metastatic lung adenocarcinoma","volume":"11","author":[{"family":"Kim","given":"Nayoung"},{"family":"Kim","given":"Hong Kwan"},{"family":"Lee","given":"Kyungjong"},{"family":"Hong","given":"Yourae"},{"family":"Cho","given":"Jong Ho"},{"family":"Choi","given":"Jung Won"},{"family":"Lee","given":"Jung-Il"},{"family":"Suh","given":"Yeon-Lim"},{"family":"Ku","given":"Bo Mi"},{"family":"Eum","given":"Hye Hyeon"},{"family":"Choi","given":"Soyean"},{"family":"Choi","given":"Yoon-La"},{"family":"Joung","given":"Je-Gun"},{"family":"Park","given":"Woong-Yang"},{"family":"Jung","given":"Hyun Ae"},{"family":"Sun","given":"Jong-Mu"},{"family":"Lee","given":"Se-Hoon"},{"family":"Ahn","given":"Jin Seok"},{"family":"Park","given":"Keunchil"},{"family":"Ahn","given":"Myung-Ju"},{"family":"Lee","given":"Hae-Ock"}],"issued":{"date-parts":[["2020",5,8]]}}}],"schema":"https://github.com/citation-style-language/schema/raw/master/csl-citation.json"} </w:instrText>
            </w:r>
            <w:r w:rsidR="000B609A" w:rsidRPr="008052F5">
              <w:rPr>
                <w:rFonts w:ascii="Arial" w:eastAsia="Times New Roman" w:hAnsi="Arial" w:cs="Arial"/>
                <w:kern w:val="0"/>
                <w:sz w:val="22"/>
                <w:szCs w:val="22"/>
                <w14:ligatures w14:val="none"/>
              </w:rPr>
              <w:fldChar w:fldCharType="separate"/>
            </w:r>
            <w:r w:rsidR="000B609A" w:rsidRPr="008052F5">
              <w:rPr>
                <w:rFonts w:ascii="Arial" w:hAnsi="Arial" w:cs="Arial"/>
                <w:kern w:val="0"/>
                <w:sz w:val="22"/>
                <w:vertAlign w:val="superscript"/>
              </w:rPr>
              <w:t>27</w:t>
            </w:r>
            <w:r w:rsidR="000B609A" w:rsidRPr="008052F5">
              <w:rPr>
                <w:rFonts w:ascii="Arial" w:eastAsia="Times New Roman" w:hAnsi="Arial" w:cs="Arial"/>
                <w:kern w:val="0"/>
                <w:sz w:val="22"/>
                <w:szCs w:val="22"/>
                <w14:ligatures w14:val="none"/>
              </w:rPr>
              <w:fldChar w:fldCharType="end"/>
            </w:r>
            <w:r w:rsidR="00A176EF" w:rsidRPr="008052F5">
              <w:rPr>
                <w:rFonts w:ascii="Arial" w:eastAsia="Times New Roman" w:hAnsi="Arial" w:cs="Arial"/>
                <w:kern w:val="0"/>
                <w:sz w:val="22"/>
                <w:szCs w:val="22"/>
                <w14:ligatures w14:val="none"/>
              </w:rPr>
              <w:t>, TRGC2</w:t>
            </w:r>
            <w:r w:rsidR="00D4261D" w:rsidRPr="008052F5">
              <w:rPr>
                <w:rFonts w:ascii="Arial" w:eastAsia="Times New Roman" w:hAnsi="Arial" w:cs="Arial"/>
                <w:kern w:val="0"/>
                <w:sz w:val="22"/>
                <w:szCs w:val="22"/>
                <w14:ligatures w14:val="none"/>
              </w:rPr>
              <w:fldChar w:fldCharType="begin"/>
            </w:r>
            <w:r w:rsidR="00D4261D" w:rsidRPr="008052F5">
              <w:rPr>
                <w:rFonts w:ascii="Arial" w:eastAsia="Times New Roman" w:hAnsi="Arial" w:cs="Arial"/>
                <w:kern w:val="0"/>
                <w:sz w:val="22"/>
                <w:szCs w:val="22"/>
                <w14:ligatures w14:val="none"/>
              </w:rPr>
              <w:instrText xml:space="preserve"> ADDIN ZOTERO_ITEM CSL_CITATION {"citationID":"2SJxAwKf","properties":{"formattedCitation":"\\super 27\\nosupersub{}","plainCitation":"27","noteIndex":0},"citationItems":[{"id":400,"uris":["http://zotero.org/users/11968306/items/Q3EHWDGS"],"itemData":{"id":400,"type":"article-journal","abstract":"Advanced metastatic cancer poses utmost clinical challenges and may present molecular and cellular features distinct from an early-stage cancer. Herein, we present single-cell transcriptome profiling of metastatic lung adenocarcinoma, the most prevalent histological lung cancer type diagnosed at stage IV in over 40% of all cases. From 208,506 cells populating the normal tissues or early to metastatic stage cancer in 44 patients, we identify a cancer cell subtype deviating from the normal differentiation trajectory and dominating the metastatic stage. In all stages, the stromal and immune cell dynamics reveal ontological and functional changes that create a pro-tumoral and immunosuppressive microenvironment. Normal resident myeloid cell populations are gradually replaced with monocyte-derived macrophages and dendritic cells, along with T-cell exhaustion. This extensive single-cell analysis enhances our understanding of molecular and cellular dynamics in metastatic lung cancer and reveals potential diagnostic and therapeutic targets in cancer-microenvironment interactions.","container-title":"Nature Communications","DOI":"10.1038/s41467-020-16164-1","ISSN":"2041-1723","issue":"1","journalAbbreviation":"Nat Commun","language":"en","license":"2020 The Author(s)","note":"number: 1\npublisher: Nature Publishing Group","page":"2285","source":"www.nature.com","title":"Single-cell RNA sequencing demonstrates the molecular and cellular reprogramming of metastatic lung adenocarcinoma","volume":"11","author":[{"family":"Kim","given":"Nayoung"},{"family":"Kim","given":"Hong Kwan"},{"family":"Lee","given":"Kyungjong"},{"family":"Hong","given":"Yourae"},{"family":"Cho","given":"Jong Ho"},{"family":"Choi","given":"Jung Won"},{"family":"Lee","given":"Jung-Il"},{"family":"Suh","given":"Yeon-Lim"},{"family":"Ku","given":"Bo Mi"},{"family":"Eum","given":"Hye Hyeon"},{"family":"Choi","given":"Soyean"},{"family":"Choi","given":"Yoon-La"},{"family":"Joung","given":"Je-Gun"},{"family":"Park","given":"Woong-Yang"},{"family":"Jung","given":"Hyun Ae"},{"family":"Sun","given":"Jong-Mu"},{"family":"Lee","given":"Se-Hoon"},{"family":"Ahn","given":"Jin Seok"},{"family":"Park","given":"Keunchil"},{"family":"Ahn","given":"Myung-Ju"},{"family":"Lee","given":"Hae-Ock"}],"issued":{"date-parts":[["2020",5,8]]}}}],"schema":"https://github.com/citation-style-language/schema/raw/master/csl-citation.json"} </w:instrText>
            </w:r>
            <w:r w:rsidR="00D4261D" w:rsidRPr="008052F5">
              <w:rPr>
                <w:rFonts w:ascii="Arial" w:eastAsia="Times New Roman" w:hAnsi="Arial" w:cs="Arial"/>
                <w:kern w:val="0"/>
                <w:sz w:val="22"/>
                <w:szCs w:val="22"/>
                <w14:ligatures w14:val="none"/>
              </w:rPr>
              <w:fldChar w:fldCharType="separate"/>
            </w:r>
            <w:r w:rsidR="00D4261D" w:rsidRPr="008052F5">
              <w:rPr>
                <w:rFonts w:ascii="Arial" w:hAnsi="Arial" w:cs="Arial"/>
                <w:kern w:val="0"/>
                <w:sz w:val="22"/>
                <w:vertAlign w:val="superscript"/>
              </w:rPr>
              <w:t>27</w:t>
            </w:r>
            <w:r w:rsidR="00D4261D" w:rsidRPr="008052F5">
              <w:rPr>
                <w:rFonts w:ascii="Arial" w:eastAsia="Times New Roman" w:hAnsi="Arial" w:cs="Arial"/>
                <w:kern w:val="0"/>
                <w:sz w:val="22"/>
                <w:szCs w:val="22"/>
                <w14:ligatures w14:val="none"/>
              </w:rPr>
              <w:fldChar w:fldCharType="end"/>
            </w:r>
            <w:r w:rsidR="00A176EF" w:rsidRPr="008052F5">
              <w:rPr>
                <w:rFonts w:ascii="Arial" w:eastAsia="Times New Roman" w:hAnsi="Arial" w:cs="Arial"/>
                <w:kern w:val="0"/>
                <w:sz w:val="22"/>
                <w:szCs w:val="22"/>
                <w14:ligatures w14:val="none"/>
              </w:rPr>
              <w:t xml:space="preserve">, </w:t>
            </w:r>
            <w:r w:rsidR="0014608C" w:rsidRPr="008052F5">
              <w:rPr>
                <w:rFonts w:ascii="Arial" w:eastAsia="Times New Roman" w:hAnsi="Arial" w:cs="Arial"/>
                <w:kern w:val="0"/>
                <w:sz w:val="22"/>
                <w:szCs w:val="22"/>
                <w14:ligatures w14:val="none"/>
              </w:rPr>
              <w:t>(-CD4</w:t>
            </w:r>
            <w:r w:rsidR="00106D25" w:rsidRPr="008052F5">
              <w:rPr>
                <w:rFonts w:ascii="Arial" w:eastAsia="Times New Roman" w:hAnsi="Arial" w:cs="Arial"/>
                <w:kern w:val="0"/>
                <w:sz w:val="22"/>
                <w:szCs w:val="22"/>
                <w14:ligatures w14:val="none"/>
              </w:rPr>
              <w:fldChar w:fldCharType="begin"/>
            </w:r>
            <w:r w:rsidR="00106D25" w:rsidRPr="008052F5">
              <w:rPr>
                <w:rFonts w:ascii="Arial" w:eastAsia="Times New Roman" w:hAnsi="Arial" w:cs="Arial"/>
                <w:kern w:val="0"/>
                <w:sz w:val="22"/>
                <w:szCs w:val="22"/>
                <w14:ligatures w14:val="none"/>
              </w:rPr>
              <w:instrText xml:space="preserve"> ADDIN ZOTERO_ITEM CSL_CITATION {"citationID":"rCiFPMTA","properties":{"formattedCitation":"\\super 24\\nosupersub{}","plainCitation":"24","noteIndex":0},"citationItems":[{"id":5110,"uris":["http://zotero.org/users/11968306/items/C8L3ER96"],"itemData":{"id":5110,"type":"article-journal","abstract":"It remains unclear whether immune responses following natural infection can be sustained or potentially prove critical for long-term immune protection against SARS-CoV-2 reinfection. Here, we systematically mapped the phenotypic landscape of SARS-CoV-2-specific immune responses in peripheral blood samples of convalescent patients with COVID-19 by single-cell RNA sequencing. The relative percentage of the CD8 + effector memory subset was increased in both convalescent moderate and severe cases, but NKT-CD160 and marginal zone B clusters were decreased. Innate immune responses were attenuated reflected by decreased expression of genes involved in interferon-gamma, leukocyte migration and neutrophil mediated immune response in convalescent COVID-19 patients. Functions of T cell were strengthened in convalescent COVID-19 patients by clear endorsement of increased expression of genes involved in biological processes of regulation of T cell activation, differentiation and cell–cell adhesion. In addition, T cell mediated immune responses were enhanced with remarkable clonal expansions of TCR and increased transition of CD4 + effector memory and CD8 + effector-GNLY in severe subjects. B cell immune responses displayed complicated and dualfunctions during convalescence of COVID-19, providing a novel mechanism that B cell activation was observed especially in moderate while humoral immune response was weakened. Interestingly, HLA class I genes displayed downregulation while HLA class II genes upregulation in both T and B cell subsets in convalescent individuals. Our results showed that innate immunity was declined but SARS-CoV-2-specific T cell responses were retained even strengthened whereas complicated and dualfunctions of B cells, including declined humoral immunity were presented at several months following infections.","container-title":"International Immunopharmacology","DOI":"10.1016/j.intimp.2022.108767","ISSN":"1567-5769","journalAbbreviation":"International Immunopharmacology","page":"108767","source":"ScienceDirect","title":"Immune features of COVID-19 convalescent individuals revealed by a single-cell RNA sequencing","volume":"108","author":[{"family":"Zhao","given":"Pingsen"},{"family":"Zou","given":"Jiahua"},{"family":"Zhou","given":"Fan"},{"family":"Zhu","given":"Yanyan"},{"family":"Song","given":"Qibin"},{"family":"Yu","given":"Dongdong"},{"family":"Li","given":"Xiangpan"}],"issued":{"date-parts":[["2022",7,1]]}}}],"schema":"https://github.com/citation-style-language/schema/raw/master/csl-citation.json"} </w:instrText>
            </w:r>
            <w:r w:rsidR="00106D25" w:rsidRPr="008052F5">
              <w:rPr>
                <w:rFonts w:ascii="Arial" w:eastAsia="Times New Roman" w:hAnsi="Arial" w:cs="Arial"/>
                <w:kern w:val="0"/>
                <w:sz w:val="22"/>
                <w:szCs w:val="22"/>
                <w14:ligatures w14:val="none"/>
              </w:rPr>
              <w:fldChar w:fldCharType="separate"/>
            </w:r>
            <w:r w:rsidR="00106D25" w:rsidRPr="008052F5">
              <w:rPr>
                <w:rFonts w:ascii="Arial" w:hAnsi="Arial" w:cs="Arial"/>
                <w:kern w:val="0"/>
                <w:sz w:val="22"/>
                <w:vertAlign w:val="superscript"/>
              </w:rPr>
              <w:t>24</w:t>
            </w:r>
            <w:r w:rsidR="00106D25" w:rsidRPr="008052F5">
              <w:rPr>
                <w:rFonts w:ascii="Arial" w:eastAsia="Times New Roman" w:hAnsi="Arial" w:cs="Arial"/>
                <w:kern w:val="0"/>
                <w:sz w:val="22"/>
                <w:szCs w:val="22"/>
                <w14:ligatures w14:val="none"/>
              </w:rPr>
              <w:fldChar w:fldCharType="end"/>
            </w:r>
            <w:r w:rsidR="0014608C" w:rsidRPr="008052F5">
              <w:rPr>
                <w:rFonts w:ascii="Arial" w:eastAsia="Times New Roman" w:hAnsi="Arial" w:cs="Arial"/>
                <w:kern w:val="0"/>
                <w:sz w:val="22"/>
                <w:szCs w:val="22"/>
                <w14:ligatures w14:val="none"/>
              </w:rPr>
              <w:t xml:space="preserve">, </w:t>
            </w:r>
            <w:r w:rsidR="0024191D" w:rsidRPr="008052F5">
              <w:rPr>
                <w:rFonts w:ascii="Arial" w:eastAsia="Times New Roman" w:hAnsi="Arial" w:cs="Arial"/>
                <w:kern w:val="0"/>
                <w:sz w:val="22"/>
                <w:szCs w:val="22"/>
                <w14:ligatures w14:val="none"/>
              </w:rPr>
              <w:t>-</w:t>
            </w:r>
            <w:r w:rsidR="0014608C" w:rsidRPr="008052F5">
              <w:rPr>
                <w:rFonts w:ascii="Arial" w:eastAsia="Times New Roman" w:hAnsi="Arial" w:cs="Arial"/>
                <w:kern w:val="0"/>
                <w:sz w:val="22"/>
                <w:szCs w:val="22"/>
                <w14:ligatures w14:val="none"/>
              </w:rPr>
              <w:t>CD8A</w:t>
            </w:r>
            <w:r w:rsidR="00236309" w:rsidRPr="008052F5">
              <w:rPr>
                <w:rFonts w:ascii="Arial" w:eastAsia="Times New Roman" w:hAnsi="Arial" w:cs="Arial"/>
                <w:kern w:val="0"/>
                <w:sz w:val="22"/>
                <w:szCs w:val="22"/>
                <w14:ligatures w14:val="none"/>
              </w:rPr>
              <w:fldChar w:fldCharType="begin"/>
            </w:r>
            <w:r w:rsidR="00236309" w:rsidRPr="008052F5">
              <w:rPr>
                <w:rFonts w:ascii="Arial" w:eastAsia="Times New Roman" w:hAnsi="Arial" w:cs="Arial"/>
                <w:kern w:val="0"/>
                <w:sz w:val="22"/>
                <w:szCs w:val="22"/>
                <w14:ligatures w14:val="none"/>
              </w:rPr>
              <w:instrText xml:space="preserve"> ADDIN ZOTERO_ITEM CSL_CITATION {"citationID":"u1lz1fTN","properties":{"formattedCitation":"\\super 24\\nosupersub{}","plainCitation":"24","noteIndex":0},"citationItems":[{"id":5110,"uris":["http://zotero.org/users/11968306/items/C8L3ER96"],"itemData":{"id":5110,"type":"article-journal","abstract":"It remains unclear whether immune responses following natural infection can be sustained or potentially prove critical for long-term immune protection against SARS-CoV-2 reinfection. Here, we systematically mapped the phenotypic landscape of SARS-CoV-2-specific immune responses in peripheral blood samples of convalescent patients with COVID-19 by single-cell RNA sequencing. The relative percentage of the CD8 + effector memory subset was increased in both convalescent moderate and severe cases, but NKT-CD160 and marginal zone B clusters were decreased. Innate immune responses were attenuated reflected by decreased expression of genes involved in interferon-gamma, leukocyte migration and neutrophil mediated immune response in convalescent COVID-19 patients. Functions of T cell were strengthened in convalescent COVID-19 patients by clear endorsement of increased expression of genes involved in biological processes of regulation of T cell activation, differentiation and cell–cell adhesion. In addition, T cell mediated immune responses were enhanced with remarkable clonal expansions of TCR and increased transition of CD4 + effector memory and CD8 + effector-GNLY in severe subjects. B cell immune responses displayed complicated and dualfunctions during convalescence of COVID-19, providing a novel mechanism that B cell activation was observed especially in moderate while humoral immune response was weakened. Interestingly, HLA class I genes displayed downregulation while HLA class II genes upregulation in both T and B cell subsets in convalescent individuals. Our results showed that innate immunity was declined but SARS-CoV-2-specific T cell responses were retained even strengthened whereas complicated and dualfunctions of B cells, including declined humoral immunity were presented at several months following infections.","container-title":"International Immunopharmacology","DOI":"10.1016/j.intimp.2022.108767","ISSN":"1567-5769","journalAbbreviation":"International Immunopharmacology","page":"108767","source":"ScienceDirect","title":"Immune features of COVID-19 convalescent individuals revealed by a single-cell RNA sequencing","volume":"108","author":[{"family":"Zhao","given":"Pingsen"},{"family":"Zou","given":"Jiahua"},{"family":"Zhou","given":"Fan"},{"family":"Zhu","given":"Yanyan"},{"family":"Song","given":"Qibin"},{"family":"Yu","given":"Dongdong"},{"family":"Li","given":"Xiangpan"}],"issued":{"date-parts":[["2022",7,1]]}}}],"schema":"https://github.com/citation-style-language/schema/raw/master/csl-citation.json"} </w:instrText>
            </w:r>
            <w:r w:rsidR="00236309" w:rsidRPr="008052F5">
              <w:rPr>
                <w:rFonts w:ascii="Arial" w:eastAsia="Times New Roman" w:hAnsi="Arial" w:cs="Arial"/>
                <w:kern w:val="0"/>
                <w:sz w:val="22"/>
                <w:szCs w:val="22"/>
                <w14:ligatures w14:val="none"/>
              </w:rPr>
              <w:fldChar w:fldCharType="separate"/>
            </w:r>
            <w:r w:rsidR="00236309" w:rsidRPr="008052F5">
              <w:rPr>
                <w:rFonts w:ascii="Arial" w:hAnsi="Arial" w:cs="Arial"/>
                <w:kern w:val="0"/>
                <w:sz w:val="22"/>
                <w:vertAlign w:val="superscript"/>
              </w:rPr>
              <w:t>24</w:t>
            </w:r>
            <w:r w:rsidR="00236309" w:rsidRPr="008052F5">
              <w:rPr>
                <w:rFonts w:ascii="Arial" w:eastAsia="Times New Roman" w:hAnsi="Arial" w:cs="Arial"/>
                <w:kern w:val="0"/>
                <w:sz w:val="22"/>
                <w:szCs w:val="22"/>
                <w14:ligatures w14:val="none"/>
              </w:rPr>
              <w:fldChar w:fldCharType="end"/>
            </w:r>
            <w:r w:rsidR="0014608C" w:rsidRPr="008052F5">
              <w:rPr>
                <w:rFonts w:ascii="Arial" w:eastAsia="Times New Roman" w:hAnsi="Arial" w:cs="Arial"/>
                <w:kern w:val="0"/>
                <w:sz w:val="22"/>
                <w:szCs w:val="22"/>
                <w14:ligatures w14:val="none"/>
              </w:rPr>
              <w:t>)</w:t>
            </w:r>
          </w:p>
        </w:tc>
      </w:tr>
      <w:tr w:rsidR="008052F5" w:rsidRPr="008052F5" w14:paraId="43191B84"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3955A8C1" w14:textId="649179D5"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Myeloid</w:t>
            </w:r>
            <w:r w:rsidR="00D81E5A"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{"citationID":"HhJMwMo4","properties":{"formattedCitation":"\\super 28,29\\nosupersub{}","plainCitation":"28,29","noteIndex":0},"citationItems":[{"id":2557,"uris":["http://zotero.org/users/11968306/items/VJUF7JX8"],"itemData":{"id":2557,"type":"webpage","title":"Monocytes gene expression markers | PanglaoDB","URL":"https://www.panglaodb.se/markers.html?cell_type=%27Monocytes%27","accessed":{"date-parts":[["2025",5,29]]}}},{"id":2559,"uris":["http://zotero.org/users/11968306/items/YLKXS3QN"],"itemData":{"id":2559,"type":"webpage","title":"Macrophages gene expression markers | PanglaoDB","URL":"https://www.panglaodb.se/markers.html?cell_type=%27Macrophages%27","accessed":{"date-parts":[["2025",5,29]]}}}],"schema":"https://github.com/citation-style-language/schema/raw/master/csl-citation.json"} </w:instrText>
            </w:r>
            <w:r w:rsidR="00D81E5A"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28,29</w:t>
            </w:r>
            <w:r w:rsidR="00D81E5A"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2637BB4C" w14:textId="1FB97298"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CD14</w:t>
            </w:r>
            <w:r w:rsidR="007B52C1"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{"citationID":"t3lD63C5","properties":{"formattedCitation":"\\super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7B52C1" w:rsidRPr="008052F5">
              <w:rPr>
                <w:rFonts w:ascii="Arial" w:eastAsia="Times New Roman" w:hAnsi="Arial" w:cs="Arial"/>
                <w:kern w:val="0"/>
                <w:sz w:val="22"/>
                <w:szCs w:val="22"/>
                <w14:ligatures w14:val="none"/>
              </w:rPr>
              <w:fldChar w:fldCharType="separate"/>
            </w:r>
            <w:r w:rsidR="007B52C1" w:rsidRPr="008052F5">
              <w:rPr>
                <w:rFonts w:ascii="Arial" w:hAnsi="Arial" w:cs="Arial"/>
                <w:kern w:val="0"/>
                <w:sz w:val="22"/>
                <w:vertAlign w:val="superscript"/>
              </w:rPr>
              <w:t>2,3</w:t>
            </w:r>
            <w:r w:rsidR="007B52C1"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CD68</w:t>
            </w:r>
            <w:r w:rsidR="008C6036"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{"citationID":"nxS02ooP","properties":{"formattedCitation":"\\super 2\\nosupersub{}","plainCitation":"2","noteIndex":0},"citationItems":[{"id":1090,"uris":["http://zotero.org/users/11968306/items/VGSCDTTG"],"itemData":{"id":1090,"type":"article-journal","abstract":"Immune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H."},{"family":"Izar","given":"Benjamin"},{"family":"Regev","given":"Aviv"}],"issued":{"date-parts":[["2018",11,1]]}}}],"schema":"https://github.com/citation-style-language/schema/raw/master/csl-citation.json"} </w:instrText>
            </w:r>
            <w:r w:rsidR="008C6036" w:rsidRPr="008052F5">
              <w:rPr>
                <w:rFonts w:ascii="Arial" w:eastAsia="Times New Roman" w:hAnsi="Arial" w:cs="Arial"/>
                <w:kern w:val="0"/>
                <w:sz w:val="22"/>
                <w:szCs w:val="22"/>
                <w14:ligatures w14:val="none"/>
              </w:rPr>
              <w:fldChar w:fldCharType="separate"/>
            </w:r>
            <w:r w:rsidR="008C6036" w:rsidRPr="008052F5">
              <w:rPr>
                <w:rFonts w:ascii="Arial" w:hAnsi="Arial" w:cs="Arial"/>
                <w:kern w:val="0"/>
                <w:sz w:val="22"/>
                <w:vertAlign w:val="superscript"/>
              </w:rPr>
              <w:t>2</w:t>
            </w:r>
            <w:r w:rsidR="008C6036"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CD163</w:t>
            </w:r>
            <w:r w:rsidR="008C6036"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{"citationID":"wmbHKWsH","properties":{"formattedCitation":"\\super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8C6036" w:rsidRPr="008052F5">
              <w:rPr>
                <w:rFonts w:ascii="Arial" w:eastAsia="Times New Roman" w:hAnsi="Arial" w:cs="Arial"/>
                <w:kern w:val="0"/>
                <w:sz w:val="22"/>
                <w:szCs w:val="22"/>
                <w14:ligatures w14:val="none"/>
              </w:rPr>
              <w:fldChar w:fldCharType="separate"/>
            </w:r>
            <w:r w:rsidR="008C6036" w:rsidRPr="008052F5">
              <w:rPr>
                <w:rFonts w:ascii="Arial" w:hAnsi="Arial" w:cs="Arial"/>
                <w:kern w:val="0"/>
                <w:sz w:val="22"/>
                <w:vertAlign w:val="superscript"/>
              </w:rPr>
              <w:t>2,3</w:t>
            </w:r>
            <w:r w:rsidR="008C6036"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LYZ</w:t>
            </w:r>
            <w:r w:rsidR="006F4DC0"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{"citationID":"KE0TvN7n","properties":{"formattedCitation":"\\super 30\\nosupersub{}","plainCitation":"30","noteIndex":0},"citationItems":[{"id":2561,"uris":["http://zotero.org/users/11968306/items/EA8PK8RV"],"itemData":{"id":2561,"type":"article-journal","abstract":"Hepatocellular carcinoma (HCC) takes the predominant malignancy of hepatocytes with bleak outcomes owing to high heterogeneity among patients. Personalized treatments based on molecular profiles will better improve patients’ prognosis. Lysozyme (LYZ), a secretory protein with antibacterial function generally expressed in monocytes/macrophages, has been observed for the prognostic implications in different types of tumors. However, studies about the explicit applicative scenarios and mechanisms for tumor progression are still quite limited, especially for HCC. Here, based on the proteomic molecular classification data of early-stage HCC, we revealed that the LYZ level was elevated significantly in the most malignant HCC subtype and could serve as an independent prognostic predictor for HCC patients. Molecular profiles of LYZ-high HCCs were typical of those for the most malignant HCC subtype, with impaired metabolism, along with promoted proliferation and metastasis characteristics. Further studies demonstrated that LYZ tended to be aberrantly expressed in poorly differentiated HCC cells, which was regulated by STAT3 activation. LYZ promoted HCC proliferation and migration in both autocrine and paracrine manners independent of the muramidase activity through the activation of downstream protumoral signaling pathways via cell surface GRP78. Subcutaneous and orthotopic xenograft tumor models indicated that targeting LYZ inhibited HCC growth markedly in NOD/SCID mice. These results propose LYZ as a prognostic biomarker and therapeutic target for the subclass of HCC with an aggressive phenotype.","container-title":"Proceedings of the National Academy of Sciences","DOI":"10.1073/pnas.2215744120","issue":"29","note":"publisher: Proceedings of the National Academy of Sciences","page":"e2215744120","source":"www-pnas-org.proxy1.library.virginia.edu (Atypon)","title":"Aberrant LYZ expression in tumor cells serves as the potential biomarker and target for HCC and promotes tumor progression via csGRP78","volume":"120","author":[{"family":"Gu","given":"Zhiwen"},{"family":"Wang","given":"Lei"},{"family":"Dong","given":"Qian"},{"family":"Xu","given":"Kaikun"},{"family":"Ye","given":"Jingnan"},{"family":"Shao","given":"Xianfeng"},{"family":"Yang","given":"Songpeng"},{"family":"Lu","given":"Cuixiu"},{"family":"Chang","given":"Cheng"},{"family":"Hou","given":"Yushan"},{"family":"Zhai","given":"Yuanjun"},{"family":"Wang","given":"Xinxin"},{"family":"He","given":"Fuchu"},{"family":"Sun","given":"Aihua"}],"issued":{"date-parts":[["2023",7,18]]}}}],"schema":"https://github.com/citation-style-language/schema/raw/master/csl-citation.json"} </w:instrText>
            </w:r>
            <w:r w:rsidR="006F4DC0"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30</w:t>
            </w:r>
            <w:r w:rsidR="006F4DC0"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r>
      <w:tr w:rsidR="008052F5" w:rsidRPr="008052F5" w14:paraId="40D60C71"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3EA5BC31" w14:textId="5B30F04B"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Plasma cells</w:t>
            </w:r>
            <w:r w:rsidR="00EB2D22"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{"citationID":"skC1CpqB","properties":{"formattedCitation":"\\super 31\\nosupersub{}","plainCitation":"31","noteIndex":0},"citationItems":[{"id":2577,"uris":["http://zotero.org/users/11968306/items/QNSMNYXD"],"itemData":{"id":2577,"type":"webpage","title":"Plasma cells gene expression markers | PanglaoDB","URL":"https://www.panglaodb.se/markers.html?cell_type=%27Plasma%20cells%27","accessed":{"date-parts":[["2025",5,29]]}}}],"schema":"https://github.com/citation-style-language/schema/raw/master/csl-citation.json"} </w:instrText>
            </w:r>
            <w:r w:rsidR="00EB2D22"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31</w:t>
            </w:r>
            <w:r w:rsidR="00EB2D22"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77317EB0" w14:textId="4E826B65"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lang w:val="es-US"/>
                <w14:ligatures w14:val="none"/>
              </w:rPr>
              <w:t>CD38</w:t>
            </w:r>
            <w:r w:rsidR="00462EC6" w:rsidRPr="008052F5">
              <w:rPr>
                <w:rFonts w:ascii="Arial" w:eastAsia="Times New Roman" w:hAnsi="Arial" w:cs="Arial"/>
                <w:kern w:val="0"/>
                <w:sz w:val="22"/>
                <w:szCs w:val="22"/>
                <w:lang w:val="es-US"/>
                <w14:ligatures w14:val="none"/>
              </w:rPr>
              <w:fldChar w:fldCharType="begin"/>
            </w:r>
            <w:r w:rsidR="00C41DCB" w:rsidRPr="008052F5">
              <w:rPr>
                <w:rFonts w:ascii="Arial" w:eastAsia="Times New Roman" w:hAnsi="Arial" w:cs="Arial"/>
                <w:kern w:val="0"/>
                <w:sz w:val="22"/>
                <w:szCs w:val="22"/>
                <w:lang w:val="es-US"/>
                <w14:ligatures w14:val="none"/>
              </w:rPr>
              <w:instrText xml:space="preserve"> ADDIN ZOTERO_ITEM CSL_CITATION {"citationID":"rQU6RpbZ","properties":{"formattedCitation":"\\super 32\\nosupersub{}","plainCitation":"32","noteIndex":0},"citationItems":[{"id":2580,"uris":["http://zotero.org/users/11968306/items/ELPP727G"],"itemData":{"id":2580,"type":"article-journal","abstract":"Background/Aim: CD38 is a cell surface marker commonly present in plasma cells and activated T cells, while CD138 is a representative plasma cell marker. The aim of this study was to describe the expression of cell surface markers including CD38 and CD138, in the tumors of patients with IgG4-related ophthalmic disease (IgG4-ROD) and extranodal marginal zone B-cell lymphoma (EMZL) of the ocular adnexa. Materials and Methods: Twenty-four consecutive patients of whom 12 had IgG4-ROD and 12 EMZL were enrolled in this study. Medical records were reviewed for flow cytometry (FCM) results on conventional T-cell markers, B-cell markers, CD38 and CD138. Results: Positive rates of T-cell markers, CD38 and CD138 were significantly higher in IgG4-ROD than in EMZL (p&lt;0.01 and p&lt;0.05, respectively). Conclusion: Our FCM results on CD38 and CD138 showed that the lymphocyte populations were different between IgG4-ROD and EMZL, which may reflect the different pathophysiology of the two diseases.","container-title":"Anticancer Research","DOI":"10.21873/anticanres.14158","ISSN":"0250-7005, 1791-7530","issue":"4","language":"en","license":"Copyright© 2020, International Institute of Anticancer Research (Dr. George J. Delinasios), All rights reserved","note":"publisher: International Institute of Anticancer Research\nsection: Experimental Studies\nPMID: 32234892","page":"2019-2023","source":"ar.iiarjournals.org","title":"Alteration of Cell Surface Markers CD38 and CD138 in Lymphoproliferative Disorders in the Ocular Adnexa","volume":"40","author":[{"family":"Suimon","given":"Yuka"},{"family":"Kase","given":"Satoru"},{"family":"Miura","given":"Ichiro"},{"family":"Ishijima","given":"Kan"},{"family":"Ishida","given":"Susumu"}],"issued":{"date-parts":[["2020",4,1]]}}}],"schema":"https://github.com/citation-style-language/schema/raw/master/csl-citation.json"} </w:instrText>
            </w:r>
            <w:r w:rsidR="00462EC6" w:rsidRPr="008052F5">
              <w:rPr>
                <w:rFonts w:ascii="Arial" w:eastAsia="Times New Roman" w:hAnsi="Arial" w:cs="Arial"/>
                <w:kern w:val="0"/>
                <w:sz w:val="22"/>
                <w:szCs w:val="22"/>
                <w:lang w:val="es-US"/>
                <w14:ligatures w14:val="none"/>
              </w:rPr>
              <w:fldChar w:fldCharType="separate"/>
            </w:r>
            <w:r w:rsidR="00C41DCB" w:rsidRPr="008052F5">
              <w:rPr>
                <w:rFonts w:ascii="Arial" w:hAnsi="Arial" w:cs="Arial"/>
                <w:kern w:val="0"/>
                <w:sz w:val="22"/>
                <w:vertAlign w:val="superscript"/>
              </w:rPr>
              <w:t>32</w:t>
            </w:r>
            <w:r w:rsidR="00462EC6"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xml:space="preserve">, </w:t>
            </w:r>
            <w:r w:rsidR="00B548A2" w:rsidRPr="008052F5">
              <w:rPr>
                <w:rFonts w:ascii="Arial" w:eastAsia="Times New Roman" w:hAnsi="Arial" w:cs="Arial"/>
                <w:kern w:val="0"/>
                <w:sz w:val="22"/>
                <w:szCs w:val="22"/>
                <w:lang w:val="es-US"/>
                <w14:ligatures w14:val="none"/>
              </w:rPr>
              <w:t>CD79A</w:t>
            </w:r>
            <w:r w:rsidR="000F449F" w:rsidRPr="008052F5">
              <w:rPr>
                <w:rFonts w:ascii="Arial" w:eastAsia="Times New Roman" w:hAnsi="Arial" w:cs="Arial"/>
                <w:kern w:val="0"/>
                <w:sz w:val="22"/>
                <w:szCs w:val="22"/>
                <w:lang w:val="es-US"/>
                <w14:ligatures w14:val="none"/>
              </w:rPr>
              <w:fldChar w:fldCharType="begin"/>
            </w:r>
            <w:r w:rsidR="00C41DCB" w:rsidRPr="008052F5">
              <w:rPr>
                <w:rFonts w:ascii="Arial" w:eastAsia="Times New Roman" w:hAnsi="Arial" w:cs="Arial"/>
                <w:kern w:val="0"/>
                <w:sz w:val="22"/>
                <w:szCs w:val="22"/>
                <w:lang w:val="es-US"/>
                <w14:ligatures w14:val="none"/>
              </w:rPr>
              <w:instrText xml:space="preserve"> ADDIN ZOTERO_ITEM CSL_CITATION {"citationID":"LlJ10u4Y","properties":{"formattedCitation":"\\super 33\\nosupersub{}","plainCitation":"33","noteIndex":0},"citationItems":[{"id":2583,"uris":["http://zotero.org/users/11968306/items/CLRJJRDL"],"itemData":{"id":2583,"type":"article-journal","abstract":"Plasma cell myeloma is a frequent hematogeneous disorder that occurs mainly in older people. Not only bone marrow smears but also clots and/or biopsied specimens are often taken for confirmation of pathological diagnosis. Some specimens show sheet-like plasma cell proliferation associated with immunoglobulin monotype on immunohistology, which readily leads to diagnosis, but many samples do not clearly show light-chain restriction. The aim of the present study was therefore to examine CD79a expression because some samples had reduced expression or none at all. The immunoreactivity of CD79a was categorized into three groups: positive, weakly positive and negative, compared with scattering non-neoplastic plasma cells in the same specimen. Out of 100 specimens of plasma cell myeloma, 48% were positive for CD79a, 15% were weakly positive, and 37% were negative. In contrast, overexpression of cyclinD1 was detected in 26% of examined samples. CD79a-negative cases had a significantly lower percentage of positive staining for cyclinD1 than CD79a-positive or weakly positive cases. Clinicopathological data showed that CD79a-negative expression was associated with decreased platelet numbers in patients. The present study indicates that downregulation or loss of CD79a and/or overexpression of cyclin D1, observed in 59% of neoplastic plasma cell samples, could provide a strong diagnostic clue without regard to the results of immunoglobulin light-chain restriction.","container-title":"Pathology International","DOI":"10.1111/j.1440-1827.2009.02448.x","ISSN":"1440-1827","issue":"11","journalAbbreviation":"Pathol Int","language":"eng","note":"PMID: 19883431","page":"804-808","source":"PubMed","title":"Frequent downregulation or loss of CD79a expression in plasma cell myelomas: potential clue for diagnosis","title-short":"Frequent downregulation or loss of CD79a expression in plasma cell myelomas","volume":"59","author":[{"family":"Tanaka","given":"Takehiro"},{"family":"Ichimura","given":"Kouichi"},{"family":"Sato","given":"Yasuharu"},{"family":"Takata","given":"Katsuyoshi"},{"family":"Morito","given":"Toshiaki"},{"family":"Tamura","given":"Maiko"},{"family":"Kondo","given":"Eisaku"},{"family":"Ohara","given":"Nobuya"},{"family":"Yanai","given":"Hiroyuki"},{"family":"Sakai","given":"Masaharu"},{"family":"Takahashi","given":"Satoru"},{"family":"Yoshino","given":"Tadashi"}],"issued":{"date-parts":[["2009",11]]}}}],"schema":"https://github.com/citation-style-language/schema/raw/master/csl-citation.json"} </w:instrText>
            </w:r>
            <w:r w:rsidR="000F449F" w:rsidRPr="008052F5">
              <w:rPr>
                <w:rFonts w:ascii="Arial" w:eastAsia="Times New Roman" w:hAnsi="Arial" w:cs="Arial"/>
                <w:kern w:val="0"/>
                <w:sz w:val="22"/>
                <w:szCs w:val="22"/>
                <w:lang w:val="es-US"/>
                <w14:ligatures w14:val="none"/>
              </w:rPr>
              <w:fldChar w:fldCharType="separate"/>
            </w:r>
            <w:r w:rsidR="00C41DCB" w:rsidRPr="008052F5">
              <w:rPr>
                <w:rFonts w:ascii="Arial" w:hAnsi="Arial" w:cs="Arial"/>
                <w:kern w:val="0"/>
                <w:sz w:val="22"/>
                <w:vertAlign w:val="superscript"/>
              </w:rPr>
              <w:t>33</w:t>
            </w:r>
            <w:r w:rsidR="000F449F" w:rsidRPr="008052F5">
              <w:rPr>
                <w:rFonts w:ascii="Arial" w:eastAsia="Times New Roman" w:hAnsi="Arial" w:cs="Arial"/>
                <w:kern w:val="0"/>
                <w:sz w:val="22"/>
                <w:szCs w:val="22"/>
                <w:lang w:val="es-US"/>
                <w14:ligatures w14:val="none"/>
              </w:rPr>
              <w:fldChar w:fldCharType="end"/>
            </w:r>
            <w:r w:rsidR="00B548A2" w:rsidRPr="008052F5">
              <w:rPr>
                <w:rFonts w:ascii="Arial" w:eastAsia="Times New Roman" w:hAnsi="Arial" w:cs="Arial"/>
                <w:kern w:val="0"/>
                <w:sz w:val="22"/>
                <w:szCs w:val="22"/>
                <w:lang w:val="es-US"/>
                <w14:ligatures w14:val="none"/>
              </w:rPr>
              <w:t xml:space="preserve">, (- </w:t>
            </w:r>
            <w:r w:rsidRPr="008052F5">
              <w:rPr>
                <w:rFonts w:ascii="Arial" w:eastAsia="Times New Roman" w:hAnsi="Arial" w:cs="Arial"/>
                <w:kern w:val="0"/>
                <w:sz w:val="22"/>
                <w:szCs w:val="22"/>
                <w:lang w:val="es-US"/>
                <w14:ligatures w14:val="none"/>
              </w:rPr>
              <w:t>CD19</w:t>
            </w:r>
            <w:r w:rsidR="00B917FF" w:rsidRPr="008052F5">
              <w:rPr>
                <w:rFonts w:ascii="Arial" w:eastAsia="Times New Roman" w:hAnsi="Arial" w:cs="Arial"/>
                <w:kern w:val="0"/>
                <w:sz w:val="22"/>
                <w:szCs w:val="22"/>
                <w:lang w:val="es-US"/>
                <w14:ligatures w14:val="none"/>
              </w:rPr>
              <w:fldChar w:fldCharType="begin"/>
            </w:r>
            <w:r w:rsidR="00C41DCB" w:rsidRPr="008052F5">
              <w:rPr>
                <w:rFonts w:ascii="Arial" w:eastAsia="Times New Roman" w:hAnsi="Arial" w:cs="Arial"/>
                <w:kern w:val="0"/>
                <w:sz w:val="22"/>
                <w:szCs w:val="22"/>
                <w:lang w:val="es-US"/>
                <w14:ligatures w14:val="none"/>
              </w:rPr>
              <w:instrText xml:space="preserve"> ADDIN ZOTERO_ITEM CSL_CITATION {"citationID":"MuQ1SsPj","properties":{"formattedCitation":"\\super 34,35\\nosupersub{}","plainCitation":"34,35","noteIndex":0},"citationItems":[{"id":2585,"uris":["http://zotero.org/users/11968306/items/YTW78FTG"],"itemData":{"id":2585,"type":"article-journal","abstract":"The human CD19 antigen is a 95 kd transmembrane glycoprotein belonging to the immunoglobulin superfamily. CD19 is classified as a type I transmembrane protein, with a single transmembrane domain, a cytoplasmic C-terminus, and extracellular N-terminus. CD19 is a biomarker for normal and neoplastic B cells, as well as follicular dendritic cells. CD19 is critically involved in establishing intrinsic B cell signaling thresholds through modulating both B cell receptor-dependent and independent signaling. CD19 functions as the dominant signaling component of a multimolecular complex on the surface of mature B cells, alongside complement receptor CD21, and the tetraspanin membrane protein CD81 (TAPA-1), as well as CD225. Through study of CD19 transgenic and knockout mouse models, it becomes clear that CD19 plays a critical role in maintaining the balance between humoral, antigen-induced response and tolerance induction. This review also summarized latest clinical development of CD19 antibodies, anti-B4-bR (an immunotoxin conjugate), blinatumomab (BiTE), and SAR3419 (huB4-DM4), a novel antibody-drug conjugate.","container-title":"Experimental Hematology &amp; Oncology","DOI":"10.1186/2162-3619-1-36","ISSN":"2162-3619","issue":"1","journalAbbreviation":"Experimental Hematology &amp; Oncology","page":"36","source":"BioMed Central","title":"CD19: a biomarker for B cell development, lymphoma diagnosis and therapy","title-short":"CD19","volume":"1","author":[{"family":"Wang","given":"Kemeng"},{"family":"Wei","given":"Guoqing"},{"family":"Liu","given":"Delong"}],"issued":{"date-parts":[["2012",11,29]]}}},{"id":2588,"uris":["http://zotero.org/users/11968306/items/U7EFKRUZ"],"itemData":{"id":2588,"type":"webpage","title":"CD19 protein expression summary - The Human Protein Atlas","URL":"https://www.proteinatlas.org/ENSG00000177455-CD19","accessed":{"date-parts":[["2025",5,29]]}}}],"schema":"https://github.com/citation-style-language/schema/raw/master/csl-citation.json"} </w:instrText>
            </w:r>
            <w:r w:rsidR="00B917FF" w:rsidRPr="008052F5">
              <w:rPr>
                <w:rFonts w:ascii="Arial" w:eastAsia="Times New Roman" w:hAnsi="Arial" w:cs="Arial"/>
                <w:kern w:val="0"/>
                <w:sz w:val="22"/>
                <w:szCs w:val="22"/>
                <w:lang w:val="es-US"/>
                <w14:ligatures w14:val="none"/>
              </w:rPr>
              <w:fldChar w:fldCharType="separate"/>
            </w:r>
            <w:r w:rsidR="00C41DCB" w:rsidRPr="008052F5">
              <w:rPr>
                <w:rFonts w:ascii="Arial" w:hAnsi="Arial" w:cs="Arial"/>
                <w:kern w:val="0"/>
                <w:sz w:val="22"/>
                <w:vertAlign w:val="superscript"/>
              </w:rPr>
              <w:t>34,35</w:t>
            </w:r>
            <w:r w:rsidR="00B917FF" w:rsidRPr="008052F5">
              <w:rPr>
                <w:rFonts w:ascii="Arial" w:eastAsia="Times New Roman" w:hAnsi="Arial" w:cs="Arial"/>
                <w:kern w:val="0"/>
                <w:sz w:val="22"/>
                <w:szCs w:val="22"/>
                <w:lang w:val="es-US"/>
                <w14:ligatures w14:val="none"/>
              </w:rPr>
              <w:fldChar w:fldCharType="end"/>
            </w:r>
            <w:r w:rsidRPr="008052F5">
              <w:rPr>
                <w:rFonts w:ascii="Arial" w:eastAsia="Times New Roman" w:hAnsi="Arial" w:cs="Arial"/>
                <w:kern w:val="0"/>
                <w:sz w:val="22"/>
                <w:szCs w:val="22"/>
                <w:lang w:val="es-US"/>
                <w14:ligatures w14:val="none"/>
              </w:rPr>
              <w:t xml:space="preserve">, </w:t>
            </w:r>
            <w:r w:rsidR="00B548A2" w:rsidRPr="008052F5">
              <w:rPr>
                <w:rFonts w:ascii="Arial" w:eastAsia="Times New Roman" w:hAnsi="Arial" w:cs="Arial"/>
                <w:kern w:val="0"/>
                <w:sz w:val="22"/>
                <w:szCs w:val="22"/>
                <w:lang w:val="es-US"/>
                <w14:ligatures w14:val="none"/>
              </w:rPr>
              <w:t xml:space="preserve">- </w:t>
            </w:r>
            <w:r w:rsidRPr="008052F5">
              <w:rPr>
                <w:rFonts w:ascii="Arial" w:eastAsia="Times New Roman" w:hAnsi="Arial" w:cs="Arial"/>
                <w:kern w:val="0"/>
                <w:sz w:val="22"/>
                <w:szCs w:val="22"/>
                <w:lang w:val="es-US"/>
                <w14:ligatures w14:val="none"/>
              </w:rPr>
              <w:t>CD20</w:t>
            </w:r>
            <w:r w:rsidR="00230C87" w:rsidRPr="008052F5">
              <w:rPr>
                <w:rFonts w:ascii="Arial" w:eastAsia="Times New Roman" w:hAnsi="Arial" w:cs="Arial"/>
                <w:kern w:val="0"/>
                <w:sz w:val="22"/>
                <w:szCs w:val="22"/>
                <w:lang w:val="es-US"/>
                <w14:ligatures w14:val="none"/>
              </w:rPr>
              <w:fldChar w:fldCharType="begin"/>
            </w:r>
            <w:r w:rsidR="00C41DCB" w:rsidRPr="008052F5">
              <w:rPr>
                <w:rFonts w:ascii="Arial" w:eastAsia="Times New Roman" w:hAnsi="Arial" w:cs="Arial"/>
                <w:kern w:val="0"/>
                <w:sz w:val="22"/>
                <w:szCs w:val="22"/>
                <w:lang w:val="es-US"/>
                <w14:ligatures w14:val="none"/>
              </w:rPr>
              <w:instrText xml:space="preserve"> ADDIN ZOTERO_ITEM CSL_CITATION {"citationID":"5Wo0I5Z5","properties":{"formattedCitation":"\\super 36,37\\nosupersub{}","plainCitation":"36,37","noteIndex":0},"citationItems":[{"id":2593,"uris":["http://zotero.org/users/11968306/items/6T7F7PBC"],"itemData":{"id":2593,"type":"article-journal","abstract":"The introduction of anti-CD20 monoclonal antibodies such as rituximab, ofatumumab, or obinutuzumab improved the therapy of B-cell malignancies even though the precise physiological role and regulation of CD20 remains unclear. Furthermore, CD20 expression is highly variable between different B-cell malignancies, patients with the same malignancy, and even between intraclonal subpopulations in an individual patient. Several epigenetic (EZH2, HDAC1/2, HDAC1/4, HDAC6, complex Sin3A-HDAC1) and transcription factors (USF, OCT1/2, PU.1, PiP, ELK1, ETS1, SP1, NFκB, FOXO1, CREM, SMAD2/3) regulating CD20 expression (encoded by MS4A1) have been characterized. CD20 is induced in the context of microenvironmental interactions by CXCR4/SDF1 (CXCL12) chemokine signaling and the molecular function of CD20 has been linked to the signaling propensity of B-cell receptor (BCR). CD20 has also been shown to interact with multiple other surface proteins on B cells (such as CD40, MHCII, CD53, CD81, CD82, and CBP). Current efforts to combine anti-CD20 monoclonal antibodies with BCR signaling inhibitors targeting BTK or PI3K (ibrutinib, acalabrutinib, idelalisib, duvelisib) or BH3-mimetics (venetoclax) lead to the necessity to better understand both the mechanisms of regulation and the biological functions of CD20. This is underscored by the observation that CD20 is decreased in response to the “BCR inhibitor” ibrutinib which largely prevents its successful combination with rituximab. Several small molecules (such as histone deacetylase inhibitors, DNA methyl-transferase inhibitors, aurora kinase A/B inhibitors, farnesyltransferase inhibitors, FOXO1 inhibitors, and bryostatin-1) are being tested to upregulate cell-surface CD20 levels and increase the efficacy of anti-CD20 monoclonal antibodies. Herein, we review the current understanding of CD20 function, and the mechanisms of its regulation in normal and malignant B cells, highlighting the therapeutic implications.","container-title":"Haematologica","DOI":"10.3324/haematol.2019.243543","ISSN":"0390-6078","issue":"6","journalAbbreviation":"Haematologica","note":"PMID: 32482755\nPMCID: PMC7271567","page":"1494-1506","source":"PubMed Central","title":"The regulation and function of CD20: an “enigma” of B-cell biology and targeted therapy","title-short":"The regulation and function of CD20","volume":"105","author":[{"family":"Pavlasova","given":"Gabriela"},{"family":"Mraz","given":"Marek"}],"issued":{"date-parts":[["2020",6]]}},"label":"page"},{"id":2590,"uris":["http://zotero.org/users/11968306/items/AB8C2DLF"],"itemData":{"id":2590,"type":"article-journal","container-title":"Biology of Blood and Marrow Transplantation","DOI":"10.1016/j.bbmt.2012.11.297","ISSN":"1083-8791, 1523-6536","issue":"2","journalAbbreviation":"Biology of Blood and Marrow Transplantation","language":"English","note":"publisher: Elsevier\nPMID: 23022389","page":"S235","source":"www.astctjournal.org","title":"Plasma Cell CD20 Expression: Primary Aberrant Expression or Receptor Up-Regulation","title-short":"Plasma Cell CD20 Expression","volume":"19","author":[{"family":"Khaled","given":"Yasser"},{"family":"Fondaw","given":"Megan"},{"family":"Balls","given":"Jason"},{"family":"Smith","given":"Tori"},{"family":"Solh","given":"Melhem"}],"issued":{"date-parts":[["2013",2,1]]}}}],"schema":"https://github.com/citation-style-language/schema/raw/master/csl-citation.json"} </w:instrText>
            </w:r>
            <w:r w:rsidR="00230C87" w:rsidRPr="008052F5">
              <w:rPr>
                <w:rFonts w:ascii="Arial" w:eastAsia="Times New Roman" w:hAnsi="Arial" w:cs="Arial"/>
                <w:kern w:val="0"/>
                <w:sz w:val="22"/>
                <w:szCs w:val="22"/>
                <w:lang w:val="es-US"/>
                <w14:ligatures w14:val="none"/>
              </w:rPr>
              <w:fldChar w:fldCharType="separate"/>
            </w:r>
            <w:r w:rsidR="00C41DCB" w:rsidRPr="008052F5">
              <w:rPr>
                <w:rFonts w:ascii="Arial" w:hAnsi="Arial" w:cs="Arial"/>
                <w:kern w:val="0"/>
                <w:sz w:val="22"/>
                <w:vertAlign w:val="superscript"/>
              </w:rPr>
              <w:t>36,37</w:t>
            </w:r>
            <w:r w:rsidR="00230C87" w:rsidRPr="008052F5">
              <w:rPr>
                <w:rFonts w:ascii="Arial" w:eastAsia="Times New Roman" w:hAnsi="Arial" w:cs="Arial"/>
                <w:kern w:val="0"/>
                <w:sz w:val="22"/>
                <w:szCs w:val="22"/>
                <w:lang w:val="es-US"/>
                <w14:ligatures w14:val="none"/>
              </w:rPr>
              <w:fldChar w:fldCharType="end"/>
            </w:r>
            <w:r w:rsidR="00B548A2" w:rsidRPr="008052F5">
              <w:rPr>
                <w:rFonts w:ascii="Arial" w:eastAsia="Times New Roman" w:hAnsi="Arial" w:cs="Arial"/>
                <w:kern w:val="0"/>
                <w:sz w:val="22"/>
                <w:szCs w:val="22"/>
                <w:lang w:val="es-US"/>
                <w14:ligatures w14:val="none"/>
              </w:rPr>
              <w:t>)</w:t>
            </w:r>
          </w:p>
        </w:tc>
      </w:tr>
      <w:tr w:rsidR="00892DC7" w:rsidRPr="008052F5" w14:paraId="1C94A4E8" w14:textId="77777777" w:rsidTr="00B05E7D">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6EA8111B" w14:textId="311E9D4D"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Plasmacytoid Dendritic Cells (</w:t>
            </w:r>
            <w:r w:rsidR="00C90337" w:rsidRPr="008052F5">
              <w:rPr>
                <w:rFonts w:ascii="Arial" w:eastAsia="Times New Roman" w:hAnsi="Arial" w:cs="Arial"/>
                <w:kern w:val="0"/>
                <w:sz w:val="22"/>
                <w:szCs w:val="22"/>
                <w14:ligatures w14:val="none"/>
              </w:rPr>
              <w:t>p</w:t>
            </w:r>
            <w:r w:rsidRPr="008052F5">
              <w:rPr>
                <w:rFonts w:ascii="Arial" w:eastAsia="Times New Roman" w:hAnsi="Arial" w:cs="Arial"/>
                <w:kern w:val="0"/>
                <w:sz w:val="22"/>
                <w:szCs w:val="22"/>
                <w14:ligatures w14:val="none"/>
              </w:rPr>
              <w:t>DCs)</w:t>
            </w:r>
            <w:r w:rsidR="001928B1"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{"citationID":"h169ixiO","properties":{"formattedCitation":"\\super 38\\nosupersub{}","plainCitation":"38","noteIndex":0},"citationItems":[{"id":2596,"uris":["http://zotero.org/users/11968306/items/WJWAKX3D"],"itemData":{"id":2596,"type":"webpage","title":"Plasmacytoid dendritic cells gene expression markers | PanglaoDB","URL":"https://www.panglaodb.se/markers.html?cell_type=%27Plasmacytoid%20dendritic%20cells%27","accessed":{"date-parts":[["2025",5,29]]}}}],"schema":"https://github.com/citation-style-language/schema/raw/master/csl-citation.json"} </w:instrText>
            </w:r>
            <w:r w:rsidR="001928B1"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38</w:t>
            </w:r>
            <w:r w:rsidR="001928B1" w:rsidRPr="008052F5">
              <w:rPr>
                <w:rFonts w:ascii="Arial" w:eastAsia="Times New Roman" w:hAnsi="Arial" w:cs="Arial"/>
                <w:kern w:val="0"/>
                <w:sz w:val="22"/>
                <w:szCs w:val="22"/>
                <w14:ligatures w14:val="none"/>
              </w:rPr>
              <w:fldChar w:fldCharType="end"/>
            </w:r>
          </w:p>
        </w:tc>
        <w:tc>
          <w:tcPr>
            <w:tcW w:w="5760" w:type="dxa"/>
            <w:tcBorders>
              <w:top w:val="single" w:sz="6" w:space="0" w:color="000000"/>
              <w:left w:val="single" w:sz="6" w:space="0" w:color="000000"/>
              <w:bottom w:val="single" w:sz="6" w:space="0" w:color="000000"/>
              <w:right w:val="single" w:sz="6" w:space="0" w:color="000000"/>
            </w:tcBorders>
            <w:hideMark/>
          </w:tcPr>
          <w:p w14:paraId="40A532A4" w14:textId="76F2F93F" w:rsidR="00892DC7" w:rsidRPr="008052F5" w:rsidRDefault="00892DC7" w:rsidP="00892DC7">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sz w:val="22"/>
                <w:szCs w:val="22"/>
                <w14:ligatures w14:val="none"/>
              </w:rPr>
              <w:t>IL3RA</w:t>
            </w:r>
            <w:r w:rsidR="00754383"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{"citationID":"2aYFqjXQ","properties":{"formattedCitation":"\\super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754383" w:rsidRPr="008052F5">
              <w:rPr>
                <w:rFonts w:ascii="Arial" w:eastAsia="Times New Roman" w:hAnsi="Arial" w:cs="Arial"/>
                <w:kern w:val="0"/>
                <w:sz w:val="22"/>
                <w:szCs w:val="22"/>
                <w14:ligatures w14:val="none"/>
              </w:rPr>
              <w:fldChar w:fldCharType="separate"/>
            </w:r>
            <w:r w:rsidR="00754383" w:rsidRPr="008052F5">
              <w:rPr>
                <w:rFonts w:ascii="Arial" w:hAnsi="Arial" w:cs="Arial"/>
                <w:kern w:val="0"/>
                <w:sz w:val="22"/>
                <w:vertAlign w:val="superscript"/>
              </w:rPr>
              <w:t>2,3</w:t>
            </w:r>
            <w:r w:rsidR="00754383"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CLEC4C</w:t>
            </w:r>
            <w:r w:rsidR="00754383" w:rsidRPr="008052F5">
              <w:rPr>
                <w:rFonts w:ascii="Arial" w:eastAsia="Times New Roman" w:hAnsi="Arial" w:cs="Arial"/>
                <w:kern w:val="0"/>
                <w:sz w:val="22"/>
                <w:szCs w:val="22"/>
                <w14:ligatures w14:val="none"/>
              </w:rPr>
              <w:fldChar w:fldCharType="begin"/>
            </w:r>
            <w:r w:rsidR="007E2CA9" w:rsidRPr="008052F5">
              <w:rPr>
                <w:rFonts w:ascii="Arial" w:eastAsia="Times New Roman" w:hAnsi="Arial" w:cs="Arial"/>
                <w:kern w:val="0"/>
                <w:sz w:val="22"/>
                <w:szCs w:val="22"/>
                <w14:ligatures w14:val="none"/>
              </w:rPr>
              <w:instrText xml:space="preserve"> ADDIN ZOTERO_ITEM CSL_CITATION {"citationID":"uIscWHTr","properties":{"formattedCitation":"\\super 2,3\\nosupersub{}","plainCitation":"2,3","noteIndex":0},"citationItems":[{"id":1090,"uris":["http://zotero.org/users/11968306/items/VGSCDTTG"],"itemData":{"id":1090,"type":"article-journal","abstract":"Immune checkpoint inhibitors (ICIs) produce durable responses in some melanoma patients, but many patients derive no clinical benefit, and the molecular underpinnings of such resistance remain elusive. Here, we leveraged single-cell RNA sequencing (scRNA-seq) from 33 melanoma tumors and computational analyses to interrogate malignant cell states that promote immune evasion. We identified a resistance program expressed by malignant cells that is associated with T cell exclusion and immune evasion. The program is expressed prior to immunotherapy, characterizes cold niches in situ, and predicts clinical responses to anti-PD-1 therapy in an independent cohort of 112 melanoma patients. CDK4/6-inhibition represses this program in individual malignant cells, induces senescence, and reduces melanoma tumor outgrowth in mouse models in vivo when given in combination with immunotherapy. Our study provides a high-resolution landscape of ICI-resistant cell states, identifies clinically predictive signatures, and suggests new therapeutic strategies to overcome immunotherapy resistance.","container-title":"Cell","DOI":"10.1016/j.cell.2018.09.006","ISSN":"1097-4172","issue":"4","journalAbbreviation":"Cell","language":"eng","note":"PMID: 30388455\nPMCID: PMC6410377","page":"984-997.e24","source":"PubMed","title":"A Cancer Cell Program Promotes T Cell Exclusion and Resistance to Checkpoint Blockade","volume":"175","author":[{"family":"Jerby-Arnon","given":"Livnat"},{"family":"Shah","given":"Parin"},{"family":"Cuoco","given":"Michael S."},{"family":"Rodman","given":"Christopher"},{"family":"Su","given":"Mei-Ju"},{"family":"Melms","given":"Johannes C."},{"family":"Leeson","given":"Rachel"},{"family":"Kanodia","given":"Abhay"},{"family":"Mei","given":"Shaolin"},{"family":"Lin","given":"Jia-Ren"},{"family":"Wang","given":"Shu"},{"family":"Rabasha","given":"Bokang"},{"family":"Liu","given":"David"},{"family":"Zhang","given":"Gao"},{"family":"Margolais","given":"Claire"},{"family":"Ashenberg","given":"Orr"},{"family":"Ott","given":"Patrick A."},{"family":"Buchbinder","given":"Elizabeth I."},{"family":"Haq","given":"Rizwan"},{"family":"Hodi","given":"F. Stephen"},{"family":"Boland","given":"Genevieve M."},{"family":"Sullivan","given":"Ryan J."},{"family":"Frederick","given":"Dennie T."},{"family":"Miao","given":"Benchun"},{"family":"Moll","given":"Tabea"},{"family":"Flaherty","given":"Keith T."},{"family":"Herlyn","given":"Meenhard"},{"family":"Jenkins","given":"Russell W."},{"family":"Thummalapalli","given":"Rohit"},{"family":"Kowalczyk","given":"Monika S."},{"family":"Cañadas","given":"Israel"},{"family":"Schilling","given":"Bastian"},{"family":"Cartwright","given":"Adam N. R."},{"family":"Luoma","given":"Adrienne M."},{"family":"Malu","given":"Shruti"},{"family":"Hwu","given":"Patrick"},{"family":"Bernatchez","given":"Chantale"},{"family":"Forget","given":"Marie-Andrée"},{"family":"Barbie","given":"David A."},{"family":"Shalek","given":"Alex K."},{"family":"Tirosh","given":"Itay"},{"family":"Sorger","given":"Peter K."},{"family":"Wucherpfennig","given":"Kai"},{"family":"Van Allen","given":"Eliezer M."},{"family":"Schadendorf","given":"Dirk"},{"family":"Johnson","given":"Bruce E."},{"family":"Rotem","given":"Asaf"},{"family":"Rozenblatt-Rosen","given":"Orit"},{"family":"Garraway","given":"Levi A."},{"family":"Yoon","given":"Charles H."},{"family":"Izar","given":"Benjamin"},{"family":"Regev","given":"Aviv"}],"issued":{"date-parts":[["2018",11,1]]}}},{"id":2319,"uris":["http://zotero.org/users/11968306/items/7CKHE3WT"],"itemData":{"id":2319,"type":"article-journal","abstract":"Treatment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J."},{"family":"Getz","given":"Gad"},{"family":"Hacohen","given":"Nir"}],"issued":{"date-parts":[["2018",11,1]]}}}],"schema":"https://github.com/citation-style-language/schema/raw/master/csl-citation.json"} </w:instrText>
            </w:r>
            <w:r w:rsidR="00754383" w:rsidRPr="008052F5">
              <w:rPr>
                <w:rFonts w:ascii="Arial" w:eastAsia="Times New Roman" w:hAnsi="Arial" w:cs="Arial"/>
                <w:kern w:val="0"/>
                <w:sz w:val="22"/>
                <w:szCs w:val="22"/>
                <w14:ligatures w14:val="none"/>
              </w:rPr>
              <w:fldChar w:fldCharType="separate"/>
            </w:r>
            <w:r w:rsidR="00754383" w:rsidRPr="008052F5">
              <w:rPr>
                <w:rFonts w:ascii="Arial" w:hAnsi="Arial" w:cs="Arial"/>
                <w:kern w:val="0"/>
                <w:sz w:val="22"/>
                <w:vertAlign w:val="superscript"/>
              </w:rPr>
              <w:t>2,3</w:t>
            </w:r>
            <w:r w:rsidR="00754383"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LILRA4</w:t>
            </w:r>
            <w:r w:rsidR="00754383"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{"citationID":"In56qsyI","properties":{"formattedCitation":"\\super 3,39\\nosupersub{}","plainCitation":"3,39","noteIndex":0},"citationItems":[{"id":2319,"uris":["http://zotero.org/users/11968306/items/7CKHE3WT"],"itemData":{"id":2319,"type":"article-journal","abstract":"Treatment of cancer has been revolutionized by immune checkpoint blockade therapies. Despite the high rate of response in advanced melanoma, the majority of patients succumb to disease. To identify factors associated with success or failure of checkpoint therapy, we profiled transcriptomes of 16,291 individual immune cells from 48 tumor samples of melanoma patients treated with checkpoint inhibitors. Two distinct states of CD8+ T cells were defined by clustering and associated with patient tumor regression or progression. A single transcription factor, TCF7, was visualized within CD8+ T cells in fixed tumor samples and predicted positive clinical outcome in an independent cohort of checkpoint-treated patients. We delineated the epigenetic landscape and clonality of these T cell states and demonstrated enhanced antitumor immunity by targeting novel combinations of factors in exhausted cells. Our study of immune cell transcriptomes from tumors demonstrates a strategy for identifying predictors, mechanisms, and targets for enhancing checkpoint immunotherapy.","container-title":"Cell","DOI":"10.1016/j.cell.2018.10.038","ISSN":"1097-4172","issue":"4","journalAbbreviation":"Cell","language":"eng","note":"PMID: 30388456\nPMCID: PMC6641984","page":"998-1013.e20","source":"PubMed","title":"Defining T Cell States Associated with Response to Checkpoint Immunotherapy in Melanoma","volume":"175","author":[{"family":"Sade-Feldman","given":"Moshe"},{"family":"Yizhak","given":"Keren"},{"family":"Bjorgaard","given":"Stacey L."},{"family":"Ray","given":"John P."},{"family":"Boer","given":"Carl G.","non-dropping-particle":"de"},{"family":"Jenkins","given":"Russell W."},{"family":"Lieb","given":"David J."},{"family":"Chen","given":"Jonathan H."},{"family":"Frederick","given":"Dennie T."},{"family":"Barzily-Rokni","given":"Michal"},{"family":"Freeman","given":"Samuel S."},{"family":"Reuben","given":"Alexandre"},{"family":"Hoover","given":"Paul J."},{"family":"Villani","given":"Alexandra-Chloé"},{"family":"Ivanova","given":"Elena"},{"family":"Portell","given":"Andrew"},{"family":"Lizotte","given":"Patrick H."},{"family":"Aref","given":"Amir R."},{"family":"Eliane","given":"Jean-Pierre"},{"family":"Hammond","given":"Marc R."},{"family":"Vitzthum","given":"Hans"},{"family":"Blackmon","given":"Shauna M."},{"family":"Li","given":"Bo"},{"family":"Gopalakrishnan","given":"Vancheswaran"},{"family":"Reddy","given":"Sangeetha M."},{"family":"Cooper","given":"Zachary A."},{"family":"Paweletz","given":"Cloud P."},{"family":"Barbie","given":"David A."},{"family":"Stemmer-Rachamimov","given":"Anat"},{"family":"Flaherty","given":"Keith T."},{"family":"Wargo","given":"Jennifer A."},{"family":"Boland","given":"Genevieve M."},{"family":"Sullivan","given":"Ryan J."},{"family":"Getz","given":"Gad"},{"family":"Hacohen","given":"Nir"}],"issued":{"date-parts":[["2018",11,1]]}}},{"id":2598,"uris":["http://zotero.org/users/11968306/items/YHY2825X"],"itemData":{"id":2598,"type":"webpage","title":"LILRA4 leukocyte immunoglobulin like receptor A4 [Homo sapiens (human)] - Gene - NCBI","URL":"https://www.ncbi.nlm.nih.gov/gene/23547","accessed":{"date-parts":[["2025",5,29]]}}}],"schema":"https://github.com/citation-style-language/schema/raw/master/csl-citation.json"} </w:instrText>
            </w:r>
            <w:r w:rsidR="00754383"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3,39</w:t>
            </w:r>
            <w:r w:rsidR="00754383"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PLD4</w:t>
            </w:r>
            <w:r w:rsidR="00363937" w:rsidRPr="008052F5">
              <w:rPr>
                <w:rFonts w:ascii="Arial" w:eastAsia="Times New Roman" w:hAnsi="Arial" w:cs="Arial"/>
                <w:kern w:val="0"/>
                <w:sz w:val="22"/>
                <w:szCs w:val="22"/>
                <w14:ligatures w14:val="none"/>
              </w:rPr>
              <w:fldChar w:fldCharType="begin"/>
            </w:r>
            <w:r w:rsidR="00C41DCB" w:rsidRPr="008052F5">
              <w:rPr>
                <w:rFonts w:ascii="Arial" w:eastAsia="Times New Roman" w:hAnsi="Arial" w:cs="Arial"/>
                <w:kern w:val="0"/>
                <w:sz w:val="22"/>
                <w:szCs w:val="22"/>
                <w14:ligatures w14:val="none"/>
              </w:rPr>
              <w:instrText xml:space="preserve"> ADDIN ZOTERO_ITEM CSL_CITATION {"citationID":"8GncuiDE","properties":{"formattedCitation":"\\super 40,41\\nosupersub{}","plainCitation":"40,41","noteIndex":0},"citationItems":[{"id":2600,"uris":["http://zotero.org/users/11968306/items/H8NYEPQ2"],"itemData":{"id":2600,"type":"article-journal","abstract":"Background\nIn systemic lupus erythematosus (SLE), autoreactive B cells are thought to develop by-passing immune checkpoints and contribute to its pathogenesis. Toll-like receptor (TLR) 7 and 9 signaling have been implicated in their development and differentiation. Although some B cell subpopulations such as T-bet + double negative 2 (DN2) cells have been identified as autoreactive in the past few years, because the upregulated surface markers of those cells are not exclusive to them, it is still challenging to specifically target autoreactive B cells in SLE patients.\n\nMethods\nOur preliminary expression analysis revealed that phospholipase D4 (PLD4) is exclusively expressed in plasmacytoid dendritic cells (pDCs) and B cells in peripheral blood mononuclear cells (PBMCs) samples. Monoclonal antibodies against human PLD4 were generated, and flow cytometry analyses were conducted for PBMCs from 23 healthy donors (HDs) and 40 patients with SLE. In vitro cell culture was also performed to study the conditions that induce PLD4 in B cells from HDs. Finally, recombinant antibodies were synthesized from subpopulations of PLD4 + B cells from a patient with SLE, and their antinuclear activity was measured through enzyme-linked immunosorbent assay.\n\nResults\npDCs from both groups showed comparable frequency of surface PLD4 expression. PLD4 + B cells accounted for only a few percent of HD B cells, whereas they were significantly expanded in patients with SLE (2.1% ± 0.4% vs. 10.8% ± 1.2%, P &lt; 0.005). A subpopulation within PLD4 + B cells whose cell size was comparable to CD38 + CD43 + plasmablasts was defined as “PLD4 + blasts,” and their frequencies were significantly correlated with those of plasmablasts (P &lt; 0.005). PLD4 + blasts phenotypically overlapped with double negative 2 (DN2) cells, and, in line with this, their frequencies were significantly correlated with several clinical markers of SLE. In vitro assay using healthy PBMCs demonstrated that TLR7 or TLR9 stimulation was sufficient to induce PLD4 on the surface of the B cells. Finally, two out of three recombinant antibodies synthesized from PLD4 + blasts showed antinuclear activity.\n\nConclusion\nPLD4 + B cells, especially “blastic” ones, are likely autoreactive B cells undergoing TLR stimulation. Therefore, PLD4 is a promising target marker in SLE treatment.\n\nSupplementary Information\nThe online version contains supplementary material available at 10.1186/s13075-023-03186-5.","container-title":"Arthritis Research &amp; Therapy","DOI":"10.1186/s13075-023-03186-5","ISSN":"1478-6354","journalAbbreviation":"Arthritis Res Ther","note":"PMID: 37840148\nPMCID: PMC10577954","page":"200","source":"PubMed Central","title":"Phospholipase D4 as a signature of toll-like receptor 7 or 9 signaling is expressed on blastic T-bet + B cells in systemic lupus erythematosus","volume":"25","author":[{"family":"Yasaka","given":"Ken"},{"family":"Yamazaki","given":"Tomohide"},{"family":"Sato","given":"Hiroko"},{"family":"Shirai","given":"Tsuyoshi"},{"family":"Cho","given":"Minkwon"},{"family":"Ishida","given":"Koji"},{"family":"Ito","given":"Koyu"},{"family":"Tanaka","given":"Tetsuhiro"},{"family":"Ogasawara","given":"Kouetsu"},{"family":"Harigae","given":"Hideo"},{"family":"Ishii","given":"Tomonori"},{"family":"Fujii","given":"Hiroshi"}],"issued":{"date-parts":[["2023"]]}}},{"id":2602,"uris":["http://zotero.org/users/11968306/items/KLAMNEUR"],"itemData":{"id":2602,"type":"webpage","title":"PLD4 protein expression summary - The Human Protein Atlas","URL":"https://www.proteinatlas.org/ENSG00000166428-PLD4?utm_source=chatgpt.com","accessed":{"date-parts":[["2025",5,29]]}}}],"schema":"https://github.com/citation-style-language/schema/raw/master/csl-citation.json"} </w:instrText>
            </w:r>
            <w:r w:rsidR="00363937" w:rsidRPr="008052F5">
              <w:rPr>
                <w:rFonts w:ascii="Arial" w:eastAsia="Times New Roman" w:hAnsi="Arial" w:cs="Arial"/>
                <w:kern w:val="0"/>
                <w:sz w:val="22"/>
                <w:szCs w:val="22"/>
                <w14:ligatures w14:val="none"/>
              </w:rPr>
              <w:fldChar w:fldCharType="separate"/>
            </w:r>
            <w:r w:rsidR="00C41DCB" w:rsidRPr="008052F5">
              <w:rPr>
                <w:rFonts w:ascii="Arial" w:hAnsi="Arial" w:cs="Arial"/>
                <w:kern w:val="0"/>
                <w:sz w:val="22"/>
                <w:vertAlign w:val="superscript"/>
              </w:rPr>
              <w:t>40,41</w:t>
            </w:r>
            <w:r w:rsidR="00363937" w:rsidRPr="008052F5">
              <w:rPr>
                <w:rFonts w:ascii="Arial" w:eastAsia="Times New Roman" w:hAnsi="Arial" w:cs="Arial"/>
                <w:kern w:val="0"/>
                <w:sz w:val="22"/>
                <w:szCs w:val="22"/>
                <w14:ligatures w14:val="none"/>
              </w:rPr>
              <w:fldChar w:fldCharType="end"/>
            </w:r>
            <w:r w:rsidRPr="008052F5">
              <w:rPr>
                <w:rFonts w:ascii="Arial" w:eastAsia="Times New Roman" w:hAnsi="Arial" w:cs="Arial"/>
                <w:kern w:val="0"/>
                <w:sz w:val="22"/>
                <w:szCs w:val="22"/>
                <w14:ligatures w14:val="none"/>
              </w:rPr>
              <w:t>  </w:t>
            </w:r>
          </w:p>
        </w:tc>
      </w:tr>
    </w:tbl>
    <w:p w14:paraId="2B8DA587" w14:textId="77777777" w:rsidR="00A67546" w:rsidRPr="008052F5" w:rsidRDefault="00A67546" w:rsidP="00305783">
      <w:pPr>
        <w:spacing w:after="0" w:line="240" w:lineRule="auto"/>
        <w:textAlignment w:val="baseline"/>
        <w:rPr>
          <w:rFonts w:ascii="Arial" w:hAnsi="Arial" w:cs="Arial"/>
        </w:rPr>
      </w:pPr>
    </w:p>
    <w:p w14:paraId="37E8754A" w14:textId="6BBD40B1" w:rsidR="00892DC7" w:rsidRPr="008052F5" w:rsidRDefault="00A67546" w:rsidP="00305783">
      <w:pPr>
        <w:spacing w:after="0" w:line="240" w:lineRule="auto"/>
        <w:textAlignment w:val="baseline"/>
        <w:rPr>
          <w:rFonts w:ascii="Arial" w:hAnsi="Arial" w:cs="Arial"/>
        </w:rPr>
      </w:pPr>
      <w:r w:rsidRPr="008052F5">
        <w:rPr>
          <w:rFonts w:ascii="Arial" w:hAnsi="Arial" w:cs="Arial"/>
        </w:rPr>
        <w:t>Citations in the left Cell Type column refer to resources that provided general cell typing guidance and were used for additional marker genes. Citations in the right Markers column represent papers identifying the specific genes listed there as markers of a particular cell type.</w:t>
      </w:r>
      <w:r w:rsidR="00892DC7" w:rsidRPr="008052F5">
        <w:rPr>
          <w:rFonts w:ascii="Arial" w:hAnsi="Arial" w:cs="Arial"/>
        </w:rPr>
        <w:br w:type="page"/>
      </w:r>
    </w:p>
    <w:p w14:paraId="1C4111D0" w14:textId="36C565FA" w:rsidR="00B27F43" w:rsidRPr="008052F5" w:rsidRDefault="00B27F43" w:rsidP="00B27F43">
      <w:pPr>
        <w:rPr>
          <w:rFonts w:ascii="Arial" w:hAnsi="Arial" w:cs="Arial"/>
          <w:b/>
        </w:rPr>
      </w:pPr>
      <w:r w:rsidRPr="008052F5">
        <w:rPr>
          <w:rFonts w:ascii="Arial" w:hAnsi="Arial" w:cs="Arial"/>
          <w:b/>
        </w:rPr>
        <w:lastRenderedPageBreak/>
        <w:t>Table S2: Gene expression markers used in T cell clustering</w:t>
      </w:r>
      <w:r w:rsidR="00B83B46" w:rsidRPr="008052F5">
        <w:rPr>
          <w:rFonts w:ascii="Arial" w:hAnsi="Arial" w:cs="Arial"/>
          <w:b/>
        </w:rPr>
        <w:t xml:space="preserve"> and myeloid </w:t>
      </w:r>
      <w:r w:rsidR="00196A74" w:rsidRPr="008052F5">
        <w:rPr>
          <w:rFonts w:ascii="Arial" w:hAnsi="Arial" w:cs="Arial"/>
          <w:b/>
        </w:rPr>
        <w:t xml:space="preserve">cell </w:t>
      </w:r>
      <w:r w:rsidR="005D5C00" w:rsidRPr="008052F5">
        <w:rPr>
          <w:rFonts w:ascii="Arial" w:hAnsi="Arial" w:cs="Arial"/>
          <w:b/>
        </w:rPr>
        <w:t>clustering</w:t>
      </w:r>
    </w:p>
    <w:tbl>
      <w:tblPr>
        <w:tblW w:w="953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72"/>
        <w:gridCol w:w="5760"/>
      </w:tblGrid>
      <w:tr w:rsidR="008052F5" w:rsidRPr="008052F5" w14:paraId="67945145" w14:textId="77777777" w:rsidTr="0032582A">
        <w:trPr>
          <w:trHeight w:val="300"/>
        </w:trPr>
        <w:tc>
          <w:tcPr>
            <w:tcW w:w="3772" w:type="dxa"/>
            <w:tcBorders>
              <w:top w:val="single" w:sz="6" w:space="0" w:color="000000"/>
              <w:left w:val="single" w:sz="6" w:space="0" w:color="000000"/>
              <w:bottom w:val="single" w:sz="6" w:space="0" w:color="000000"/>
              <w:right w:val="single" w:sz="6" w:space="0" w:color="000000"/>
            </w:tcBorders>
            <w:hideMark/>
          </w:tcPr>
          <w:p w14:paraId="07550BAB" w14:textId="77777777"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b/>
                <w:kern w:val="0"/>
                <w:sz w:val="22"/>
                <w:szCs w:val="22"/>
                <w14:ligatures w14:val="none"/>
              </w:rPr>
              <w:t>Cell Type</w:t>
            </w:r>
            <w:r w:rsidRPr="008052F5">
              <w:rPr>
                <w:rFonts w:ascii="Arial" w:eastAsia="Times New Roman" w:hAnsi="Arial" w:cs="Arial"/>
                <w:kern w:val="0"/>
                <w:sz w:val="22"/>
                <w:szCs w:val="22"/>
                <w14:ligatures w14:val="none"/>
              </w:rPr>
              <w:t>  </w:t>
            </w:r>
          </w:p>
        </w:tc>
        <w:tc>
          <w:tcPr>
            <w:tcW w:w="5760" w:type="dxa"/>
            <w:tcBorders>
              <w:top w:val="single" w:sz="6" w:space="0" w:color="000000"/>
              <w:left w:val="single" w:sz="6" w:space="0" w:color="000000"/>
              <w:bottom w:val="single" w:sz="6" w:space="0" w:color="000000"/>
              <w:right w:val="single" w:sz="6" w:space="0" w:color="000000"/>
            </w:tcBorders>
            <w:hideMark/>
          </w:tcPr>
          <w:p w14:paraId="64AD4DF3" w14:textId="77777777"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b/>
                <w:kern w:val="0"/>
                <w:sz w:val="22"/>
                <w:szCs w:val="22"/>
                <w14:ligatures w14:val="none"/>
              </w:rPr>
              <w:t>Markers</w:t>
            </w:r>
            <w:r w:rsidRPr="008052F5">
              <w:rPr>
                <w:rFonts w:ascii="Arial" w:eastAsia="Times New Roman" w:hAnsi="Arial" w:cs="Arial"/>
                <w:kern w:val="0"/>
                <w:sz w:val="22"/>
                <w:szCs w:val="22"/>
                <w14:ligatures w14:val="none"/>
              </w:rPr>
              <w:t>  </w:t>
            </w:r>
          </w:p>
        </w:tc>
      </w:tr>
      <w:tr w:rsidR="008052F5" w:rsidRPr="008052F5" w14:paraId="233DE7E6" w14:textId="77777777" w:rsidTr="006D5A67">
        <w:trPr>
          <w:trHeight w:val="300"/>
        </w:trPr>
        <w:tc>
          <w:tcPr>
            <w:tcW w:w="9532"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42647734" w14:textId="2AE23F0F" w:rsidR="0024408B" w:rsidRPr="008052F5" w:rsidRDefault="0024408B"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T cell markers</w:t>
            </w:r>
            <w:r w:rsidR="00F60CCA" w:rsidRPr="008052F5">
              <w:rPr>
                <w:rFonts w:ascii="Arial" w:eastAsia="Times New Roman" w:hAnsi="Arial" w:cs="Arial"/>
                <w:kern w:val="0"/>
                <w14:ligatures w14:val="none"/>
              </w:rPr>
              <w:fldChar w:fldCharType="begin"/>
            </w:r>
            <w:r w:rsidR="00F60CCA" w:rsidRPr="008052F5">
              <w:rPr>
                <w:rFonts w:ascii="Arial" w:eastAsia="Times New Roman" w:hAnsi="Arial" w:cs="Arial"/>
                <w:kern w:val="0"/>
                <w14:ligatures w14:val="none"/>
              </w:rPr>
              <w:instrText xml:space="preserve"> ADDIN ZOTERO_ITEM CSL_CITATION {"citationID":"dKsRnSN2","properties":{"formattedCitation":"\\super 42\\nosupersub{}","plainCitation":"42","noteIndex":0},"citationItems":[{"id":5061,"uris":["http://zotero.org/users/11968306/items/GRCKVFUC"],"itemData":{"id":5061,"type":"article-journal","abstract":"Single-cell RNA sequencing (scRNA-seq) has become a popular technique for interrogating the diversity and dynamic nature of cellular gene expression and has numerous advantages in immunology. For example, scRNA-seq, in contrast to bulk RNA sequencing, can discern cellular subtypes within a population, which is important for heterogenous populations such as T cells. Moreover, recent advancements in the technology allow the parallel capturing of the highly diverse T-cell receptor (TCR) sequence with the gene expression. However, the field of single-cell RNA sequencing data analysis is still hampered by a lack of gold-standard cell phenotype annotation. This problem is particularly evident in the case of T cells due to the heterogeneity in both their gene expression and their TCR. While current cell phenotype annotation tools can differentiate major cell populations from each other, labelling T-cell subtypes remains problematic. In this review, we identify the common automated strategy for annotating T cells and their subpopulations, and also describe what crucial information is still missing from these tools.","container-title":"Frontiers in Immunology","DOI":"10.3389/fimmu.2023.1306169","ISSN":"1664-3224","journalAbbreviation":"Front Immunol","note":"PMID: 38187377\nPMCID: PMC10768068","page":"1306169","source":"PubMed Central","title":"Current annotation strategies for T cell phenotyping of single-cell RNA-seq data","volume":"14","author":[{"family":"Mullan","given":"Kerry A."},{"family":"Vrij","given":"Nicky","non-dropping-particle":"de"},{"family":"Valkiers","given":"Sebastiaan"},{"family":"Meysman","given":"Pieter"}],"issued":{"date-parts":[["2023",12,21]]}}}],"schema":"https://github.com/citation-style-language/schema/raw/master/csl-citation.json"} </w:instrText>
            </w:r>
            <w:r w:rsidR="00F60CCA" w:rsidRPr="008052F5">
              <w:rPr>
                <w:rFonts w:ascii="Arial" w:eastAsia="Times New Roman" w:hAnsi="Arial" w:cs="Arial"/>
                <w:kern w:val="0"/>
                <w14:ligatures w14:val="none"/>
              </w:rPr>
              <w:fldChar w:fldCharType="separate"/>
            </w:r>
            <w:r w:rsidR="00F60CCA" w:rsidRPr="008052F5">
              <w:rPr>
                <w:rFonts w:ascii="Arial" w:hAnsi="Arial" w:cs="Arial"/>
                <w:kern w:val="0"/>
                <w:vertAlign w:val="superscript"/>
              </w:rPr>
              <w:t>42</w:t>
            </w:r>
            <w:r w:rsidR="00F60CCA" w:rsidRPr="008052F5">
              <w:rPr>
                <w:rFonts w:ascii="Arial" w:eastAsia="Times New Roman" w:hAnsi="Arial" w:cs="Arial"/>
                <w:kern w:val="0"/>
                <w14:ligatures w14:val="none"/>
              </w:rPr>
              <w:fldChar w:fldCharType="end"/>
            </w:r>
          </w:p>
        </w:tc>
      </w:tr>
      <w:tr w:rsidR="008052F5" w:rsidRPr="008052F5" w14:paraId="6ABC23BA"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3FFEB6C8" w14:textId="4845491A"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Treg</w:t>
            </w:r>
            <w:r w:rsidR="00C8270F" w:rsidRPr="008052F5">
              <w:rPr>
                <w:rFonts w:ascii="Arial" w:eastAsia="Times New Roman" w:hAnsi="Arial" w:cs="Arial"/>
                <w:kern w:val="0"/>
                <w14:ligatures w14:val="none"/>
              </w:rPr>
              <w:t xml:space="preserve"> </w:t>
            </w:r>
            <w:r w:rsidR="00C8270F" w:rsidRPr="008052F5">
              <w:rPr>
                <w:rFonts w:ascii="Arial" w:hAnsi="Arial" w:cs="Arial"/>
              </w:rPr>
              <w:fldChar w:fldCharType="begin"/>
            </w:r>
            <w:r w:rsidR="00F60CCA" w:rsidRPr="008052F5">
              <w:rPr>
                <w:rFonts w:ascii="Arial" w:hAnsi="Arial" w:cs="Arial"/>
              </w:rPr>
              <w:instrText xml:space="preserve"> ADDIN ZOTERO_ITEM CSL_CITATION {"citationID":"bFF3kpr5","properties":{"formattedCitation":"\\super 43\\nosupersub{}","plainCitation":"43","noteIndex":0},"citationItems":[{"id":2446,"uris":["http://zotero.org/users/11968306/items/LMQ46WQS"],"itemData":{"id":2446,"type":"article-journal","abstract":"CD4+CD25+ regulatory T cells are essential for the active suppression of autoimmunity. Here we report that the forkhead transcription factor Foxp3 is specifically expressed in CD4+CD25+ regulatory T cells and is required for their development. The lethal autoimmune syndrome observed in Foxp3-mutant scurfy mice and Foxp3-null mice results from a CD4+CD25+ regulatory T cell deficiency and not from a cell-intrinsic defect of CD4+CD25- T cells. CD4+CD25+ regulatory T cells rescue disease development and preferentially expand when transferred into neonatal Foxp3-deficient mice. Furthermore, ectopic expression of Foxp3 confers suppressor function on peripheral CD4+CD25- T cells. Thus, Foxp3 is a critical regulator of CD4+CD25+ regulatory T cell development and function.","container-title":"Nature Immunology","DOI":"10.1038/ni904","ISSN":"1529-2908","issue":"4","journalAbbreviation":"Nat Immunol","language":"eng","note":"PMID: 12612578","page":"330-336","source":"PubMed","title":"Foxp3 programs the development and function of CD4+CD25+ regulatory T cells","volume":"4","author":[{"family":"Fontenot","given":"Jason D."},{"family":"Gavin","given":"Marc A."},{"family":"Rudensky","given":"Alexander Y."}],"issued":{"date-parts":[["2003",4]]}}}],"schema":"https://github.com/citation-style-language/schema/raw/master/csl-citation.json"} </w:instrText>
            </w:r>
            <w:r w:rsidR="00C8270F" w:rsidRPr="008052F5">
              <w:rPr>
                <w:rFonts w:ascii="Arial" w:hAnsi="Arial" w:cs="Arial"/>
              </w:rPr>
              <w:fldChar w:fldCharType="separate"/>
            </w:r>
            <w:r w:rsidR="00F60CCA" w:rsidRPr="008052F5">
              <w:rPr>
                <w:rFonts w:ascii="Arial" w:hAnsi="Arial" w:cs="Arial"/>
                <w:kern w:val="0"/>
                <w:vertAlign w:val="superscript"/>
              </w:rPr>
              <w:t>43</w:t>
            </w:r>
            <w:r w:rsidR="00C8270F"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29B6F405" w14:textId="0DF8432D" w:rsidR="00B27F43" w:rsidRPr="008052F5" w:rsidRDefault="00F33D67"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CD4, FOXP3, IL2RA</w:t>
            </w:r>
          </w:p>
        </w:tc>
      </w:tr>
      <w:tr w:rsidR="008052F5" w:rsidRPr="008052F5" w14:paraId="385949BA"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4EB39473" w14:textId="4D418D71"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CD8_Ex</w:t>
            </w:r>
            <w:r w:rsidR="002B1934" w:rsidRPr="008052F5">
              <w:rPr>
                <w:rFonts w:ascii="Arial" w:eastAsia="Times New Roman" w:hAnsi="Arial" w:cs="Arial"/>
                <w:kern w:val="0"/>
                <w14:ligatures w14:val="none"/>
              </w:rPr>
              <w:t>h</w:t>
            </w:r>
            <w:r w:rsidR="0032382A" w:rsidRPr="008052F5">
              <w:rPr>
                <w:rFonts w:ascii="Arial" w:eastAsia="Times New Roman" w:hAnsi="Arial" w:cs="Arial"/>
                <w:kern w:val="0"/>
                <w14:ligatures w14:val="none"/>
              </w:rPr>
              <w:t xml:space="preserve"> </w:t>
            </w:r>
            <w:r w:rsidR="0032382A" w:rsidRPr="008052F5" w:rsidDel="005A2A86">
              <w:rPr>
                <w:rFonts w:ascii="Arial" w:hAnsi="Arial" w:cs="Arial"/>
              </w:rPr>
              <w:fldChar w:fldCharType="begin"/>
            </w:r>
            <w:r w:rsidR="00F60CCA" w:rsidRPr="008052F5">
              <w:rPr>
                <w:rFonts w:ascii="Arial" w:hAnsi="Arial" w:cs="Arial"/>
              </w:rPr>
              <w:instrText xml:space="preserve"> ADDIN ZOTERO_ITEM CSL_CITATION {"citationID":"8tYSLJ9I","properties":{"formattedCitation":"\\super 44,45\\nosupersub{}","plainCitation":"44,45","noteIndex":0},"citationItems":[{"id":2429,"uris":["http://zotero.org/users/11968306/items/EF94NLVH"],"itemData":{"id":2429,"type":"article-journal","abstract":"CD8+ T cell exhaustion is a major barrier to current anti-cancer immunotherapies. Despite this, the developmental biology of exhausted CD8+ T cells (Tex) remains poorly defined, restraining improvement of strategies aimed at \"re-invigorating\" Tex cells. Here, we defined a four-cell-stage developmental framework for Tex cells. Two TCF1+ progenitor subsets were identified, one tissue restricted and quiescent and one more blood accessible, that gradually lost TCF1 as it divided and converted to a third intermediate Tex subset. This intermediate subset re-engaged some effector biology and increased upon PD-L1 blockade but ultimately converted into a fourth, terminally exhausted subset. By using transcriptional and epigenetic analyses, we identified the control mechanisms underlying subset transitions and defined a key interplay between TCF1, T-bet, and Tox in the process. These data reveal a four-stage developmental hierarchy for Tex cells and define the molecular, transcriptional, and epigenetic mechanisms that could provide opportunities to improve cancer immunotherapy.","container-title":"Immunity","DOI":"10.1016/j.immuni.2020.04.014","ISSN":"1097-4180","issue":"5","journalAbbreviation":"Immunity","language":"eng","note":"PMID: 32396847\nPMCID: PMC8360766","page":"825-841.e8","source":"PubMed","title":"Developmental Relationships of Four Exhausted CD8+ T Cell Subsets Reveals Underlying Transcriptional and Epigenetic Landscape Control Mechanisms","volume":"52","author":[{"family":"Beltra","given":"Jean-Christophe"},{"family":"Manne","given":"Sasikanth"},{"family":"Abdel-Hakeem","given":"Mohamed S."},{"family":"Kurachi","given":"Makoto"},{"family":"Giles","given":"Josephine R."},{"family":"Chen","given":"Zeyu"},{"family":"Casella","given":"Valentina"},{"family":"Ngiow","given":"Shin Foong"},{"family":"Khan","given":"Omar"},{"family":"Huang","given":"Yinghui Jane"},{"family":"Yan","given":"Patrick"},{"family":"Nzingha","given":"Kito"},{"family":"Xu","given":"Wei"},{"family":"Amaravadi","given":"Ravi K."},{"family":"Xu","given":"Xiaowei"},{"family":"Karakousis","given":"Giorgos C."},{"family":"Mitchell","given":"Tara C."},{"family":"Schuchter","given":"Lynn M."},{"family":"Huang","given":"Alexander C."},{"family":"Wherry","given":"E. John"}],"issued":{"date-parts":[["2020",5,19]]}}},{"id":2432,"uris":["http://zotero.org/users/11968306/items/IDQCT3P9"],"itemData":{"id":2432,"type":"article-journal","abstract":"Exhausted CD8+ T (Tex) cells in chronic infections and cancer have limited effector function, high co-expression of inhibitory receptors and extensive transcriptional changes compared with effector (Teff) or memory (Tmem) CD8+ T cells. Tex cells are important clinical targets of checkpoint blockade and other immunotherapies. Epigenetically, Tex cells are a distinct immune subset, with a unique chromatin landscape compared with Teff and Tmem cells. However, the mechanisms that govern the transcriptional and epigenetic development of Tex cells remain unknown. Here we identify the HMG-box transcription factor TOX as a central regulator of Tex cells in mice. TOX is largely dispensable for the formation of Teff and Tmem cells, but it is critical for exhaustion: in the absence of TOX, Tex cells do not form. TOX is induced by calcineurin and NFAT2, and operates in a feed-forward loop in which it becomes calcineurin-independent and sustained in Tex cells. Robust expression of TOX therefore results in commitment to Tex cells by translating persistent stimulation into a distinct Tex cell transcriptional and epigenetic developmental program.","container-title":"Nature","DOI":"10.1038/s41586-019-1325-x","ISSN":"1476-4687","issue":"7764","journalAbbreviation":"Nature","language":"eng","note":"PMID: 31207603\nPMCID: PMC6713202","page":"211-218","source":"PubMed","title":"TOX transcriptionally and epigenetically programs CD8+ T cell exhaustion","volume":"571","author":[{"family":"Khan","given":"Omar"},{"family":"Giles","given":"Josephine R."},{"family":"McDonald","given":"Sierra"},{"family":"Manne","given":"Sasikanth"},{"family":"Ngiow","given":"Shin Foong"},{"family":"Patel","given":"Kunal P."},{"family":"Werner","given":"Michael T."},{"family":"Huang","given":"Alexander C."},{"family":"Alexander","given":"Katherine A."},{"family":"Wu","given":"Jennifer E."},{"family":"Attanasio","given":"John"},{"family":"Yan","given":"Patrick"},{"family":"George","given":"Sangeeth M."},{"family":"Bengsch","given":"Bertram"},{"family":"Staupe","given":"Ryan P."},{"family":"Donahue","given":"Greg"},{"family":"Xu","given":"Wei"},{"family":"Amaravadi","given":"Ravi K."},{"family":"Xu","given":"Xiaowei"},{"family":"Karakousis","given":"Giorgos C."},{"family":"Mitchell","given":"Tara C."},{"family":"Schuchter","given":"Lynn M."},{"family":"Kaye","given":"Jonathan"},{"family":"Berger","given":"Shelley L."},{"family":"Wherry","given":"E. John"}],"issued":{"date-parts":[["2019",7]]}}}],"schema":"https://github.com/citation-style-language/schema/raw/master/csl-citation.json"} </w:instrText>
            </w:r>
            <w:r w:rsidR="0032382A" w:rsidRPr="008052F5" w:rsidDel="005A2A86">
              <w:rPr>
                <w:rFonts w:ascii="Arial" w:hAnsi="Arial" w:cs="Arial"/>
              </w:rPr>
              <w:fldChar w:fldCharType="separate"/>
            </w:r>
            <w:r w:rsidR="00F60CCA" w:rsidRPr="008052F5">
              <w:rPr>
                <w:rFonts w:ascii="Arial" w:hAnsi="Arial" w:cs="Arial"/>
                <w:kern w:val="0"/>
                <w:sz w:val="22"/>
                <w:vertAlign w:val="superscript"/>
              </w:rPr>
              <w:t>44,45</w:t>
            </w:r>
            <w:r w:rsidR="0032382A" w:rsidRPr="008052F5" w:rsidDel="005A2A86">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5A52DF9C" w14:textId="79DBF3B6" w:rsidR="00B27F43" w:rsidRPr="008052F5" w:rsidRDefault="00111A5E"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PRF1, GZMB, TOX, PDCD1, LAG3, TIGIT, HAVCR2</w:t>
            </w:r>
          </w:p>
        </w:tc>
      </w:tr>
      <w:tr w:rsidR="008052F5" w:rsidRPr="008052F5" w14:paraId="1889D836"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546E272E" w14:textId="25802E96"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CD8_pEx</w:t>
            </w:r>
            <w:r w:rsidR="0032382A" w:rsidRPr="008052F5">
              <w:rPr>
                <w:rFonts w:ascii="Arial" w:eastAsia="Times New Roman" w:hAnsi="Arial" w:cs="Arial"/>
                <w:kern w:val="0"/>
                <w14:ligatures w14:val="none"/>
              </w:rPr>
              <w:t xml:space="preserve"> </w:t>
            </w:r>
            <w:r w:rsidR="0032382A" w:rsidRPr="008052F5" w:rsidDel="005A2A86">
              <w:rPr>
                <w:rFonts w:ascii="Arial" w:hAnsi="Arial" w:cs="Arial"/>
              </w:rPr>
              <w:fldChar w:fldCharType="begin"/>
            </w:r>
            <w:r w:rsidR="00F60CCA" w:rsidRPr="008052F5">
              <w:rPr>
                <w:rFonts w:ascii="Arial" w:hAnsi="Arial" w:cs="Arial"/>
              </w:rPr>
              <w:instrText xml:space="preserve"> ADDIN ZOTERO_ITEM CSL_CITATION {"citationID":"bTatcsTp","properties":{"formattedCitation":"\\super 44,45\\nosupersub{}","plainCitation":"44,45","noteIndex":0},"citationItems":[{"id":2429,"uris":["http://zotero.org/users/11968306/items/EF94NLVH"],"itemData":{"id":2429,"type":"article-journal","abstract":"CD8+ T cell exhaustion is a major barrier to current anti-cancer immunotherapies. Despite this, the developmental biology of exhausted CD8+ T cells (Tex) remains poorly defined, restraining improvement of strategies aimed at \"re-invigorating\" Tex cells. Here, we defined a four-cell-stage developmental framework for Tex cells. Two TCF1+ progenitor subsets were identified, one tissue restricted and quiescent and one more blood accessible, that gradually lost TCF1 as it divided and converted to a third intermediate Tex subset. This intermediate subset re-engaged some effector biology and increased upon PD-L1 blockade but ultimately converted into a fourth, terminally exhausted subset. By using transcriptional and epigenetic analyses, we identified the control mechanisms underlying subset transitions and defined a key interplay between TCF1, T-bet, and Tox in the process. These data reveal a four-stage developmental hierarchy for Tex cells and define the molecular, transcriptional, and epigenetic mechanisms that could provide opportunities to improve cancer immunotherapy.","container-title":"Immunity","DOI":"10.1016/j.immuni.2020.04.014","ISSN":"1097-4180","issue":"5","journalAbbreviation":"Immunity","language":"eng","note":"PMID: 32396847\nPMCID: PMC8360766","page":"825-841.e8","source":"PubMed","title":"Developmental Relationships of Four Exhausted CD8+ T Cell Subsets Reveals Underlying Transcriptional and Epigenetic Landscape Control Mechanisms","volume":"52","author":[{"family":"Beltra","given":"Jean-Christophe"},{"family":"Manne","given":"Sasikanth"},{"family":"Abdel-Hakeem","given":"Mohamed S."},{"family":"Kurachi","given":"Makoto"},{"family":"Giles","given":"Josephine R."},{"family":"Chen","given":"Zeyu"},{"family":"Casella","given":"Valentina"},{"family":"Ngiow","given":"Shin Foong"},{"family":"Khan","given":"Omar"},{"family":"Huang","given":"Yinghui Jane"},{"family":"Yan","given":"Patrick"},{"family":"Nzingha","given":"Kito"},{"family":"Xu","given":"Wei"},{"family":"Amaravadi","given":"Ravi K."},{"family":"Xu","given":"Xiaowei"},{"family":"Karakousis","given":"Giorgos C."},{"family":"Mitchell","given":"Tara C."},{"family":"Schuchter","given":"Lynn M."},{"family":"Huang","given":"Alexander C."},{"family":"Wherry","given":"E. John"}],"issued":{"date-parts":[["2020",5,19]]}}},{"id":2432,"uris":["http://zotero.org/users/11968306/items/IDQCT3P9"],"itemData":{"id":2432,"type":"article-journal","abstract":"Exhausted CD8+ T (Tex) cells in chronic infections and cancer have limited effector function, high co-expression of inhibitory receptors and extensive transcriptional changes compared with effector (Teff) or memory (Tmem) CD8+ T cells. Tex cells are important clinical targets of checkpoint blockade and other immunotherapies. Epigenetically, Tex cells are a distinct immune subset, with a unique chromatin landscape compared with Teff and Tmem cells. However, the mechanisms that govern the transcriptional and epigenetic development of Tex cells remain unknown. Here we identify the HMG-box transcription factor TOX as a central regulator of Tex cells in mice. TOX is largely dispensable for the formation of Teff and Tmem cells, but it is critical for exhaustion: in the absence of TOX, Tex cells do not form. TOX is induced by calcineurin and NFAT2, and operates in a feed-forward loop in which it becomes calcineurin-independent and sustained in Tex cells. Robust expression of TOX therefore results in commitment to Tex cells by translating persistent stimulation into a distinct Tex cell transcriptional and epigenetic developmental program.","container-title":"Nature","DOI":"10.1038/s41586-019-1325-x","ISSN":"1476-4687","issue":"7764","journalAbbreviation":"Nature","language":"eng","note":"PMID: 31207603\nPMCID: PMC6713202","page":"211-218","source":"PubMed","title":"TOX transcriptionally and epigenetically programs CD8+ T cell exhaustion","volume":"571","author":[{"family":"Khan","given":"Omar"},{"family":"Giles","given":"Josephine R."},{"family":"McDonald","given":"Sierra"},{"family":"Manne","given":"Sasikanth"},{"family":"Ngiow","given":"Shin Foong"},{"family":"Patel","given":"Kunal P."},{"family":"Werner","given":"Michael T."},{"family":"Huang","given":"Alexander C."},{"family":"Alexander","given":"Katherine A."},{"family":"Wu","given":"Jennifer E."},{"family":"Attanasio","given":"John"},{"family":"Yan","given":"Patrick"},{"family":"George","given":"Sangeeth M."},{"family":"Bengsch","given":"Bertram"},{"family":"Staupe","given":"Ryan P."},{"family":"Donahue","given":"Greg"},{"family":"Xu","given":"Wei"},{"family":"Amaravadi","given":"Ravi K."},{"family":"Xu","given":"Xiaowei"},{"family":"Karakousis","given":"Giorgos C."},{"family":"Mitchell","given":"Tara C."},{"family":"Schuchter","given":"Lynn M."},{"family":"Kaye","given":"Jonathan"},{"family":"Berger","given":"Shelley L."},{"family":"Wherry","given":"E. John"}],"issued":{"date-parts":[["2019",7]]}}}],"schema":"https://github.com/citation-style-language/schema/raw/master/csl-citation.json"} </w:instrText>
            </w:r>
            <w:r w:rsidR="0032382A" w:rsidRPr="008052F5" w:rsidDel="005A2A86">
              <w:rPr>
                <w:rFonts w:ascii="Arial" w:hAnsi="Arial" w:cs="Arial"/>
              </w:rPr>
              <w:fldChar w:fldCharType="separate"/>
            </w:r>
            <w:r w:rsidR="00F60CCA" w:rsidRPr="008052F5">
              <w:rPr>
                <w:rFonts w:ascii="Arial" w:hAnsi="Arial" w:cs="Arial"/>
                <w:kern w:val="0"/>
                <w:sz w:val="22"/>
                <w:vertAlign w:val="superscript"/>
              </w:rPr>
              <w:t>44,45</w:t>
            </w:r>
            <w:r w:rsidR="0032382A" w:rsidRPr="008052F5" w:rsidDel="005A2A86">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20E1FBE9" w14:textId="5A999FA5" w:rsidR="00B27F43" w:rsidRPr="008052F5" w:rsidRDefault="00111A5E"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PRF1, GZMB, TCF</w:t>
            </w:r>
            <w:r w:rsidR="00F12BB5" w:rsidRPr="008052F5">
              <w:rPr>
                <w:rFonts w:ascii="Arial" w:eastAsia="Times New Roman" w:hAnsi="Arial" w:cs="Arial"/>
                <w:kern w:val="0"/>
                <w14:ligatures w14:val="none"/>
              </w:rPr>
              <w:t>7, TOX, PDCD1, LAG3, TIGIT, HAVCR2</w:t>
            </w:r>
          </w:p>
        </w:tc>
      </w:tr>
      <w:tr w:rsidR="008052F5" w:rsidRPr="008052F5" w14:paraId="65C9D34A"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7B385CCA" w14:textId="0F5FB3D9"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CD8_Eff</w:t>
            </w:r>
            <w:r w:rsidR="001E2D52" w:rsidRPr="008052F5">
              <w:rPr>
                <w:rFonts w:ascii="Arial" w:eastAsia="Times New Roman" w:hAnsi="Arial" w:cs="Arial"/>
                <w:kern w:val="0"/>
                <w14:ligatures w14:val="none"/>
              </w:rPr>
              <w:t xml:space="preserve"> </w:t>
            </w:r>
            <w:r w:rsidR="00AF3DD5" w:rsidRPr="008052F5" w:rsidDel="005A2A86">
              <w:rPr>
                <w:rFonts w:ascii="Arial" w:hAnsi="Arial" w:cs="Arial"/>
              </w:rPr>
              <w:fldChar w:fldCharType="begin"/>
            </w:r>
            <w:r w:rsidR="00F60CCA" w:rsidRPr="008052F5">
              <w:rPr>
                <w:rFonts w:ascii="Arial" w:hAnsi="Arial" w:cs="Arial"/>
              </w:rPr>
              <w:instrText xml:space="preserve"> ADDIN ZOTERO_ITEM CSL_CITATION {"citationID":"FhFSWjnE","properties":{"formattedCitation":"\\super 46,47\\nosupersub{}","plainCitation":"46,47","noteIndex":0},"citationItems":[{"id":2424,"uris":["http://zotero.org/users/11968306/items/DH3PBJUS"],"itemData":{"id":2424,"type":"article-journal","abstract":"Human T cells coordinate adaptive immunity in diverse anatomic compartments through production of cytokines and effector molecules, but it is unclear how tissue site influences T cell persistence and function. Here, we use single cell RNA-sequencing (scRNA-seq) to define the heterogeneity of human T cells isolated from lungs, lymph nodes, bone marrow and blood, and their functional responses following stimulation. Through analysis of &gt;50,000 resting and activated T cells, we reveal tissue T cell signatures in mucosal and lymphoid sites, and lineage-specific activation states across all sites including distinct effector states for CD8+ T cells and an interferon-response state for CD4+ T cells. Comparing scRNA-seq profiles of tumor-associated T cells to our dataset reveals predominant activated CD8+ compared to CD4+ T cell states within multiple tumor types. Our results therefore establish a high dimensional reference map of human T cell activation in health for analyzing T cells in disease.","container-title":"Nature Communications","DOI":"10.1038/s41467-019-12464-3","ISSN":"2041-1723","issue":"1","journalAbbreviation":"Nat Commun","language":"en","license":"2019 The Author(s)","note":"publisher: Nature Publishing Group","page":"4706","source":"www.nature.com","title":"Single-cell transcriptomics of human T cells reveals tissue and activation signatures in health and disease","volume":"10","author":[{"family":"Szabo","given":"Peter A."},{"family":"Levitin","given":"Hanna Mendes"},{"family":"Miron","given":"Michelle"},{"family":"Snyder","given":"Mark E."},{"family":"Senda","given":"Takashi"},{"family":"Yuan","given":"Jinzhou"},{"family":"Cheng","given":"Yim Ling"},{"family":"Bush","given":"Erin C."},{"family":"Dogra","given":"Pranay"},{"family":"Thapa","given":"Puspa"},{"family":"Farber","given":"Donna L."},{"family":"Sims","given":"Peter A."}],"issued":{"date-parts":[["2019",10,17]]}}},{"id":2426,"uris":["http://zotero.org/users/11968306/items/7WUDL3WE"],"itemData":{"id":2426,"type":"article-journal","abstract":"T cells provide critical immune surveillance to the central nervous system (CNS), and the cerebrospinal fluid (CSF) is thought to be a main route for their entry. Further characterization of the state of T cells in the CSF in healthy individuals is important for understanding how T cells provide protective immune surveillance without damaging the delicate environment of the CNS and providing tissue-specific context for understanding immune dysfunction in neuroinflammatory disease. Here, we have profiled T cells in the CSF of healthy human donors and have identified signatures related to cytotoxic capacity and tissue adaptation that are further exemplified in clonally expanded CSF T cells. By comparing profiles of clonally expanded T cells obtained from the CSF of patients with multiple sclerosis (MS) and healthy donors, we report that clonally expanded T cells from the CSF of patients with MS have heightened expression of genes related to T cell activation and cytotoxicity.","container-title":"Science Immunology","DOI":"10.1126/sciimmunol.abb8786","ISSN":"2470-9468","issue":"51","journalAbbreviation":"Sci Immunol","language":"eng","note":"PMID: 32948672\nPMCID: PMC8567322","page":"eabb8786","source":"PubMed","title":"Transcriptomic and clonal characterization of T cells in the human central nervous system","volume":"5","author":[{"family":"Pappalardo","given":"Jenna L."},{"family":"Zhang","given":"Le"},{"family":"Pecsok","given":"Maggie K."},{"family":"Perlman","given":"Kelly"},{"family":"Zografou","given":"Chrysoula"},{"family":"Raddassi","given":"Khadir"},{"family":"Abulaban","given":"Ahmad"},{"family":"Krishnaswamy","given":"Smita"},{"family":"Antel","given":"Jack"},{"family":"Dijk","given":"David","non-dropping-particle":"van"},{"family":"Hafler","given":"David A."}],"issued":{"date-parts":[["2020",9,18]]}}}],"schema":"https://github.com/citation-style-language/schema/raw/master/csl-citation.json"} </w:instrText>
            </w:r>
            <w:r w:rsidR="00AF3DD5" w:rsidRPr="008052F5" w:rsidDel="005A2A86">
              <w:rPr>
                <w:rFonts w:ascii="Arial" w:hAnsi="Arial" w:cs="Arial"/>
              </w:rPr>
              <w:fldChar w:fldCharType="separate"/>
            </w:r>
            <w:r w:rsidR="00F60CCA" w:rsidRPr="008052F5">
              <w:rPr>
                <w:rFonts w:ascii="Arial" w:hAnsi="Arial" w:cs="Arial"/>
                <w:kern w:val="0"/>
                <w:sz w:val="22"/>
                <w:vertAlign w:val="superscript"/>
              </w:rPr>
              <w:t>46,47</w:t>
            </w:r>
            <w:r w:rsidR="00AF3DD5" w:rsidRPr="008052F5" w:rsidDel="005A2A86">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3C4CB508" w14:textId="71C304C4" w:rsidR="00B27F43" w:rsidRPr="008052F5" w:rsidRDefault="002E36D1"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NKG7, GNLY, CCL5</w:t>
            </w:r>
          </w:p>
        </w:tc>
      </w:tr>
      <w:tr w:rsidR="008052F5" w:rsidRPr="008052F5" w14:paraId="7857A755"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0ABBA07E" w14:textId="3912FF5D" w:rsidR="00B27F43" w:rsidRPr="008052F5" w:rsidRDefault="003E56A7"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 xml:space="preserve">γδ </w:t>
            </w:r>
            <w:r w:rsidR="00B27F43" w:rsidRPr="008052F5">
              <w:rPr>
                <w:rFonts w:ascii="Arial" w:eastAsia="Times New Roman" w:hAnsi="Arial" w:cs="Arial"/>
                <w:kern w:val="0"/>
                <w14:ligatures w14:val="none"/>
              </w:rPr>
              <w:t>T</w:t>
            </w:r>
            <w:r w:rsidRPr="008052F5">
              <w:rPr>
                <w:rFonts w:ascii="Arial" w:eastAsia="Times New Roman" w:hAnsi="Arial" w:cs="Arial"/>
                <w:kern w:val="0"/>
                <w14:ligatures w14:val="none"/>
              </w:rPr>
              <w:t xml:space="preserve"> </w:t>
            </w:r>
            <w:r w:rsidRPr="008052F5">
              <w:rPr>
                <w:rFonts w:ascii="Arial" w:hAnsi="Arial" w:cs="Arial"/>
              </w:rPr>
              <w:fldChar w:fldCharType="begin"/>
            </w:r>
            <w:r w:rsidR="00F60CCA" w:rsidRPr="008052F5">
              <w:rPr>
                <w:rFonts w:ascii="Arial" w:hAnsi="Arial" w:cs="Arial"/>
              </w:rPr>
              <w:instrText xml:space="preserve"> ADDIN ZOTERO_ITEM CSL_CITATION {"citationID":"8XUOIcSq","properties":{"formattedCitation":"\\super 48\\uc0\\u8211{}50\\nosupersub{}","plainCitation":"48–50","noteIndex":0},"citationItems":[{"id":2457,"uris":["http://zotero.org/users/11968306/items/W6PIWLN5"],"itemData":{"id":2457,"type":"article-journal","abstract":"The intricacy of diseases, shaped by intrinsic processes like immune system exhaustion and hyperactivation, highlights the potential of immune renormalization as a promising strategy in disease treatment. In recent years, our primary focus has centered on γδ T cell-based immunotherapy, particularly pioneering the use of allogeneic Vδ2+ γδ T cells for treating late-stage solid tumors and tuberculosis patients. However, we recognize untapped potential and optimization opportunities to fully harness γδ T cell effector functions in immunotherapy. This review aims to thoroughly examine γδ T cell immunology and its role in diseases. Initially, we elucidate functional differences between γδ T cells and their αβ T cell counterparts. We also provide an overview of major milestones in γδ T cell research since their discovery in 1984. Furthermore, we delve into the intricate biological processes governing their origin, development, fate decisions, and T cell receptor (TCR) rearrangement within the thymus. By examining the mechanisms underlying the anti-tumor functions of distinct γδ T cell subtypes based on γδTCR structure or cytokine release, we emphasize the importance of accurate subtyping in understanding γδ T cell function. We also explore the microenvironment-dependent functions of γδ T cell subsets, particularly in infectious diseases, autoimmune conditions, hematological malignancies, and solid tumors. Finally, we propose future strategies for utilizing allogeneic γδ T cells in tumor immunotherapy. Through this comprehensive review, we aim to provide readers with a holistic understanding of the molecular fundamentals and translational research frontiers of γδ T cells, ultimately contributing to further advancements in harnessing the therapeutic potential of γδ T cells.","container-title":"Signal Transduction and Targeted Therapy","DOI":"10.1038/s41392-023-01653-8","ISSN":"2059-3635","issue":"1","journalAbbreviation":"Signal Transduct Target Ther","language":"eng","note":"PMID: 37989744\nPMCID: PMC10663641","page":"434","source":"PubMed","title":"γδ T cells: origin and fate, subsets, diseases and immunotherapy","title-short":"γδ T cells","volume":"8","author":[{"family":"Hu","given":"Yi"},{"family":"Hu","given":"Qinglin"},{"family":"Li","given":"Yongsheng"},{"family":"Lu","given":"Ligong"},{"family":"Xiang","given":"Zheng"},{"family":"Yin","given":"Zhinan"},{"family":"Kabelitz","given":"Dieter"},{"family":"Wu","given":"Yangzhe"}],"issued":{"date-parts":[["2023",11,22]]}}},{"id":2435,"uris":["http://zotero.org/users/11968306/items/V9ZYH6NY"],"itemData":{"id":2435,"type":"article-journal","abstract":"Mucosal-associated invariant T (MAIT) cells typically express a TRAV1-2+ semi-invariant TCRα that enables recognition of bacterial, mycobacterial, and fungal riboflavin metabolites presented by MR1. MAIT cells are associated with immune control of bacterial and mycobacterial infections in murine models. Here, we report that a population of pro-inflammatory TRAV1-2+ CD8+ T cells are present in the airways and lungs of healthy individuals and are enriched in bronchoalveolar fluid of patients with active pulmonary tuberculosis (TB). High-throughput T cell receptor analysis reveals oligoclonal expansions of canonical and donor-unique TRAV1-2+ MAIT-consistent TCRα sequences within this population. Some of these cells demonstrate MR1-restricted mycobacterial reactivity and phenotypes suggestive of MAIT cell identity. These findings demonstrate enrichment of TRAV1-2+ CD8+ T cells with MAIT or MAIT-like features in the airways during active TB and suggest a role for these cells in the human pulmonary immune response to Mycobacterium tuberculosis.","container-title":"Communications Biology","DOI":"10.1038/s42003-019-0442-2","ISSN":"2399-3642","issue":"1","source":"Oregon Health &amp; Science University","title":"TRAV1-2+ CD8+ T-cells including oligoconal expansions of MAIT cells are enriched in the airways in human tuberculosis","URL":"http://www.scopus.com/inward/record.url?scp=85071169228&amp;partnerID=8YFLogxK","volume":"2","author":[{"family":"Wong","given":"Emily B."},{"family":"Gold","given":"Marielle C."},{"family":"Meermeier","given":"Erin W."},{"family":"Xulu","given":"Bongiwe Z."},{"family":"Khuzwayo","given":"Sharon"},{"family":"Sullivan","given":"Zuri A."},{"family":"Mahyari","given":"Eisa"},{"family":"Rogers","given":"Zoe"},{"family":"Kløverpris","given":"Hénrik"},{"family":"Sharma","given":"Prabhat K."},{"family":"Worley","given":"Aneta H."},{"family":"Lalloo","given":"Umesh"},{"family":"Baijnath","given":"Prinita"},{"family":"Ambaram","given":"Anish"},{"family":"Naidoo","given":"Leon"},{"family":"Suleman","given":"Moosa"},{"family":"Madansein","given":"Rajhmun"},{"family":"McLaren","given":"James E."},{"family":"Ladell","given":"Kristin"},{"family":"Miners","given":"Kelly L."},{"family":"Price","given":"David A."},{"family":"Behar","given":"Samuel M."},{"family":"Nielsen","given":"Morten"},{"family":"Kasprowicz","given":"Victoria O."},{"family":"Leslie","given":"Alasdair"},{"family":"Bishai","given":"William R."},{"family":"Ndung’u","given":"Thumbi"},{"family":"Lewinsohn","given":"David M."}],"accessed":{"date-parts":[["2025",3,5]]},"issued":{"date-parts":[["2019",12,1]]}}},{"id":2438,"uris":["http://zotero.org/users/11968306/items/5L3RC62W"],"itemData":{"id":2438,"type":"article-journal","abstract":"Mucosal-associated invariant T (MAIT) cells are innate-like T-cells that recognize bacterial riboflavin metabolites. They are present in human blood but are abundant at barrier sites, including the liver, lungs, and kidneys, where they possess a CD69+ /CD103+/- tissue-resident phenotype. In renal tissue, MAIT cells likely defend against the ascending uropathogens responsible for urinary tract infections (UTIs), which are common, especially among renal transplant recipients (RTRs). Nevertheless, the functional role for MAIT cells in renal tissue and the influence of renal transplantation on MAIT cells remains unclear. Using multiparameter flow cytometry and the MR1-tetramer, we characterized MAIT cell phenotype and function in healthy renal tissue (n = 6), renal transplants explanted after allograft failure (n = 14) and in blood from healthy controls (n = 20) and RTRs before and 1-year after transplantation (n = 21). MAIT cells in renal tissue constitute a distinct CD69+ CD103+/- population that displays typical phenotypic features of tissue-resident T-cells and is skewed toward IL-2, GM-CSF, and IL-17A production upon stimulation. The circulating MAIT cell population was not decreased in number in RTRs pre- or post-transplantation. Tissue-resident MAIT cells in the kidney represent a functionally distinct population. This shows how MAIT cells in the kidney may be involved in the protection against microorganisms.","container-title":"European Journal of Immunology","DOI":"10.1002/eji.202048644","ISSN":"1521-4141","issue":"11","journalAbbreviation":"Eur J Immunol","language":"eng","note":"PMID: 32652598\nPMCID: PMC7689767","page":"1783-1797","source":"PubMed","title":"Tissue-resident mucosal-associated invariant T (MAIT) cells in the human kidney represent a functionally distinct subset","volume":"50","author":[{"family":"Terpstra","given":"Matty L."},{"family":"Remmerswaal","given":"Ester B. M."},{"family":"Bom-Baylon","given":"Nelly D.","non-dropping-particle":"van der"},{"family":"Sinnige","given":"Marjan J."},{"family":"Kers","given":"Jesper"},{"family":"Aalderen","given":"Michiel C.","non-dropping-particle":"van"},{"family":"Geerlings","given":"Suzanne E."},{"family":"Bemelman","given":"Frederike J."}],"issued":{"date-parts":[["2020",11]]}}}],"schema":"https://github.com/citation-style-language/schema/raw/master/csl-citation.json"} </w:instrText>
            </w:r>
            <w:r w:rsidRPr="008052F5">
              <w:rPr>
                <w:rFonts w:ascii="Arial" w:hAnsi="Arial" w:cs="Arial"/>
              </w:rPr>
              <w:fldChar w:fldCharType="separate"/>
            </w:r>
            <w:r w:rsidR="00F60CCA" w:rsidRPr="008052F5">
              <w:rPr>
                <w:rFonts w:ascii="Arial" w:hAnsi="Arial" w:cs="Arial"/>
                <w:kern w:val="0"/>
                <w:sz w:val="22"/>
                <w:vertAlign w:val="superscript"/>
              </w:rPr>
              <w:t>48–50</w:t>
            </w:r>
            <w:r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5B08B6BF" w14:textId="47003777" w:rsidR="00B27F43" w:rsidRPr="008052F5" w:rsidRDefault="00A56B29"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TRDC, TRGC1</w:t>
            </w:r>
          </w:p>
        </w:tc>
      </w:tr>
      <w:tr w:rsidR="008052F5" w:rsidRPr="008052F5" w14:paraId="3FF0BB33"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55BB61F0" w14:textId="78C04828"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CD4_Naive</w:t>
            </w:r>
            <w:r w:rsidR="00422D18" w:rsidRPr="008052F5">
              <w:rPr>
                <w:rFonts w:ascii="Arial" w:eastAsia="Times New Roman" w:hAnsi="Arial" w:cs="Arial"/>
                <w:kern w:val="0"/>
                <w14:ligatures w14:val="none"/>
              </w:rPr>
              <w:t xml:space="preserve"> </w:t>
            </w:r>
            <w:r w:rsidR="00CF64DC" w:rsidRPr="008052F5">
              <w:rPr>
                <w:rFonts w:ascii="Arial" w:hAnsi="Arial" w:cs="Arial"/>
              </w:rPr>
              <w:fldChar w:fldCharType="begin"/>
            </w:r>
            <w:r w:rsidR="00F60CCA" w:rsidRPr="008052F5">
              <w:rPr>
                <w:rFonts w:ascii="Arial" w:hAnsi="Arial" w:cs="Arial"/>
              </w:rPr>
              <w:instrText xml:space="preserve"> ADDIN ZOTERO_ITEM CSL_CITATION {"citationID":"CJItd3bw","properties":{"formattedCitation":"\\super 51,52\\nosupersub{}","plainCitation":"51,52","noteIndex":0},"citationItems":[{"id":2441,"uris":["http://zotero.org/users/11968306/items/DSTA5EW5"],"itemData":{"id":2441,"type":"article-journal","abstract":"T cell identity is established during thymic development, but how it is maintained in the periphery remains unknown. Here we show that ablating Tcf1 and Lef1 transcription factors in mature CD8+ T cells aberrantly induces genes from non-T cell lineages. Using high-throughput chromosome-conformation-capture sequencing, we demonstrate that Tcf1/Lef1 are important for maintaining three-dimensional genome organization at multiple scales in CD8+ T cells. Comprehensive network analyses coupled with genome-wide profiling of chromatin accessibility and Tcf1 occupancy show the direct impact of Tcf1/Lef1 on the T cell genome is to promote formation of extensively interconnected hubs through enforcing chromatin interaction and accessibility. The integrative mechanisms utilized by Tcf1/Lef1 underlie activation of T cell identity genes and repression of non-T lineage genes, conferring fine control of various T cell functionalities. These findings suggest that Tcf1/Lef1 control global genome organization and help form intricate chromatin-interacting hubs to facilitate promoter-enhancer/silencer contact, hence providing constant supervision of CD8+ T cell identity and function.","container-title":"Nature Communications","DOI":"10.1038/s41467-021-26159-1","ISSN":"2041-1723","issue":"1","journalAbbreviation":"Nat Commun","language":"en","license":"2021 The Author(s)","note":"publisher: Nature Publishing Group","page":"5863","source":"www.nature.com","title":"Tcf1 and Lef1 provide constant supervision to mature CD8+ T cell identity and function by organizing genomic architecture","volume":"12","author":[{"family":"Shan","given":"Qiang"},{"family":"Li","given":"Xiang"},{"family":"Chen","given":"Xia"},{"family":"Zeng","given":"Zhouhao"},{"family":"Zhu","given":"Shaoqi"},{"family":"Gai","given":"Kexin"},{"family":"Peng","given":"Weiqun"},{"family":"Xue","given":"Hai-Hui"}],"issued":{"date-parts":[["2021",10,6]]}}},{"id":2443,"uris":["http://zotero.org/users/11968306/items/GCTQNUXB"],"itemData":{"id":2443,"type":"article-journal","abstract":"The transcription factors TCF-1 and LEF-1 are essential for early T cell development, but their roles beyond the CD4(+)CD8(+) double-positive (DP) stage are unknown. By specific ablation of these factors in DP thymocytes, we demonstrated that deficiency in TCF-1 and LEF-1 diminished the output of CD4(+) T cells and redirected CD4(+) T cells to a CD8(+) T cell fate. The role of TCF-1 and LEF-1 in the CD4-versus-CD8 lineage 'choice' was mediated in part by direct positive regulation of the transcription factor Th-POK. Furthermore, loss of TCF-1 and LEF-1 unexpectedly caused derepression of CD4 expression in T cells committed to the CD8(+) lineage without affecting the expression of Runx transcription factors. Instead, TCF-1 physically interacted with Runx3 to cooperatively silence Cd4. Thus, TCF-1 and LEF-1 adopted distinct genetic 'wiring' to promote the CD4(+) T cell fate and establish CD8(+) T cell identity.","container-title":"Nature Immunology","DOI":"10.1038/ni.2897","ISSN":"1529-2916","issue":"7","journalAbbreviation":"Nat Immunol","language":"eng","note":"PMID: 24836425\nPMCID: PMC4064003","page":"646-656","source":"PubMed","title":"TCF-1 and LEF-1 act upstream of Th-POK to promote the CD4(+) T cell fate and interact with Runx3 to silence Cd4 in CD8(+) T cells","volume":"15","author":[{"family":"Steinke","given":"Farrah C."},{"family":"Yu","given":"Shuyang"},{"family":"Zhou","given":"Xinyuan"},{"family":"He","given":"Bing"},{"family":"Yang","given":"Wenjing"},{"family":"Zhou","given":"Bo"},{"family":"Kawamoto","given":"Hiroshi"},{"family":"Zhu","given":"Jun"},{"family":"Tan","given":"Kai"},{"family":"Xue","given":"Hai-Hui"}],"issued":{"date-parts":[["2014",7]]}}}],"schema":"https://github.com/citation-style-language/schema/raw/master/csl-citation.json"} </w:instrText>
            </w:r>
            <w:r w:rsidR="00CF64DC" w:rsidRPr="008052F5">
              <w:rPr>
                <w:rFonts w:ascii="Arial" w:hAnsi="Arial" w:cs="Arial"/>
              </w:rPr>
              <w:fldChar w:fldCharType="separate"/>
            </w:r>
            <w:r w:rsidR="00F60CCA" w:rsidRPr="008052F5">
              <w:rPr>
                <w:rFonts w:ascii="Arial" w:hAnsi="Arial" w:cs="Arial"/>
                <w:kern w:val="0"/>
                <w:vertAlign w:val="superscript"/>
              </w:rPr>
              <w:t>51,52</w:t>
            </w:r>
            <w:r w:rsidR="00CF64DC"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10A909FC" w14:textId="6DBDAFB2" w:rsidR="00B27F43" w:rsidRPr="008052F5" w:rsidRDefault="00A56B29"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CD4, TCF7, LEF1, CCR7, SELL</w:t>
            </w:r>
          </w:p>
        </w:tc>
      </w:tr>
      <w:tr w:rsidR="008052F5" w:rsidRPr="008052F5" w14:paraId="4570257D"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114A6547" w14:textId="0AD03E3C" w:rsidR="00B27F43" w:rsidRPr="008052F5" w:rsidRDefault="002B1934"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Stemlike</w:t>
            </w:r>
            <w:r w:rsidR="004276F4" w:rsidRPr="008052F5">
              <w:rPr>
                <w:rFonts w:ascii="Arial" w:eastAsia="Times New Roman" w:hAnsi="Arial" w:cs="Arial"/>
                <w:kern w:val="0"/>
                <w14:ligatures w14:val="none"/>
              </w:rPr>
              <w:t xml:space="preserve"> </w:t>
            </w:r>
            <w:r w:rsidR="004276F4" w:rsidRPr="008052F5">
              <w:rPr>
                <w:rFonts w:ascii="Arial" w:hAnsi="Arial" w:cs="Arial"/>
              </w:rPr>
              <w:fldChar w:fldCharType="begin"/>
            </w:r>
            <w:r w:rsidR="00F60CCA" w:rsidRPr="008052F5">
              <w:rPr>
                <w:rFonts w:ascii="Arial" w:hAnsi="Arial" w:cs="Arial"/>
              </w:rPr>
              <w:instrText xml:space="preserve"> ADDIN ZOTERO_ITEM CSL_CITATION {"citationID":"a1a1a2qo4hi","properties":{"formattedCitation":"\\super 53,54\\nosupersub{}","plainCitation":"53,54","noteIndex":0},"citationItems":[{"id":5084,"uris":["http://zotero.org/users/11968306/items/LYBMIXUJ"],"itemData":{"id":5084,"type":"article-journal","abstract":"FOXP1 is ubiquitously expressed in the human body and is implicated in both physiological and pathological processes including cancer. However, despite its importance the role of FOXP1 in T-cells has not been extensively studied. Although relatively few phenotypic and mechanistic details are available, FOXP1 role in T-cell quiescence and differentiation of CD4+ subsets has recently been established. FOXP1 prevents spontaneous T-cell activation, preserves memory potential, and regulates the development of follicular helper and regulatory T-cells. Moreover, there is growing evidence that FOXP1 also regulates T-cell exhaustion. Altogether this makes FOXP1 a crucial and highly undervalued regulator of T-cell homeostasis. In this review, we discuss the biology of FOXP1 with a focus on discoveries made in T-cells in recent years.","container-title":"Frontiers in Immunology","DOI":"10.3389/fimmu.2022.971045","ISSN":"1664-3224","journalAbbreviation":"Front Immunol","note":"PMID: 36268015\nPMCID: PMC9576946","page":"971045","source":"PubMed Central","title":"Neglected, yet significant role of FOXP1 in T-cell quiescence, differentiation and exhaustion","volume":"13","author":[{"family":"Kaminskiy","given":"Yaroslav"},{"family":"Kuznetsova","given":"Varvara"},{"family":"Kudriaeva","given":"Anna"},{"family":"Zmievskaya","given":"Ekaterina"},{"family":"Bulatov","given":"Emil"}],"issued":{"date-parts":[["2022",10,4]]}}},{"id":3272,"uris":["http://zotero.org/users/11968306/items/PDZV785R"],"itemData":{"id":3272,"type":"article-journal","container-title":"Nature Immunology","DOI":"10.1038/s41590-020-0791-5","ISSN":"1529-2908, 1529-2916","issue":"12","journalAbbreviation":"Nat Immunol","language":"en","page":"1552-1562","source":"DOI.org (Crossref)","title":"Two subsets of stem-like CD8+ memory T cell progenitors with distinct fate commitments in humans","volume":"21","author":[{"family":"Galletti","given":"Giovanni"},{"family":"De Simone","given":"Gabriele"},{"family":"Mazza","given":"Emilia M. C."},{"family":"Puccio","given":"Simone"},{"family":"Mezzanotte","given":"Claudia"},{"family":"Bi","given":"Timothy M."},{"family":"Davydov","given":"Alexey N."},{"family":"Metsger","given":"Maria"},{"family":"Scamardella","given":"Eloise"},{"family":"Alvisi","given":"Giorgia"},{"family":"De Paoli","given":"Federica"},{"family":"Zanon","given":"Veronica"},{"family":"Scarpa","given":"Alice"},{"family":"Camisa","given":"Barbara"},{"family":"Colombo","given":"Federico S."},{"family":"Anselmo","given":"Achille"},{"family":"Peano","given":"Clelia"},{"family":"Polletti","given":"Sara"},{"family":"Mavilio","given":"Domenico"},{"family":"Gattinoni","given":"Luca"},{"family":"Boi","given":"Shannon K."},{"family":"Youngblood","given":"Benjamin A."},{"family":"Jones","given":"Rhiannon E."},{"family":"Baird","given":"Duncan M."},{"family":"Gostick","given":"Emma"},{"family":"Llewellyn-Lacey","given":"Sian"},{"family":"Ladell","given":"Kristin"},{"family":"Price","given":"David A."},{"family":"Chudakov","given":"Dmitriy M."},{"family":"Newell","given":"Evan W."},{"family":"Casucci","given":"Monica"},{"family":"Lugli","given":"Enrico"}],"issued":{"date-parts":[["2020",12]]}}}],"schema":"https://github.com/citation-style-language/schema/raw/master/csl-citation.json"} </w:instrText>
            </w:r>
            <w:r w:rsidR="004276F4" w:rsidRPr="008052F5">
              <w:rPr>
                <w:rFonts w:ascii="Arial" w:hAnsi="Arial" w:cs="Arial"/>
              </w:rPr>
              <w:fldChar w:fldCharType="separate"/>
            </w:r>
            <w:r w:rsidR="00F60CCA" w:rsidRPr="008052F5">
              <w:rPr>
                <w:rFonts w:ascii="Arial" w:hAnsi="Arial" w:cs="Arial"/>
                <w:kern w:val="0"/>
                <w:sz w:val="22"/>
                <w:vertAlign w:val="superscript"/>
              </w:rPr>
              <w:t>53,54</w:t>
            </w:r>
            <w:r w:rsidR="004276F4"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6E1C0EC9" w14:textId="18D488A0" w:rsidR="00B27F43" w:rsidRPr="008052F5" w:rsidRDefault="004276F4"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 xml:space="preserve">CCR7, </w:t>
            </w:r>
            <w:r w:rsidR="00D96B5D" w:rsidRPr="008052F5">
              <w:rPr>
                <w:rFonts w:ascii="Arial" w:eastAsia="Times New Roman" w:hAnsi="Arial" w:cs="Arial"/>
                <w:kern w:val="0"/>
                <w14:ligatures w14:val="none"/>
              </w:rPr>
              <w:t>TCF7, FOXP1, (-TIGIT, -PDCD1, -LAG3, -TOX)</w:t>
            </w:r>
          </w:p>
        </w:tc>
      </w:tr>
      <w:tr w:rsidR="008052F5" w:rsidRPr="008052F5" w14:paraId="1E9A6D07" w14:textId="77777777" w:rsidTr="00B27F43">
        <w:trPr>
          <w:trHeight w:val="58"/>
        </w:trPr>
        <w:tc>
          <w:tcPr>
            <w:tcW w:w="3772" w:type="dxa"/>
            <w:tcBorders>
              <w:top w:val="single" w:sz="6" w:space="0" w:color="000000"/>
              <w:left w:val="single" w:sz="6" w:space="0" w:color="000000"/>
              <w:bottom w:val="single" w:sz="6" w:space="0" w:color="000000"/>
              <w:right w:val="single" w:sz="6" w:space="0" w:color="000000"/>
            </w:tcBorders>
          </w:tcPr>
          <w:p w14:paraId="7A5AF89C" w14:textId="23F5F6F3" w:rsidR="00B27F43" w:rsidRPr="008052F5" w:rsidRDefault="00B27F43"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MAIT</w:t>
            </w:r>
            <w:r w:rsidR="003E56A7" w:rsidRPr="008052F5">
              <w:rPr>
                <w:rFonts w:ascii="Arial" w:eastAsia="Times New Roman" w:hAnsi="Arial" w:cs="Arial"/>
                <w:kern w:val="0"/>
                <w14:ligatures w14:val="none"/>
              </w:rPr>
              <w:t xml:space="preserve"> </w:t>
            </w:r>
            <w:r w:rsidR="003E56A7" w:rsidRPr="008052F5">
              <w:rPr>
                <w:rFonts w:ascii="Arial" w:hAnsi="Arial" w:cs="Arial"/>
              </w:rPr>
              <w:fldChar w:fldCharType="begin"/>
            </w:r>
            <w:r w:rsidR="00F60CCA" w:rsidRPr="008052F5">
              <w:rPr>
                <w:rFonts w:ascii="Arial" w:hAnsi="Arial" w:cs="Arial"/>
              </w:rPr>
              <w:instrText xml:space="preserve"> ADDIN ZOTERO_ITEM CSL_CITATION {"citationID":"KFIX5RP2","properties":{"formattedCitation":"\\super 48\\uc0\\u8211{}50\\nosupersub{}","plainCitation":"48–50","noteIndex":0},"citationItems":[{"id":2457,"uris":["http://zotero.org/users/11968306/items/W6PIWLN5"],"itemData":{"id":2457,"type":"article-journal","abstract":"The intricacy of diseases, shaped by intrinsic processes like immune system exhaustion and hyperactivation, highlights the potential of immune renormalization as a promising strategy in disease treatment. In recent years, our primary focus has centered on γδ T cell-based immunotherapy, particularly pioneering the use of allogeneic Vδ2+ γδ T cells for treating late-stage solid tumors and tuberculosis patients. However, we recognize untapped potential and optimization opportunities to fully harness γδ T cell effector functions in immunotherapy. This review aims to thoroughly examine γδ T cell immunology and its role in diseases. Initially, we elucidate functional differences between γδ T cells and their αβ T cell counterparts. We also provide an overview of major milestones in γδ T cell research since their discovery in 1984. Furthermore, we delve into the intricate biological processes governing their origin, development, fate decisions, and T cell receptor (TCR) rearrangement within the thymus. By examining the mechanisms underlying the anti-tumor functions of distinct γδ T cell subtypes based on γδTCR structure or cytokine release, we emphasize the importance of accurate subtyping in understanding γδ T cell function. We also explore the microenvironment-dependent functions of γδ T cell subsets, particularly in infectious diseases, autoimmune conditions, hematological malignancies, and solid tumors. Finally, we propose future strategies for utilizing allogeneic γδ T cells in tumor immunotherapy. Through this comprehensive review, we aim to provide readers with a holistic understanding of the molecular fundamentals and translational research frontiers of γδ T cells, ultimately contributing to further advancements in harnessing the therapeutic potential of γδ T cells.","container-title":"Signal Transduction and Targeted Therapy","DOI":"10.1038/s41392-023-01653-8","ISSN":"2059-3635","issue":"1","journalAbbreviation":"Signal Transduct Target Ther","language":"eng","note":"PMID: 37989744\nPMCID: PMC10663641","page":"434","source":"PubMed","title":"γδ T cells: origin and fate, subsets, diseases and immunotherapy","title-short":"γδ T cells","volume":"8","author":[{"family":"Hu","given":"Yi"},{"family":"Hu","given":"Qinglin"},{"family":"Li","given":"Yongsheng"},{"family":"Lu","given":"Ligong"},{"family":"Xiang","given":"Zheng"},{"family":"Yin","given":"Zhinan"},{"family":"Kabelitz","given":"Dieter"},{"family":"Wu","given":"Yangzhe"}],"issued":{"date-parts":[["2023",11,22]]}}},{"id":2435,"uris":["http://zotero.org/users/11968306/items/V9ZYH6NY"],"itemData":{"id":2435,"type":"article-journal","abstract":"Mucosal-associated invariant T (MAIT) cells typically express a TRAV1-2+ semi-invariant TCRα that enables recognition of bacterial, mycobacterial, and fungal riboflavin metabolites presented by MR1. MAIT cells are associated with immune control of bacterial and mycobacterial infections in murine models. Here, we report that a population of pro-inflammatory TRAV1-2+ CD8+ T cells are present in the airways and lungs of healthy individuals and are enriched in bronchoalveolar fluid of patients with active pulmonary tuberculosis (TB). High-throughput T cell receptor analysis reveals oligoclonal expansions of canonical and donor-unique TRAV1-2+ MAIT-consistent TCRα sequences within this population. Some of these cells demonstrate MR1-restricted mycobacterial reactivity and phenotypes suggestive of MAIT cell identity. These findings demonstrate enrichment of TRAV1-2+ CD8+ T cells with MAIT or MAIT-like features in the airways during active TB and suggest a role for these cells in the human pulmonary immune response to Mycobacterium tuberculosis.","container-title":"Communications Biology","DOI":"10.1038/s42003-019-0442-2","ISSN":"2399-3642","issue":"1","source":"Oregon Health &amp; Science University","title":"TRAV1-2+ CD8+ T-cells including oligoconal expansions of MAIT cells are enriched in the airways in human tuberculosis","URL":"http://www.scopus.com/inward/record.url?scp=85071169228&amp;partnerID=8YFLogxK","volume":"2","author":[{"family":"Wong","given":"Emily B."},{"family":"Gold","given":"Marielle C."},{"family":"Meermeier","given":"Erin W."},{"family":"Xulu","given":"Bongiwe Z."},{"family":"Khuzwayo","given":"Sharon"},{"family":"Sullivan","given":"Zuri A."},{"family":"Mahyari","given":"Eisa"},{"family":"Rogers","given":"Zoe"},{"family":"Kløverpris","given":"Hénrik"},{"family":"Sharma","given":"Prabhat K."},{"family":"Worley","given":"Aneta H."},{"family":"Lalloo","given":"Umesh"},{"family":"Baijnath","given":"Prinita"},{"family":"Ambaram","given":"Anish"},{"family":"Naidoo","given":"Leon"},{"family":"Suleman","given":"Moosa"},{"family":"Madansein","given":"Rajhmun"},{"family":"McLaren","given":"James E."},{"family":"Ladell","given":"Kristin"},{"family":"Miners","given":"Kelly L."},{"family":"Price","given":"David A."},{"family":"Behar","given":"Samuel M."},{"family":"Nielsen","given":"Morten"},{"family":"Kasprowicz","given":"Victoria O."},{"family":"Leslie","given":"Alasdair"},{"family":"Bishai","given":"William R."},{"family":"Ndung’u","given":"Thumbi"},{"family":"Lewinsohn","given":"David M."}],"accessed":{"date-parts":[["2025",3,5]]},"issued":{"date-parts":[["2019",12,1]]}}},{"id":2438,"uris":["http://zotero.org/users/11968306/items/5L3RC62W"],"itemData":{"id":2438,"type":"article-journal","abstract":"Mucosal-associated invariant T (MAIT) cells are innate-like T-cells that recognize bacterial riboflavin metabolites. They are present in human blood but are abundant at barrier sites, including the liver, lungs, and kidneys, where they possess a CD69+ /CD103+/- tissue-resident phenotype. In renal tissue, MAIT cells likely defend against the ascending uropathogens responsible for urinary tract infections (UTIs), which are common, especially among renal transplant recipients (RTRs). Nevertheless, the functional role for MAIT cells in renal tissue and the influence of renal transplantation on MAIT cells remains unclear. Using multiparameter flow cytometry and the MR1-tetramer, we characterized MAIT cell phenotype and function in healthy renal tissue (n = 6), renal transplants explanted after allograft failure (n = 14) and in blood from healthy controls (n = 20) and RTRs before and 1-year after transplantation (n = 21). MAIT cells in renal tissue constitute a distinct CD69+ CD103+/- population that displays typical phenotypic features of tissue-resident T-cells and is skewed toward IL-2, GM-CSF, and IL-17A production upon stimulation. The circulating MAIT cell population was not decreased in number in RTRs pre- or post-transplantation. Tissue-resident MAIT cells in the kidney represent a functionally distinct population. This shows how MAIT cells in the kidney may be involved in the protection against microorganisms.","container-title":"European Journal of Immunology","DOI":"10.1002/eji.202048644","ISSN":"1521-4141","issue":"11","journalAbbreviation":"Eur J Immunol","language":"eng","note":"PMID: 32652598\nPMCID: PMC7689767","page":"1783-1797","source":"PubMed","title":"Tissue-resident mucosal-associated invariant T (MAIT) cells in the human kidney represent a functionally distinct subset","volume":"50","author":[{"family":"Terpstra","given":"Matty L."},{"family":"Remmerswaal","given":"Ester B. M."},{"family":"Bom-Baylon","given":"Nelly D.","non-dropping-particle":"van der"},{"family":"Sinnige","given":"Marjan J."},{"family":"Kers","given":"Jesper"},{"family":"Aalderen","given":"Michiel C.","non-dropping-particle":"van"},{"family":"Geerlings","given":"Suzanne E."},{"family":"Bemelman","given":"Frederike J."}],"issued":{"date-parts":[["2020",11]]}}}],"schema":"https://github.com/citation-style-language/schema/raw/master/csl-citation.json"} </w:instrText>
            </w:r>
            <w:r w:rsidR="003E56A7" w:rsidRPr="008052F5">
              <w:rPr>
                <w:rFonts w:ascii="Arial" w:hAnsi="Arial" w:cs="Arial"/>
              </w:rPr>
              <w:fldChar w:fldCharType="separate"/>
            </w:r>
            <w:r w:rsidR="00F60CCA" w:rsidRPr="008052F5">
              <w:rPr>
                <w:rFonts w:ascii="Arial" w:hAnsi="Arial" w:cs="Arial"/>
                <w:kern w:val="0"/>
                <w:sz w:val="22"/>
                <w:vertAlign w:val="superscript"/>
              </w:rPr>
              <w:t>48–50</w:t>
            </w:r>
            <w:r w:rsidR="003E56A7"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0F006E76" w14:textId="6A0A016A" w:rsidR="00B27F43" w:rsidRPr="008052F5" w:rsidRDefault="00EE68A7"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KLRG1, TRAV1, TRAV2</w:t>
            </w:r>
          </w:p>
        </w:tc>
      </w:tr>
      <w:tr w:rsidR="008052F5" w:rsidRPr="008052F5" w14:paraId="03042D49"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255555F3" w14:textId="39E05E35" w:rsidR="00B27F43" w:rsidRPr="008052F5" w:rsidRDefault="002B1934"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Th1</w:t>
            </w:r>
            <w:r w:rsidR="00CB39E1" w:rsidRPr="008052F5">
              <w:rPr>
                <w:rFonts w:ascii="Arial" w:eastAsia="Times New Roman" w:hAnsi="Arial" w:cs="Arial"/>
                <w:kern w:val="0"/>
                <w14:ligatures w14:val="none"/>
              </w:rPr>
              <w:t xml:space="preserve"> </w:t>
            </w:r>
            <w:r w:rsidR="00CB39E1" w:rsidRPr="008052F5">
              <w:rPr>
                <w:rFonts w:ascii="Arial" w:hAnsi="Arial" w:cs="Arial"/>
              </w:rPr>
              <w:fldChar w:fldCharType="begin"/>
            </w:r>
            <w:r w:rsidR="00F60CCA" w:rsidRPr="008052F5">
              <w:rPr>
                <w:rFonts w:ascii="Arial" w:hAnsi="Arial" w:cs="Arial"/>
              </w:rPr>
              <w:instrText xml:space="preserve"> ADDIN ZOTERO_ITEM CSL_CITATION {"citationID":"Z8jekHph","properties":{"formattedCitation":"\\super 55\\uc0\\u8211{}57\\nosupersub{}","plainCitation":"55–57","noteIndex":0},"citationItems":[{"id":2448,"uris":["http://zotero.org/users/11968306/items/UDWG64TL"],"itemData":{"id":2448,"type":"article-journal","abstract":"Upon encounter with antigen, CD4(+) T cells differentiate into effector T(h) subsets with distinctive functions that are related to their unique cytokine profiles and anatomical locations. One of the most important T(h) functions is to provide signals to developing B cells that induce specific and appropriate antibody responses. The major CD4(+) T cell subset that helps B cells is the T follicular helper (T(FH)) cell, whose expression of the chemokine receptor CXCR5 [chemokine (C-X-C motif) receptor 5] serves to localize this cell to developing germinal centers (GCs) where it provides instructive signals leading to Ig class switching and somatic mutation. T(FH) cells produce high levels of IL-21, a cytokine that is critical for GC formation and also for the generation of T(FH) cells. Although T(FH) cells have been found to produce cytokines characteristic of other T(h) subsets, they represent a distinct lineage whose development is driven by the transcription factor B-cell CLL lymphoma-6 (BCL6). Consistent with their critical role in the generation of antibody responses, dysregulated T(FH) function has been associated with the development of systemic autoimmunity. Here, we review the role of IL-21 in the regulation of normal T(FH) development and function as well as in progression of autoimmune responses.","container-title":"International Immunology","DOI":"10.1093/intimm/dxp112","ISSN":"1460-2377","issue":"1","journalAbbreviation":"Int Immunol","language":"eng","note":"PMID: 19933709\nPMCID: PMC2795365","page":"7-12","source":"PubMed","title":"IL-21 and T follicular helper cells","volume":"22","author":[{"family":"Spolski","given":"Rosanne"},{"family":"Leonard","given":"Warren J."}],"issued":{"date-parts":[["2010",1]]}}},{"id":2450,"uris":["http://zotero.org/users/11968306/items/N99RHW6V"],"itemData":{"id":2450,"type":"article-journal","abstract":"Helper T cells are crucial for maintaining proper immune responses. Yet, they have an undefined relationship with one of the most potent immune stimulatory cytokines, granulocyte macrophage-colony-stimulating factor (GM-CSF). By depleting major cytokines during the differentiation of CD4(+) T cells in vitro, we derived cells that were found to produce large amounts of GM-CSF, but little of the cytokines produced by other helper T subsets. By their secretion of GM-CSF, this novel subset of helper T cells (which we have termed ThGM cells) promoted the production of cytokines by other T-cell subtypes, including type 1 helper T cell (Th1), type 2 helper T cell (Th2), type 1 cytotoxic T cell (Tc1), type 2 cytotoxic T cell (Tc2), and naive T cells, as evidenced by the fact that antibody neutralization of GM-CSF abolished this effect. ThGM cells were found to be highly prone to activation-induced cell death (AICD). Inhibitors of TRAIL or granzymes could not block AICD in ThGM cells, whereas inhibition of FasL/Fas interaction partially rescued ThGM cells from AICD. Thus, ThGM cells are a novel subpopulation of T helper cells that produce abundant GM-CSF, exhibit exquisite susceptibility to apoptosis, and therefore play a pivotal role in the regulation of the early stages of immune responses.","container-title":"Cell Death and Differentiation","DOI":"10.1038/cdd.2013.130","ISSN":"1476-5403","issue":"12","journalAbbreviation":"Cell Death Differ","language":"eng","note":"PMID: 24076588\nPMCID: PMC3824596","page":"1731-1741","source":"PubMed","title":"A novel subset of helper T cells promotes immune responses by secreting GM-CSF","volume":"20","author":[{"family":"Zhang","given":"J."},{"family":"Roberts","given":"A. I."},{"family":"Liu","given":"C."},{"family":"Ren","given":"G."},{"family":"Xu","given":"G."},{"family":"Zhang","given":"L."},{"family":"Devadas","given":"S."},{"family":"Shi","given":"Yufang"}],"issued":{"date-parts":[["2013",12]]}}},{"id":2455,"uris":["http://zotero.org/users/11968306/items/K3EHPKVJ"],"itemData":{"id":2455,"type":"article-journal","abstract":"Objective To demonstrate the immune landscape of blood and synovial cells in the setting of ankylosing spondylitis (AS) through the analysis of both single-cell transcriptome and surface protein expression, and to unveil the molecular characteristics of pathogenic Th17 cells. Methods This study included 40 individuals with active AS, 20 individuals with stable AS, 40 patients with active rheumatoid arthritis, and 20 healthy controls. Surface phenotype and intracellular staining were assessed using flow cytometry after peripheral blood mononuclear cells and synovial fluid mononuclear cells were stimulated with T cell receptor. Single-cell transcriptomes of 6 patients with active AS were studied along with cellular indexing of transcriptomes and epitopes by sequencing. We also assessed the outcome of targeting OX40 and glucocorticoid-induced tumor necrosis factor receptor (GITR) on the surface of Th17 cells in a mouse model of curdlan-injected SKG mice in which anti-GITR ligand and/or anti-OX40 ligand were used. Results We identified pathogenic Th17 cells as polyfunctional interleukin-17A (IL-17A)– and interferon-γ (IFNγ)–producing memory CD4+ T cells, with clinically supportive evidence for their pathogenic roles at sites of inflammation in AS. Transcriptome and flow cytometric analyses revealed that the coexpression of TNFRSF4 (OX40) and TNFRSF18 (GITR) is increased in pathogenic Th17 cells. Suppression of ligand receptor interactions in vivo through OX40 and GITR effectively suppressed clinical arthritis and decreased pathogenic Th17 cells in the curdlan-injected SKG mouse model. Conclusion Our results have implications for the understanding of pathogenic Th17 cells in AS patients and suggest potential therapeutic targets.","container-title":"Arthritis &amp; Rheumatology","DOI":"10.1002/art.42476","ISSN":"2326-5205","issue":"7","language":"en","license":"© 2023 The Authors. Arthritis &amp; Rheumatology published by Wiley Periodicals LLC on behalf of American College of Rheumatology.","note":"_eprint: https://onlinelibrary.wiley.com/doi/pdf/10.1002/art.42476","page":"1176-1186","source":"Wiley Online Library","title":"Analysis of Single-Cell Transcriptome and Surface Protein Expression in Ankylosing Spondylitis Identifies OX40-Positive and Glucocorticoid-Induced Tumor Necrosis Factor Receptor–Positive Pathogenic Th17 Cells","volume":"75","author":[{"family":"Yi","given":"Kijong"},{"family":"Jo","given":"Sungsin"},{"family":"Song","given":"Woogil"},{"family":"Lee","given":"Hae-In"},{"family":"Kim","given":"Hui-Ju"},{"family":"Kang","given":"Ji-Hyoun"},{"family":"Kim","given":"Seon Uk"},{"family":"Lee","given":"Seung Hoon"},{"family":"Park","given":"Jinsung"},{"family":"Kim","given":"Tae-Hwan"},{"family":"Lee","given":"Jeong Seok"},{"family":"Lee","given":"Eun Young"},{"family":"Kim","given":"Tae-Jong"}],"issued":{"date-parts":[["2023"]]}}}],"schema":"https://github.com/citation-style-language/schema/raw/master/csl-citation.json"} </w:instrText>
            </w:r>
            <w:r w:rsidR="00CB39E1" w:rsidRPr="008052F5">
              <w:rPr>
                <w:rFonts w:ascii="Arial" w:hAnsi="Arial" w:cs="Arial"/>
              </w:rPr>
              <w:fldChar w:fldCharType="separate"/>
            </w:r>
            <w:r w:rsidR="00F60CCA" w:rsidRPr="008052F5">
              <w:rPr>
                <w:rFonts w:ascii="Arial" w:hAnsi="Arial" w:cs="Arial"/>
                <w:kern w:val="0"/>
                <w:vertAlign w:val="superscript"/>
              </w:rPr>
              <w:t>55–57</w:t>
            </w:r>
            <w:r w:rsidR="00CB39E1"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55CF0BCA" w14:textId="203C94E9" w:rsidR="00B27F43" w:rsidRPr="008052F5" w:rsidRDefault="009D3986"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 xml:space="preserve">CD4, </w:t>
            </w:r>
            <w:r w:rsidR="007522FF" w:rsidRPr="008052F5">
              <w:rPr>
                <w:rFonts w:ascii="Arial" w:eastAsia="Times New Roman" w:hAnsi="Arial" w:cs="Arial"/>
                <w:kern w:val="0"/>
                <w14:ligatures w14:val="none"/>
              </w:rPr>
              <w:t>RUNX3, ANXA3</w:t>
            </w:r>
            <w:r w:rsidR="00EE656A" w:rsidRPr="008052F5">
              <w:rPr>
                <w:rFonts w:ascii="Arial" w:eastAsia="Times New Roman" w:hAnsi="Arial" w:cs="Arial"/>
                <w:kern w:val="0"/>
                <w14:ligatures w14:val="none"/>
              </w:rPr>
              <w:t>, IFNG</w:t>
            </w:r>
          </w:p>
        </w:tc>
      </w:tr>
      <w:tr w:rsidR="008052F5" w:rsidRPr="008052F5" w14:paraId="4438A5FC"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4D5B2B50" w14:textId="14EED731" w:rsidR="002B1934" w:rsidRPr="008052F5" w:rsidDel="002B1934" w:rsidRDefault="002B1934" w:rsidP="00F73391">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Th2</w:t>
            </w:r>
            <w:r w:rsidR="00CB39E1" w:rsidRPr="008052F5">
              <w:rPr>
                <w:rFonts w:ascii="Arial" w:eastAsia="Times New Roman" w:hAnsi="Arial" w:cs="Arial"/>
                <w:kern w:val="0"/>
                <w14:ligatures w14:val="none"/>
              </w:rPr>
              <w:t xml:space="preserve"> </w:t>
            </w:r>
            <w:r w:rsidR="00CB39E1" w:rsidRPr="008052F5">
              <w:rPr>
                <w:rFonts w:ascii="Arial" w:hAnsi="Arial" w:cs="Arial"/>
              </w:rPr>
              <w:fldChar w:fldCharType="begin"/>
            </w:r>
            <w:r w:rsidR="00F60CCA" w:rsidRPr="008052F5">
              <w:rPr>
                <w:rFonts w:ascii="Arial" w:hAnsi="Arial" w:cs="Arial"/>
              </w:rPr>
              <w:instrText xml:space="preserve"> ADDIN ZOTERO_ITEM CSL_CITATION {"citationID":"RZpkNA6G","properties":{"formattedCitation":"\\super 55\\uc0\\u8211{}57\\nosupersub{}","plainCitation":"55–57","noteIndex":0},"citationItems":[{"id":2448,"uris":["http://zotero.org/users/11968306/items/UDWG64TL"],"itemData":{"id":2448,"type":"article-journal","abstract":"Upon encounter with antigen, CD4(+) T cells differentiate into effector T(h) subsets with distinctive functions that are related to their unique cytokine profiles and anatomical locations. One of the most important T(h) functions is to provide signals to developing B cells that induce specific and appropriate antibody responses. The major CD4(+) T cell subset that helps B cells is the T follicular helper (T(FH)) cell, whose expression of the chemokine receptor CXCR5 [chemokine (C-X-C motif) receptor 5] serves to localize this cell to developing germinal centers (GCs) where it provides instructive signals leading to Ig class switching and somatic mutation. T(FH) cells produce high levels of IL-21, a cytokine that is critical for GC formation and also for the generation of T(FH) cells. Although T(FH) cells have been found to produce cytokines characteristic of other T(h) subsets, they represent a distinct lineage whose development is driven by the transcription factor B-cell CLL lymphoma-6 (BCL6). Consistent with their critical role in the generation of antibody responses, dysregulated T(FH) function has been associated with the development of systemic autoimmunity. Here, we review the role of IL-21 in the regulation of normal T(FH) development and function as well as in progression of autoimmune responses.","container-title":"International Immunology","DOI":"10.1093/intimm/dxp112","ISSN":"1460-2377","issue":"1","journalAbbreviation":"Int Immunol","language":"eng","note":"PMID: 19933709\nPMCID: PMC2795365","page":"7-12","source":"PubMed","title":"IL-21 and T follicular helper cells","volume":"22","author":[{"family":"Spolski","given":"Rosanne"},{"family":"Leonard","given":"Warren J."}],"issued":{"date-parts":[["2010",1]]}}},{"id":2450,"uris":["http://zotero.org/users/11968306/items/N99RHW6V"],"itemData":{"id":2450,"type":"article-journal","abstract":"Helper T cells are crucial for maintaining proper immune responses. Yet, they have an undefined relationship with one of the most potent immune stimulatory cytokines, granulocyte macrophage-colony-stimulating factor (GM-CSF). By depleting major cytokines during the differentiation of CD4(+) T cells in vitro, we derived cells that were found to produce large amounts of GM-CSF, but little of the cytokines produced by other helper T subsets. By their secretion of GM-CSF, this novel subset of helper T cells (which we have termed ThGM cells) promoted the production of cytokines by other T-cell subtypes, including type 1 helper T cell (Th1), type 2 helper T cell (Th2), type 1 cytotoxic T cell (Tc1), type 2 cytotoxic T cell (Tc2), and naive T cells, as evidenced by the fact that antibody neutralization of GM-CSF abolished this effect. ThGM cells were found to be highly prone to activation-induced cell death (AICD). Inhibitors of TRAIL or granzymes could not block AICD in ThGM cells, whereas inhibition of FasL/Fas interaction partially rescued ThGM cells from AICD. Thus, ThGM cells are a novel subpopulation of T helper cells that produce abundant GM-CSF, exhibit exquisite susceptibility to apoptosis, and therefore play a pivotal role in the regulation of the early stages of immune responses.","container-title":"Cell Death and Differentiation","DOI":"10.1038/cdd.2013.130","ISSN":"1476-5403","issue":"12","journalAbbreviation":"Cell Death Differ","language":"eng","note":"PMID: 24076588\nPMCID: PMC3824596","page":"1731-1741","source":"PubMed","title":"A novel subset of helper T cells promotes immune responses by secreting GM-CSF","volume":"20","author":[{"family":"Zhang","given":"J."},{"family":"Roberts","given":"A. I."},{"family":"Liu","given":"C."},{"family":"Ren","given":"G."},{"family":"Xu","given":"G."},{"family":"Zhang","given":"L."},{"family":"Devadas","given":"S."},{"family":"Shi","given":"Yufang"}],"issued":{"date-parts":[["2013",12]]}}},{"id":2455,"uris":["http://zotero.org/users/11968306/items/K3EHPKVJ"],"itemData":{"id":2455,"type":"article-journal","abstract":"Objective To demonstrate the immune landscape of blood and synovial cells in the setting of ankylosing spondylitis (AS) through the analysis of both single-cell transcriptome and surface protein expression, and to unveil the molecular characteristics of pathogenic Th17 cells. Methods This study included 40 individuals with active AS, 20 individuals with stable AS, 40 patients with active rheumatoid arthritis, and 20 healthy controls. Surface phenotype and intracellular staining were assessed using flow cytometry after peripheral blood mononuclear cells and synovial fluid mononuclear cells were stimulated with T cell receptor. Single-cell transcriptomes of 6 patients with active AS were studied along with cellular indexing of transcriptomes and epitopes by sequencing. We also assessed the outcome of targeting OX40 and glucocorticoid-induced tumor necrosis factor receptor (GITR) on the surface of Th17 cells in a mouse model of curdlan-injected SKG mice in which anti-GITR ligand and/or anti-OX40 ligand were used. Results We identified pathogenic Th17 cells as polyfunctional interleukin-17A (IL-17A)– and interferon-γ (IFNγ)–producing memory CD4+ T cells, with clinically supportive evidence for their pathogenic roles at sites of inflammation in AS. Transcriptome and flow cytometric analyses revealed that the coexpression of TNFRSF4 (OX40) and TNFRSF18 (GITR) is increased in pathogenic Th17 cells. Suppression of ligand receptor interactions in vivo through OX40 and GITR effectively suppressed clinical arthritis and decreased pathogenic Th17 cells in the curdlan-injected SKG mouse model. Conclusion Our results have implications for the understanding of pathogenic Th17 cells in AS patients and suggest potential therapeutic targets.","container-title":"Arthritis &amp; Rheumatology","DOI":"10.1002/art.42476","ISSN":"2326-5205","issue":"7","language":"en","license":"© 2023 The Authors. Arthritis &amp; Rheumatology published by Wiley Periodicals LLC on behalf of American College of Rheumatology.","note":"_eprint: https://onlinelibrary.wiley.com/doi/pdf/10.1002/art.42476","page":"1176-1186","source":"Wiley Online Library","title":"Analysis of Single-Cell Transcriptome and Surface Protein Expression in Ankylosing Spondylitis Identifies OX40-Positive and Glucocorticoid-Induced Tumor Necrosis Factor Receptor–Positive Pathogenic Th17 Cells","volume":"75","author":[{"family":"Yi","given":"Kijong"},{"family":"Jo","given":"Sungsin"},{"family":"Song","given":"Woogil"},{"family":"Lee","given":"Hae-In"},{"family":"Kim","given":"Hui-Ju"},{"family":"Kang","given":"Ji-Hyoun"},{"family":"Kim","given":"Seon Uk"},{"family":"Lee","given":"Seung Hoon"},{"family":"Park","given":"Jinsung"},{"family":"Kim","given":"Tae-Hwan"},{"family":"Lee","given":"Jeong Seok"},{"family":"Lee","given":"Eun Young"},{"family":"Kim","given":"Tae-Jong"}],"issued":{"date-parts":[["2023"]]}}}],"schema":"https://github.com/citation-style-language/schema/raw/master/csl-citation.json"} </w:instrText>
            </w:r>
            <w:r w:rsidR="00CB39E1" w:rsidRPr="008052F5">
              <w:rPr>
                <w:rFonts w:ascii="Arial" w:hAnsi="Arial" w:cs="Arial"/>
              </w:rPr>
              <w:fldChar w:fldCharType="separate"/>
            </w:r>
            <w:r w:rsidR="00F60CCA" w:rsidRPr="008052F5">
              <w:rPr>
                <w:rFonts w:ascii="Arial" w:hAnsi="Arial" w:cs="Arial"/>
                <w:kern w:val="0"/>
                <w:vertAlign w:val="superscript"/>
              </w:rPr>
              <w:t>55–57</w:t>
            </w:r>
            <w:r w:rsidR="00CB39E1" w:rsidRPr="008052F5">
              <w:rPr>
                <w:rFonts w:ascii="Arial" w:hAnsi="Arial" w:cs="Arial"/>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3D997C0C" w14:textId="17967453" w:rsidR="002B1934" w:rsidRPr="008052F5" w:rsidRDefault="009D3986" w:rsidP="00F73391">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 xml:space="preserve">CD4, </w:t>
            </w:r>
            <w:r w:rsidR="00EE656A" w:rsidRPr="008052F5">
              <w:rPr>
                <w:rFonts w:ascii="Arial" w:eastAsia="Times New Roman" w:hAnsi="Arial" w:cs="Arial"/>
                <w:kern w:val="0"/>
                <w14:ligatures w14:val="none"/>
              </w:rPr>
              <w:t>LIMA1, IL4R, GATA3</w:t>
            </w:r>
          </w:p>
        </w:tc>
      </w:tr>
      <w:tr w:rsidR="008052F5" w:rsidRPr="008052F5" w14:paraId="3F36AC5B" w14:textId="77777777" w:rsidTr="006D5A67">
        <w:trPr>
          <w:trHeight w:val="300"/>
        </w:trPr>
        <w:tc>
          <w:tcPr>
            <w:tcW w:w="9532"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BAA4C1D" w14:textId="3A42FDE5" w:rsidR="0024408B" w:rsidRPr="008052F5" w:rsidRDefault="0024408B"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Myeloid cell markers</w:t>
            </w:r>
            <w:r w:rsidR="00A55551" w:rsidRPr="008052F5">
              <w:rPr>
                <w:rFonts w:ascii="Arial" w:eastAsia="Times New Roman" w:hAnsi="Arial" w:cs="Arial"/>
                <w:kern w:val="0"/>
                <w14:ligatures w14:val="none"/>
              </w:rPr>
              <w:fldChar w:fldCharType="begin"/>
            </w:r>
            <w:r w:rsidR="00F93D2D" w:rsidRPr="008052F5">
              <w:rPr>
                <w:rFonts w:ascii="Arial" w:eastAsia="Times New Roman" w:hAnsi="Arial" w:cs="Arial"/>
                <w:kern w:val="0"/>
                <w14:ligatures w14:val="none"/>
              </w:rPr>
              <w:instrText xml:space="preserve"> ADDIN ZOTERO_ITEM CSL_CITATION {"citationID":"owxnFI9u","properties":{"formattedCitation":"\\super 58\\uc0\\u8211{}60\\nosupersub{}","plainCitation":"58–60","noteIndex":0},"citationItems":[{"id":5123,"uris":["http://zotero.org/users/11968306/items/HZRMMEBP"],"itemData":{"id":5123,"type":"article-journal","abstract":"Tumor-associated myeloid-derived cells (MDCs) significantly impact cancer prognosis and treatment responses due to their remarkable plasticity and tumorigenic behaviors. Here, we integrate single-cell RNA-sequencing data from different cancer types, identifying 29 MDC subpopulations within the tumor microenvironment. Our analysis reveals abnormally expanded MDC subpopulations across various tumors and distinguishes cell states that have often been grouped together, such as TREM2+ and FOLR2+ subpopulations. Using deconvolution approaches, we identify five subpopulations as independent prognostic markers, including states co-expressing TREM2 and PD-1, and FOLR2 and PDL-2. Additionally, TREM2 alone does not reliably predict cancer prognosis, as other TREM2+ macrophages show varied associations with prognosis depending on local cues. Validation in independent cohorts confirms that FOLR2-expressing macrophages correlate with poor clinical outcomes in ovarian and triple-negative breast cancers. This comprehensive MDC atlas offers valuable insights and a foundation for futher analyses, advancing strategies for treating solid cancers.","container-title":"Nature Communications","DOI":"10.1038/s41467-024-49916-4","ISSN":"2041-1723","issue":"1","journalAbbreviation":"Nat Commun","language":"en","license":"2024 The Author(s)","note":"publisher: Nature Publishing Group","page":"5694","source":"www.nature.com","title":"Single-cell resolution characterization of myeloid-derived cell states with implication in cancer outcome","volume":"15","author":[{"family":"Guimarães","given":"Gabriela Rapozo"},{"family":"Maklouf","given":"Giovanna Resk"},{"family":"Teixeira","given":"Cristiane Esteves"},{"family":"Oliveira Santos","given":"Leandro","non-dropping-particle":"de"},{"family":"Tessarollo","given":"Nayara Gusmão"},{"family":"Toledo","given":"Nayara Evelin","non-dropping-particle":"de"},{"family":"Serain","given":"Alessandra Freitas"},{"family":"Lanna","given":"Cristóvão Antunes","non-dropping-particle":"de"},{"family":"Pretti","given":"Marco Antônio"},{"family":"Cruz","given":"Jéssica Gonçalves Vieira","non-dropping-particle":"da"},{"family":"Falchetti","given":"Marcelo"},{"family":"Dimas","given":"Mylla M."},{"family":"Filgueiras","given":"Igor Salerno"},{"family":"Cabral-Marques","given":"Otavio"},{"family":"Ramos","given":"Rodrigo Nalio"},{"family":"Macedo","given":"Fabiane Carvalho","non-dropping-particle":"de"},{"family":"Rodrigues","given":"Fabiana Resende"},{"family":"Bastos","given":"Nina Carrossini"},{"family":"Silva","given":"Jesse Lopes","non-dropping-particle":"da"},{"family":"Lummertz da Rocha","given":"Edroaldo"},{"family":"Chaves","given":"Cláudia Bessa Pereira"},{"family":"Melo","given":"Andreia Cristina","non-dropping-particle":"de"},{"family":"Moraes-Vieira","given":"Pedro M. M."},{"family":"Mori","given":"Marcelo A."},{"family":"Boroni","given":"Mariana"}],"issued":{"date-parts":[["2024",7,7]]}}},{"id":5125,"uris":["http://zotero.org/users/11968306/items/SCNL3YTQ"],"itemData":{"id":5125,"type":"article-journal","abstract":"Tumor-infiltrating myeloid cells (TIMs) are key regulators in tumor progression, but the similarity and distinction of their fundamental properties across different tumors remain elusive. Here, by performing a pan-cancer analysis of single myeloid cells from 210 patients across 15 human cancer types, we identified distinct features of TIMs across cancer types. Mast cells in nasopharyngeal cancer were found to be associated with better prognosis and exhibited an anti-tumor phenotype with a high ratio of TNF+/VEGFA+ cells. Systematic comparison between cDC1- and cDC2-derived LAMP3+ cDCs revealed their differences in transcription factors and external stimulus. Additionally, pro-angiogenic tumor-associated macrophages (TAMs) were characterized with diverse markers across different cancer types, and the composition of TIMs appeared to be associated with certain features of somatic mutations and gene expressions. Our results provide a systematic view of the highly heterogeneous TIMs and suggest future avenues for rational, targeted immunotherapies.","container-title":"Cell","DOI":"10.1016/j.cell.2021.01.010","ISSN":"0092-8674","issue":"3","journalAbbreviation":"Cell","page":"792-809.e23","source":"ScienceDirect","title":"A pan-cancer single-cell transcriptional atlas of tumor infiltrating myeloid cells","volume":"184","author":[{"family":"Cheng","given":"Sijin"},{"family":"Li","given":"Ziyi"},{"family":"Gao","given":"Ranran"},{"family":"Xing","given":"Baocai"},{"family":"Gao","given":"Yunong"},{"family":"Yang","given":"Yu"},{"family":"Qin","given":"Shishang"},{"family":"Zhang","given":"Lei"},{"family":"Ouyang","given":"Hanqiang"},{"family":"Du","given":"Peng"},{"family":"Jiang","given":"Liang"},{"family":"Zhang","given":"Bin"},{"family":"Yang","given":"Yue"},{"family":"Wang","given":"Xiliang"},{"family":"Ren","given":"Xianwen"},{"family":"Bei","given":"Jin-Xin"},{"family":"Hu","given":"Xueda"},{"family":"Bu","given":"Zhaode"},{"family":"Ji","given":"Jiafu"},{"family":"Zhang","given":"Zemin"}],"issued":{"date-parts":[["2021",2,4]]}}},{"id":5138,"uris":["http://zotero.org/users/11968306/items/XF57Y9CG"],"itemData":{"id":5138,"type":"article-journal","abstract":"Tumor-associated macrophages (TAMs) are present in almost all solid tumor tissues. 16They play critical roles in immune regulation, tumor angiogenesis, tumor stem cell activation, tumor invasion and metastasis, and resistance to therapy. However, it is unclear how TAMs perform these functions. With the application of single-cell RNA sequencing (scRNA-seq), it has become possible to identify TAM subpopulations associated with distinct functions. In this review, we discuss four novel TAM subpopulations in distinct solid tumors based on core gene signatures by scRNA-seq, including FCN1\n+, SPP1\n+, C1Q\n+ and CCL18\n+ TAMs. Functional enrichment and gene expression in scRNA-seq data from different solid tumor tissues found that FCN1\n+ TAMs may induce inflammation; SPP1\n+ TAMs are potentially involved in metastasis, angiogenesis, and cancer cell stem cell activation, whereas C1Q\n+ TAMs participate in immune regulation and suppression; And CCL18\n+ cells are terminal immunosuppressive macrophages that not only have a stronger immunosuppressive function but also enhance tumor metastasis. SPP1\n+ and C1Q\n+ TAM subpopulations can be further divided into distinct populations with different functions. Meanwhile, we will also present emerging evidence highlighting the separating macrophage subpopulations associated with distinct functions. However, there exist the potential disconnects between cell types and subpopulations identified by scRNA-seq and their actual function.","container-title":"Frontiers in Immunology","DOI":"10.3389/fimmu.2023.1264774","ISSN":"1664-3224","journalAbbreviation":"Front Immunol","note":"PMID: 38347955\nPMCID: PMC10859433","page":"1264774","source":"PubMed Central","title":"Novel tumor-associated macrophage populations and subpopulations by single cell RNA sequencing","volume":"14","author":[{"family":"Wang","given":"Juanjuan"},{"family":"Zhu","given":"Ningning"},{"family":"Su","given":"Xiaomin"},{"family":"Gao","given":"Yunhuan"},{"family":"Yang","given":"Rongcun"}],"issued":{"date-parts":[["2024",1,29]]}}}],"schema":"https://github.com/citation-style-language/schema/raw/master/csl-citation.json"} </w:instrText>
            </w:r>
            <w:r w:rsidR="00A55551" w:rsidRPr="008052F5">
              <w:rPr>
                <w:rFonts w:ascii="Arial" w:eastAsia="Times New Roman" w:hAnsi="Arial" w:cs="Arial"/>
                <w:kern w:val="0"/>
                <w14:ligatures w14:val="none"/>
              </w:rPr>
              <w:fldChar w:fldCharType="separate"/>
            </w:r>
            <w:r w:rsidR="00F93D2D" w:rsidRPr="008052F5">
              <w:rPr>
                <w:rFonts w:ascii="Arial" w:hAnsi="Arial" w:cs="Arial"/>
                <w:kern w:val="0"/>
                <w:vertAlign w:val="superscript"/>
              </w:rPr>
              <w:t>58–60</w:t>
            </w:r>
            <w:r w:rsidR="00A55551" w:rsidRPr="008052F5">
              <w:rPr>
                <w:rFonts w:ascii="Arial" w:eastAsia="Times New Roman" w:hAnsi="Arial" w:cs="Arial"/>
                <w:kern w:val="0"/>
                <w14:ligatures w14:val="none"/>
              </w:rPr>
              <w:fldChar w:fldCharType="end"/>
            </w:r>
          </w:p>
        </w:tc>
      </w:tr>
      <w:tr w:rsidR="008052F5" w:rsidRPr="008052F5" w14:paraId="34597A5C"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165A58DE" w14:textId="6ECB5255" w:rsidR="00B83B46" w:rsidRPr="008052F5" w:rsidRDefault="00B31DF2"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w:t>
            </w:r>
            <w:r w:rsidR="00FA1E98" w:rsidRPr="008052F5">
              <w:rPr>
                <w:rFonts w:ascii="Arial" w:eastAsia="Times New Roman" w:hAnsi="Arial" w:cs="Arial"/>
                <w:kern w:val="0"/>
                <w14:ligatures w14:val="none"/>
              </w:rPr>
              <w:t>1QC</w:t>
            </w:r>
            <w:r w:rsidR="007F4924" w:rsidRPr="008052F5">
              <w:rPr>
                <w:rFonts w:ascii="Arial" w:eastAsia="Times New Roman" w:hAnsi="Arial" w:cs="Arial"/>
                <w:kern w:val="0"/>
                <w14:ligatures w14:val="none"/>
              </w:rPr>
              <w:fldChar w:fldCharType="begin"/>
            </w:r>
            <w:r w:rsidR="00F93D2D" w:rsidRPr="008052F5">
              <w:rPr>
                <w:rFonts w:ascii="Arial" w:eastAsia="Times New Roman" w:hAnsi="Arial" w:cs="Arial"/>
                <w:kern w:val="0"/>
                <w14:ligatures w14:val="none"/>
              </w:rPr>
              <w:instrText xml:space="preserve"> ADDIN ZOTERO_ITEM CSL_CITATION {"citationID":"rpoIHoa3","properties":{"formattedCitation":"\\super 61\\nosupersub{}","plainCitation":"61","noteIndex":0},"citationItems":[{"id":5133,"uris":["http://zotero.org/users/11968306/items/VCEHDEDH"],"itemData":{"id":5133,"type":"article-journal","abstract":"The omics era made possible the quest for efficient markers for cancer progression and revealed that macrophage populations are much more complex than just the M1/M2 dichotomy. Complement C1q pops up as a marker of a tolerogenic and immunosuppressive macrophage populations in both healthy and tumor tissues, but the specific role of C1q+ tumor-associated macrophages (TAM) is poorly understood. C1q is co-expressed in healthy and tumor macrophages with human leukocyte antigen DR (HLA-DR), Apolipoprotein E (APOE), and mannose receptor C-type 1 (MRC1) (CD206), suggesting a resident origin of this population. TAM expressing C1q correlate with T cell exhaustion and poor prognosis in numerous cancers. Herein, we discuss the plural roles of C1q in these macrophages and how it could drive cancer progression.","container-title":"Trends in Cancer","DOI":"10.1016/j.trecan.2022.02.006","ISSN":"2405-8033","issue":"7","journalAbbreviation":"Trends in Cancer","page":"517-526","source":"ScienceDirect","title":"C1q+ macrophages: passengers or drivers of cancer progression","title-short":"C1q+ macrophages","volume":"8","author":[{"family":"Revel","given":"Margot"},{"family":"Sautès-Fridman","given":"Catherine"},{"family":"Fridman","given":"Wolf-Herman"},{"family":"Roumenina","given":"Lubka T."}],"issued":{"date-parts":[["2022",7,1]]}}}],"schema":"https://github.com/citation-style-language/schema/raw/master/csl-citation.json"} </w:instrText>
            </w:r>
            <w:r w:rsidR="007F4924" w:rsidRPr="008052F5">
              <w:rPr>
                <w:rFonts w:ascii="Arial" w:eastAsia="Times New Roman" w:hAnsi="Arial" w:cs="Arial"/>
                <w:kern w:val="0"/>
                <w14:ligatures w14:val="none"/>
              </w:rPr>
              <w:fldChar w:fldCharType="separate"/>
            </w:r>
            <w:r w:rsidR="00F93D2D" w:rsidRPr="008052F5">
              <w:rPr>
                <w:rFonts w:ascii="Arial" w:hAnsi="Arial" w:cs="Arial"/>
                <w:kern w:val="0"/>
                <w:vertAlign w:val="superscript"/>
              </w:rPr>
              <w:t>61</w:t>
            </w:r>
            <w:r w:rsidR="007F4924" w:rsidRPr="008052F5">
              <w:rPr>
                <w:rFonts w:ascii="Arial" w:eastAsia="Times New Roman" w:hAnsi="Arial" w:cs="Arial"/>
                <w:kern w:val="0"/>
                <w14:ligatures w14:val="none"/>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230FE88F" w14:textId="5386D6A1" w:rsidR="00B83B46" w:rsidRPr="008052F5" w:rsidRDefault="0077406C"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 xml:space="preserve">C1QB, </w:t>
            </w:r>
            <w:r w:rsidR="007E0647" w:rsidRPr="008052F5">
              <w:rPr>
                <w:rFonts w:ascii="Arial" w:eastAsia="Times New Roman" w:hAnsi="Arial" w:cs="Arial"/>
                <w:kern w:val="0"/>
                <w14:ligatures w14:val="none"/>
              </w:rPr>
              <w:t>C1QC</w:t>
            </w:r>
            <w:r w:rsidR="007F4924" w:rsidRPr="008052F5">
              <w:rPr>
                <w:rFonts w:ascii="Arial" w:eastAsia="Times New Roman" w:hAnsi="Arial" w:cs="Arial"/>
                <w:kern w:val="0"/>
                <w14:ligatures w14:val="none"/>
              </w:rPr>
              <w:t>, CD206, HLA-DR, SEPP1, APOE, FOLR2, (-SPP1)</w:t>
            </w:r>
          </w:p>
        </w:tc>
      </w:tr>
      <w:tr w:rsidR="008052F5" w:rsidRPr="008052F5" w14:paraId="1DD39315"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006C6ED8" w14:textId="22211D45" w:rsidR="00B83B46" w:rsidRPr="008052F5" w:rsidRDefault="00FA1E98"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CLEC12</w:t>
            </w:r>
            <w:r w:rsidR="00534111" w:rsidRPr="008052F5">
              <w:rPr>
                <w:rFonts w:ascii="Arial" w:eastAsia="Times New Roman" w:hAnsi="Arial" w:cs="Arial"/>
                <w:kern w:val="0"/>
                <w14:ligatures w14:val="none"/>
              </w:rPr>
              <w:fldChar w:fldCharType="begin"/>
            </w:r>
            <w:r w:rsidR="00F93D2D" w:rsidRPr="008052F5">
              <w:rPr>
                <w:rFonts w:ascii="Arial" w:eastAsia="Times New Roman" w:hAnsi="Arial" w:cs="Arial"/>
                <w:kern w:val="0"/>
                <w14:ligatures w14:val="none"/>
              </w:rPr>
              <w:instrText xml:space="preserve"> ADDIN ZOTERO_ITEM CSL_CITATION {"citationID":"bDqb8gms","properties":{"formattedCitation":"\\super 62\\nosupersub{}","plainCitation":"62","noteIndex":0},"citationItems":[{"id":5137,"uris":["http://zotero.org/users/11968306/items/9DZJQ58B"],"itemData":{"id":5137,"type":"article-journal","abstract":"Tumor-associated macrophages (TAMs) play an important role in tumor immunity and comprise of subsets that have distinct phenotype, function, and ontology. Transcriptomic analyses of human medulloblastoma, the most common malignant pediatric brain cancer, showed that medulloblastomas (MBs) with activated sonic hedgehog signaling (SHH-MB) have signiﬁcantly more TAMs than other MB subtypes. Therefore, we examined MB-associated TAMs by single-cell RNA sequencing of autochthonous murine SHH-MB at steady state and under two distinct treatment modalities: molecular-targeted inhibitor and radiation. Our analyses reveal signiﬁcant TAM heterogeneity, identify markers of ontologically distinct TAM subsets, and show the impact of brain microenvironment on the differentiation of tumor-inﬁltrating monocytes. TAM composition undergoes dramatic changes with treatment and differs signiﬁcantly between molecular-targeted and radiation therapy. We identify an immunosuppressive monocyte-derived TAM subset that emerges with radiation therapy and demonstrate its role in regulating T cell and neutrophil inﬁltration in MB.","container-title":"Cell Reports","DOI":"10.1016/j.celrep.2021.108917","ISSN":"2211-1247","issue":"13","language":"en","license":"https://www.elsevier.com/tdm/userlicense/1.0/","note":"publisher: Elsevier BV","page":"108917","source":"Crossref","title":"Macrophages in SHH subgroup medulloblastoma display dynamic heterogeneity that varies with treatment modality","volume":"34","author":[{"family":"Dang","given":"Mai T."},{"family":"Gonzalez","given":"Michael V."},{"family":"Gaonkar","given":"Krutika S."},{"family":"Rathi","given":"Komal S."},{"family":"Young","given":"Patricia"},{"family":"Arif","given":"Sherjeel"},{"family":"Zhai","given":"Li"},{"family":"Alam","given":"Zahidul"},{"family":"Devalaraja","given":"Samir"},{"family":"To","given":"Tsun Ki Jerrick"},{"family":"Folkert","given":"Ian W."},{"family":"Raman","given":"Pichai"},{"family":"Rokita","given":"Jo Lynne"},{"family":"Martinez","given":"Daniel"},{"family":"Taroni","given":"Jaclyn N."},{"family":"Shapiro","given":"Joshua A."},{"family":"Greene","given":"Casey S."},{"family":"Savonen","given":"Candace"},{"family":"Mafra","given":"Fernanda"},{"family":"Hakonarson","given":"Hakon"},{"family":"Curran","given":"Tom"},{"family":"Haldar","given":"Malay"}],"issued":{"date-parts":[["2021",3]]}}}],"schema":"https://github.com/citation-style-language/schema/raw/master/csl-citation.json"} </w:instrText>
            </w:r>
            <w:r w:rsidR="00534111" w:rsidRPr="008052F5">
              <w:rPr>
                <w:rFonts w:ascii="Arial" w:eastAsia="Times New Roman" w:hAnsi="Arial" w:cs="Arial"/>
                <w:kern w:val="0"/>
                <w14:ligatures w14:val="none"/>
              </w:rPr>
              <w:fldChar w:fldCharType="separate"/>
            </w:r>
            <w:r w:rsidR="00F93D2D" w:rsidRPr="008052F5">
              <w:rPr>
                <w:rFonts w:ascii="Arial" w:hAnsi="Arial" w:cs="Arial"/>
                <w:kern w:val="0"/>
                <w:vertAlign w:val="superscript"/>
              </w:rPr>
              <w:t>62</w:t>
            </w:r>
            <w:r w:rsidR="00534111" w:rsidRPr="008052F5">
              <w:rPr>
                <w:rFonts w:ascii="Arial" w:eastAsia="Times New Roman" w:hAnsi="Arial" w:cs="Arial"/>
                <w:kern w:val="0"/>
                <w14:ligatures w14:val="none"/>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5AE4FD3A" w14:textId="0582F162" w:rsidR="00B83B46" w:rsidRPr="008052F5" w:rsidRDefault="007A6991" w:rsidP="00DC05FC">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CLEC12A</w:t>
            </w:r>
            <w:r w:rsidR="00E8151D" w:rsidRPr="008052F5">
              <w:rPr>
                <w:rFonts w:ascii="Arial" w:eastAsia="Times New Roman" w:hAnsi="Arial" w:cs="Arial"/>
                <w:kern w:val="0"/>
                <w14:ligatures w14:val="none"/>
              </w:rPr>
              <w:t>, CCR2, LY6C2, S100A6</w:t>
            </w:r>
          </w:p>
        </w:tc>
      </w:tr>
      <w:tr w:rsidR="008052F5" w:rsidRPr="008052F5" w14:paraId="5BA79901" w14:textId="77777777" w:rsidTr="00B27F43">
        <w:trPr>
          <w:trHeight w:val="300"/>
        </w:trPr>
        <w:tc>
          <w:tcPr>
            <w:tcW w:w="3772" w:type="dxa"/>
            <w:tcBorders>
              <w:top w:val="single" w:sz="6" w:space="0" w:color="000000"/>
              <w:left w:val="single" w:sz="6" w:space="0" w:color="000000"/>
              <w:bottom w:val="single" w:sz="6" w:space="0" w:color="000000"/>
              <w:right w:val="single" w:sz="6" w:space="0" w:color="000000"/>
            </w:tcBorders>
          </w:tcPr>
          <w:p w14:paraId="121CD6EF" w14:textId="353E0370" w:rsidR="00FA1E98" w:rsidRPr="008052F5" w:rsidRDefault="00FA1E98">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AQP</w:t>
            </w:r>
            <w:r w:rsidR="00F1208A" w:rsidRPr="008052F5">
              <w:rPr>
                <w:rFonts w:ascii="Arial" w:eastAsia="Times New Roman" w:hAnsi="Arial" w:cs="Arial"/>
                <w:kern w:val="0"/>
                <w14:ligatures w14:val="none"/>
              </w:rPr>
              <w:t>9</w:t>
            </w:r>
            <w:r w:rsidR="00F93D2D" w:rsidRPr="008052F5">
              <w:rPr>
                <w:rFonts w:ascii="Arial" w:eastAsia="Times New Roman" w:hAnsi="Arial" w:cs="Arial"/>
                <w:kern w:val="0"/>
                <w14:ligatures w14:val="none"/>
              </w:rPr>
              <w:fldChar w:fldCharType="begin"/>
            </w:r>
            <w:r w:rsidR="00F93D2D" w:rsidRPr="008052F5">
              <w:rPr>
                <w:rFonts w:ascii="Arial" w:eastAsia="Times New Roman" w:hAnsi="Arial" w:cs="Arial"/>
                <w:kern w:val="0"/>
                <w14:ligatures w14:val="none"/>
              </w:rPr>
              <w:instrText xml:space="preserve"> ADDIN ZOTERO_ITEM CSL_CITATION {"citationID":"4pEUNnF2","properties":{"formattedCitation":"\\super 63\\nosupersub{}","plainCitation":"63","noteIndex":0},"citationItems":[{"id":5141,"uris":["http://zotero.org/users/11968306/items/6ADEECEA"],"itemData":{"id":5141,"type":"article-journal","abstract":"Single-cell RNA sequencing (scRNA-seq) is a powerful tool for defining cellular diversity in tumors, but its application toward dissecting mechanisms underlying immune-modulating therapies is scarce. We performed scRNA-seq analyses on immune and stromal populations from colorectal cancer patients, identifying specific macrophage and conventional dendritic cell (cDC) subsets as key mediators of cellular cross-talk in the tumor microenvironment. Defining comparable myeloid populations in mouse tumors enabled characterization of their response to myeloid-targeted immunotherapy. Treatment with anti-CSF1R preferentially depleted macrophages with an inflammatory signature but spared macrophage populations that in mouse and human expresses pro-angiogenic/tumorigenic genes. Treatment with a CD40 agonist antibody preferentially activated a cDC population and increased Bhlhe40+ Th1-like cells and CD8+ memory T cells. Our comprehensive analysis of key myeloid subsets in human and mouse identifies critical cellular interactions regulating tumor immunity and defines mechanisms underlying myeloid-targeted immunotherapies currently undergoing clinical testing.","container-title":"Cell","DOI":"10.1016/j.cell.2020.03.048","ISSN":"0092-8674","issue":"2","journalAbbreviation":"Cell","page":"442-459.e29","source":"ScienceDirect","title":"Single-Cell Analyses Inform Mechanisms of Myeloid-Targeted Therapies in Colon Cancer","volume":"181","author":[{"family":"Zhang","given":"Lei"},{"family":"Li","given":"Ziyi"},{"family":"Skrzypczynska","given":"Katarzyna M."},{"family":"Fang","given":"Qiao"},{"family":"Zhang","given":"Wei"},{"family":"O’Brien","given":"Sarah A."},{"family":"He","given":"Yao"},{"family":"Wang","given":"Lynn"},{"family":"Zhang","given":"Qiming"},{"family":"Kim","given":"Aeryon"},{"family":"Gao","given":"Ranran"},{"family":"Orf","given":"Jessica"},{"family":"Wang","given":"Tao"},{"family":"Sawant","given":"Deepali"},{"family":"Kang","given":"Jiajinlong"},{"family":"Bhatt","given":"Dev"},{"family":"Lu","given":"Daniel"},{"family":"Li","given":"Chi-Ming"},{"family":"Rapaport","given":"Aaron S."},{"family":"Perez","given":"Kristy"},{"family":"Ye","given":"Yingjiang"},{"family":"Wang","given":"Shan"},{"family":"Hu","given":"Xueda"},{"family":"Ren","given":"Xianwen"},{"family":"Ouyang","given":"Wenjun"},{"family":"Shen","given":"Zhanlong"},{"family":"Egen","given":"Jackson G."},{"family":"Zhang","given":"Zemin"},{"family":"Yu","given":"Xin"}],"issued":{"date-parts":[["2020",4,16]]}}}],"schema":"https://github.com/citation-style-language/schema/raw/master/csl-citation.json"} </w:instrText>
            </w:r>
            <w:r w:rsidR="00F93D2D" w:rsidRPr="008052F5">
              <w:rPr>
                <w:rFonts w:ascii="Arial" w:eastAsia="Times New Roman" w:hAnsi="Arial" w:cs="Arial"/>
                <w:kern w:val="0"/>
                <w14:ligatures w14:val="none"/>
              </w:rPr>
              <w:fldChar w:fldCharType="separate"/>
            </w:r>
            <w:r w:rsidR="00F93D2D" w:rsidRPr="008052F5">
              <w:rPr>
                <w:rFonts w:ascii="Arial" w:hAnsi="Arial" w:cs="Arial"/>
                <w:kern w:val="0"/>
                <w:vertAlign w:val="superscript"/>
              </w:rPr>
              <w:t>63</w:t>
            </w:r>
            <w:r w:rsidR="00F93D2D" w:rsidRPr="008052F5">
              <w:rPr>
                <w:rFonts w:ascii="Arial" w:eastAsia="Times New Roman" w:hAnsi="Arial" w:cs="Arial"/>
                <w:kern w:val="0"/>
                <w14:ligatures w14:val="none"/>
              </w:rPr>
              <w:fldChar w:fldCharType="end"/>
            </w:r>
          </w:p>
        </w:tc>
        <w:tc>
          <w:tcPr>
            <w:tcW w:w="5760" w:type="dxa"/>
            <w:tcBorders>
              <w:top w:val="single" w:sz="6" w:space="0" w:color="000000"/>
              <w:left w:val="single" w:sz="6" w:space="0" w:color="000000"/>
              <w:bottom w:val="single" w:sz="6" w:space="0" w:color="000000"/>
              <w:right w:val="single" w:sz="6" w:space="0" w:color="000000"/>
            </w:tcBorders>
          </w:tcPr>
          <w:p w14:paraId="776E4059" w14:textId="625DA122" w:rsidR="00FA1E98" w:rsidRPr="008052F5" w:rsidRDefault="007A6991">
            <w:pPr>
              <w:spacing w:after="0" w:line="240" w:lineRule="auto"/>
              <w:textAlignment w:val="baseline"/>
              <w:rPr>
                <w:rFonts w:ascii="Arial" w:eastAsia="Times New Roman" w:hAnsi="Arial" w:cs="Arial"/>
                <w:kern w:val="0"/>
                <w14:ligatures w14:val="none"/>
              </w:rPr>
            </w:pPr>
            <w:r w:rsidRPr="008052F5">
              <w:rPr>
                <w:rFonts w:ascii="Arial" w:eastAsia="Times New Roman" w:hAnsi="Arial" w:cs="Arial"/>
                <w:kern w:val="0"/>
                <w14:ligatures w14:val="none"/>
              </w:rPr>
              <w:t>AQP9</w:t>
            </w:r>
            <w:r w:rsidR="008245A1" w:rsidRPr="008052F5">
              <w:rPr>
                <w:rFonts w:ascii="Arial" w:eastAsia="Times New Roman" w:hAnsi="Arial" w:cs="Arial"/>
                <w:kern w:val="0"/>
                <w14:ligatures w14:val="none"/>
              </w:rPr>
              <w:t>, FN1</w:t>
            </w:r>
            <w:r w:rsidR="00683445" w:rsidRPr="008052F5">
              <w:rPr>
                <w:rFonts w:ascii="Arial" w:eastAsia="Times New Roman" w:hAnsi="Arial" w:cs="Arial"/>
                <w:kern w:val="0"/>
                <w14:ligatures w14:val="none"/>
              </w:rPr>
              <w:t>, SPP1, NDRG1</w:t>
            </w:r>
          </w:p>
        </w:tc>
      </w:tr>
    </w:tbl>
    <w:p w14:paraId="032EF97F" w14:textId="725654E8" w:rsidR="00B27F43" w:rsidRPr="008052F5" w:rsidRDefault="0077406C" w:rsidP="00B27F43">
      <w:pPr>
        <w:spacing w:after="0" w:line="240" w:lineRule="auto"/>
        <w:textAlignment w:val="baseline"/>
        <w:rPr>
          <w:rFonts w:ascii="Arial" w:eastAsia="Times New Roman" w:hAnsi="Arial" w:cs="Arial"/>
          <w:kern w:val="0"/>
          <w:sz w:val="18"/>
          <w:szCs w:val="18"/>
          <w14:ligatures w14:val="none"/>
        </w:rPr>
      </w:pPr>
      <w:r w:rsidRPr="008052F5">
        <w:rPr>
          <w:rFonts w:ascii="Arial" w:hAnsi="Arial" w:cs="Arial"/>
        </w:rPr>
        <w:t>Citations listed for T cell markers and Myeloid cell markers were used to guide all subtypes.</w:t>
      </w:r>
      <w:r w:rsidR="00B27F43" w:rsidRPr="008052F5">
        <w:rPr>
          <w:rFonts w:ascii="Arial" w:hAnsi="Arial" w:cs="Arial"/>
        </w:rPr>
        <w:br w:type="page"/>
      </w:r>
    </w:p>
    <w:p w14:paraId="1D4C896E" w14:textId="77777777" w:rsidR="00B27F43" w:rsidRPr="008052F5" w:rsidRDefault="00B27F43" w:rsidP="00305783">
      <w:pPr>
        <w:spacing w:after="0" w:line="240" w:lineRule="auto"/>
        <w:textAlignment w:val="baseline"/>
        <w:rPr>
          <w:rFonts w:ascii="Arial" w:eastAsia="Times New Roman" w:hAnsi="Arial" w:cs="Arial"/>
          <w:kern w:val="0"/>
          <w:sz w:val="18"/>
          <w:szCs w:val="18"/>
          <w14:ligatures w14:val="none"/>
        </w:rPr>
      </w:pPr>
    </w:p>
    <w:p w14:paraId="6CC836D5" w14:textId="5D02EBC8" w:rsidR="0093054A" w:rsidRPr="008052F5" w:rsidRDefault="0093054A" w:rsidP="0093054A">
      <w:pPr>
        <w:rPr>
          <w:rFonts w:ascii="Arial" w:hAnsi="Arial" w:cs="Arial"/>
          <w:b/>
          <w:bCs/>
        </w:rPr>
      </w:pPr>
      <w:r w:rsidRPr="008052F5">
        <w:rPr>
          <w:rFonts w:ascii="Arial" w:hAnsi="Arial" w:cs="Arial"/>
          <w:b/>
          <w:bCs/>
        </w:rPr>
        <w:t>Table S3</w:t>
      </w:r>
      <w:r w:rsidR="00656A1B" w:rsidRPr="008052F5">
        <w:rPr>
          <w:rFonts w:ascii="Arial" w:hAnsi="Arial" w:cs="Arial"/>
          <w:b/>
          <w:bCs/>
        </w:rPr>
        <w:t>:</w:t>
      </w:r>
      <w:r w:rsidRPr="008052F5">
        <w:rPr>
          <w:rFonts w:ascii="Arial" w:hAnsi="Arial" w:cs="Arial"/>
          <w:b/>
          <w:bCs/>
        </w:rPr>
        <w:t xml:space="preserve"> Choice of Imputation Method, NRMSE on pre-ICI discovery mean rank matrix, 70% interaction threshold</w:t>
      </w:r>
    </w:p>
    <w:tbl>
      <w:tblPr>
        <w:tblStyle w:val="TableGrid"/>
        <w:tblW w:w="9625" w:type="dxa"/>
        <w:tblLook w:val="04A0" w:firstRow="1" w:lastRow="0" w:firstColumn="1" w:lastColumn="0" w:noHBand="0" w:noVBand="1"/>
      </w:tblPr>
      <w:tblGrid>
        <w:gridCol w:w="2535"/>
        <w:gridCol w:w="2460"/>
        <w:gridCol w:w="4630"/>
      </w:tblGrid>
      <w:tr w:rsidR="008052F5" w:rsidRPr="008052F5" w14:paraId="5F8E691F" w14:textId="77777777" w:rsidTr="00DA6FDF">
        <w:trPr>
          <w:trHeight w:val="300"/>
        </w:trPr>
        <w:tc>
          <w:tcPr>
            <w:tcW w:w="2535" w:type="dxa"/>
          </w:tcPr>
          <w:p w14:paraId="57EC8216" w14:textId="77777777" w:rsidR="0093054A" w:rsidRPr="008052F5" w:rsidRDefault="0093054A">
            <w:pPr>
              <w:rPr>
                <w:rFonts w:ascii="Arial" w:hAnsi="Arial" w:cs="Arial"/>
                <w:b/>
                <w:bCs/>
              </w:rPr>
            </w:pPr>
            <w:r w:rsidRPr="008052F5">
              <w:rPr>
                <w:rFonts w:ascii="Arial" w:hAnsi="Arial" w:cs="Arial"/>
                <w:b/>
                <w:bCs/>
              </w:rPr>
              <w:t>Imputation Method</w:t>
            </w:r>
          </w:p>
        </w:tc>
        <w:tc>
          <w:tcPr>
            <w:tcW w:w="2460" w:type="dxa"/>
          </w:tcPr>
          <w:p w14:paraId="274777CF" w14:textId="77777777" w:rsidR="0093054A" w:rsidRPr="008052F5" w:rsidRDefault="0093054A">
            <w:pPr>
              <w:rPr>
                <w:rFonts w:ascii="Arial" w:hAnsi="Arial" w:cs="Arial"/>
                <w:b/>
                <w:bCs/>
              </w:rPr>
            </w:pPr>
            <w:r w:rsidRPr="008052F5">
              <w:rPr>
                <w:rFonts w:ascii="Arial" w:hAnsi="Arial" w:cs="Arial"/>
                <w:b/>
                <w:bCs/>
              </w:rPr>
              <w:t>Transposed Mean Rank Matrix</w:t>
            </w:r>
          </w:p>
        </w:tc>
        <w:tc>
          <w:tcPr>
            <w:tcW w:w="4630" w:type="dxa"/>
          </w:tcPr>
          <w:p w14:paraId="7BCC16AA" w14:textId="77777777" w:rsidR="0093054A" w:rsidRPr="008052F5" w:rsidRDefault="0093054A">
            <w:pPr>
              <w:rPr>
                <w:rFonts w:ascii="Arial" w:hAnsi="Arial" w:cs="Arial"/>
                <w:b/>
                <w:bCs/>
              </w:rPr>
            </w:pPr>
            <w:r w:rsidRPr="008052F5">
              <w:rPr>
                <w:rFonts w:ascii="Arial" w:hAnsi="Arial" w:cs="Arial"/>
                <w:b/>
                <w:bCs/>
              </w:rPr>
              <w:t>NRMSE</w:t>
            </w:r>
          </w:p>
        </w:tc>
      </w:tr>
      <w:tr w:rsidR="008052F5" w:rsidRPr="008052F5" w14:paraId="628DF5AC" w14:textId="77777777" w:rsidTr="00DA6FDF">
        <w:trPr>
          <w:trHeight w:val="300"/>
        </w:trPr>
        <w:tc>
          <w:tcPr>
            <w:tcW w:w="2535" w:type="dxa"/>
          </w:tcPr>
          <w:p w14:paraId="7563C3B8" w14:textId="77777777" w:rsidR="0093054A" w:rsidRPr="008052F5" w:rsidRDefault="0093054A">
            <w:pPr>
              <w:rPr>
                <w:rFonts w:ascii="Arial" w:hAnsi="Arial" w:cs="Arial"/>
              </w:rPr>
            </w:pPr>
            <w:r w:rsidRPr="008052F5">
              <w:rPr>
                <w:rFonts w:ascii="Arial" w:hAnsi="Arial" w:cs="Arial"/>
              </w:rPr>
              <w:t>Random Forest</w:t>
            </w:r>
          </w:p>
        </w:tc>
        <w:tc>
          <w:tcPr>
            <w:tcW w:w="2460" w:type="dxa"/>
          </w:tcPr>
          <w:p w14:paraId="0F58548C" w14:textId="77777777" w:rsidR="0093054A" w:rsidRPr="008052F5" w:rsidRDefault="0093054A">
            <w:pPr>
              <w:rPr>
                <w:rFonts w:ascii="Arial" w:hAnsi="Arial" w:cs="Arial"/>
              </w:rPr>
            </w:pPr>
            <w:r w:rsidRPr="008052F5">
              <w:rPr>
                <w:rFonts w:ascii="Arial" w:hAnsi="Arial" w:cs="Arial"/>
              </w:rPr>
              <w:t>Yes</w:t>
            </w:r>
          </w:p>
        </w:tc>
        <w:tc>
          <w:tcPr>
            <w:tcW w:w="4630" w:type="dxa"/>
          </w:tcPr>
          <w:p w14:paraId="4AB02526" w14:textId="77777777" w:rsidR="0093054A" w:rsidRPr="008052F5" w:rsidRDefault="0093054A">
            <w:pPr>
              <w:rPr>
                <w:rFonts w:ascii="Arial" w:hAnsi="Arial" w:cs="Arial"/>
              </w:rPr>
            </w:pPr>
            <w:r w:rsidRPr="008052F5">
              <w:rPr>
                <w:rFonts w:ascii="Arial" w:hAnsi="Arial" w:cs="Arial"/>
              </w:rPr>
              <w:t>0.341</w:t>
            </w:r>
          </w:p>
        </w:tc>
      </w:tr>
      <w:tr w:rsidR="008052F5" w:rsidRPr="008052F5" w14:paraId="2D97B717" w14:textId="77777777" w:rsidTr="00DA6FDF">
        <w:trPr>
          <w:trHeight w:val="300"/>
        </w:trPr>
        <w:tc>
          <w:tcPr>
            <w:tcW w:w="2535" w:type="dxa"/>
          </w:tcPr>
          <w:p w14:paraId="7B16C3A3" w14:textId="77777777" w:rsidR="0093054A" w:rsidRPr="008052F5" w:rsidRDefault="0093054A">
            <w:pPr>
              <w:rPr>
                <w:rFonts w:ascii="Arial" w:hAnsi="Arial" w:cs="Arial"/>
              </w:rPr>
            </w:pPr>
            <w:r w:rsidRPr="008052F5">
              <w:rPr>
                <w:rFonts w:ascii="Arial" w:hAnsi="Arial" w:cs="Arial"/>
              </w:rPr>
              <w:t>Random Forest</w:t>
            </w:r>
          </w:p>
        </w:tc>
        <w:tc>
          <w:tcPr>
            <w:tcW w:w="2460" w:type="dxa"/>
          </w:tcPr>
          <w:p w14:paraId="335C4398" w14:textId="77777777" w:rsidR="0093054A" w:rsidRPr="008052F5" w:rsidRDefault="0093054A">
            <w:pPr>
              <w:rPr>
                <w:rFonts w:ascii="Arial" w:hAnsi="Arial" w:cs="Arial"/>
              </w:rPr>
            </w:pPr>
            <w:r w:rsidRPr="008052F5">
              <w:rPr>
                <w:rFonts w:ascii="Arial" w:hAnsi="Arial" w:cs="Arial"/>
              </w:rPr>
              <w:t>No</w:t>
            </w:r>
          </w:p>
        </w:tc>
        <w:tc>
          <w:tcPr>
            <w:tcW w:w="4630" w:type="dxa"/>
          </w:tcPr>
          <w:p w14:paraId="7599EFF6" w14:textId="77777777" w:rsidR="0093054A" w:rsidRPr="008052F5" w:rsidRDefault="0093054A">
            <w:pPr>
              <w:rPr>
                <w:rFonts w:ascii="Arial" w:hAnsi="Arial" w:cs="Arial"/>
              </w:rPr>
            </w:pPr>
            <w:r w:rsidRPr="008052F5">
              <w:rPr>
                <w:rFonts w:ascii="Arial" w:hAnsi="Arial" w:cs="Arial"/>
              </w:rPr>
              <w:t>0.529</w:t>
            </w:r>
          </w:p>
        </w:tc>
      </w:tr>
      <w:tr w:rsidR="008052F5" w:rsidRPr="008052F5" w14:paraId="33B80567" w14:textId="77777777" w:rsidTr="00DA6FDF">
        <w:trPr>
          <w:trHeight w:val="300"/>
        </w:trPr>
        <w:tc>
          <w:tcPr>
            <w:tcW w:w="2535" w:type="dxa"/>
          </w:tcPr>
          <w:p w14:paraId="3057B79C" w14:textId="77777777" w:rsidR="0093054A" w:rsidRPr="008052F5" w:rsidRDefault="0093054A">
            <w:pPr>
              <w:rPr>
                <w:rFonts w:ascii="Arial" w:hAnsi="Arial" w:cs="Arial"/>
              </w:rPr>
            </w:pPr>
            <w:r w:rsidRPr="008052F5">
              <w:rPr>
                <w:rFonts w:ascii="Arial" w:hAnsi="Arial" w:cs="Arial"/>
              </w:rPr>
              <w:t>MICE PMM</w:t>
            </w:r>
          </w:p>
        </w:tc>
        <w:tc>
          <w:tcPr>
            <w:tcW w:w="2460" w:type="dxa"/>
          </w:tcPr>
          <w:p w14:paraId="302BB5BD" w14:textId="77777777" w:rsidR="0093054A" w:rsidRPr="008052F5" w:rsidRDefault="0093054A">
            <w:pPr>
              <w:rPr>
                <w:rFonts w:ascii="Arial" w:hAnsi="Arial" w:cs="Arial"/>
              </w:rPr>
            </w:pPr>
            <w:r w:rsidRPr="008052F5">
              <w:rPr>
                <w:rFonts w:ascii="Arial" w:hAnsi="Arial" w:cs="Arial"/>
              </w:rPr>
              <w:t>Yes</w:t>
            </w:r>
          </w:p>
        </w:tc>
        <w:tc>
          <w:tcPr>
            <w:tcW w:w="4630" w:type="dxa"/>
          </w:tcPr>
          <w:p w14:paraId="17E7D3E0" w14:textId="77777777" w:rsidR="0093054A" w:rsidRPr="008052F5" w:rsidRDefault="0093054A">
            <w:pPr>
              <w:rPr>
                <w:rFonts w:ascii="Arial" w:hAnsi="Arial" w:cs="Arial"/>
              </w:rPr>
            </w:pPr>
            <w:r w:rsidRPr="008052F5">
              <w:rPr>
                <w:rFonts w:ascii="Arial" w:hAnsi="Arial" w:cs="Arial"/>
              </w:rPr>
              <w:t>0.509</w:t>
            </w:r>
          </w:p>
        </w:tc>
      </w:tr>
      <w:tr w:rsidR="008052F5" w:rsidRPr="008052F5" w14:paraId="05DF7281" w14:textId="77777777" w:rsidTr="00DA6FDF">
        <w:trPr>
          <w:trHeight w:val="300"/>
        </w:trPr>
        <w:tc>
          <w:tcPr>
            <w:tcW w:w="2535" w:type="dxa"/>
          </w:tcPr>
          <w:p w14:paraId="35B40FC5" w14:textId="77777777" w:rsidR="0093054A" w:rsidRPr="008052F5" w:rsidRDefault="0093054A">
            <w:pPr>
              <w:rPr>
                <w:rFonts w:ascii="Arial" w:hAnsi="Arial" w:cs="Arial"/>
              </w:rPr>
            </w:pPr>
            <w:r w:rsidRPr="008052F5">
              <w:rPr>
                <w:rFonts w:ascii="Arial" w:hAnsi="Arial" w:cs="Arial"/>
              </w:rPr>
              <w:t>MICE PMM</w:t>
            </w:r>
          </w:p>
        </w:tc>
        <w:tc>
          <w:tcPr>
            <w:tcW w:w="2460" w:type="dxa"/>
          </w:tcPr>
          <w:p w14:paraId="57CDB9C1" w14:textId="77777777" w:rsidR="0093054A" w:rsidRPr="008052F5" w:rsidRDefault="0093054A">
            <w:pPr>
              <w:rPr>
                <w:rFonts w:ascii="Arial" w:hAnsi="Arial" w:cs="Arial"/>
              </w:rPr>
            </w:pPr>
            <w:r w:rsidRPr="008052F5">
              <w:rPr>
                <w:rFonts w:ascii="Arial" w:hAnsi="Arial" w:cs="Arial"/>
              </w:rPr>
              <w:t>No</w:t>
            </w:r>
          </w:p>
        </w:tc>
        <w:tc>
          <w:tcPr>
            <w:tcW w:w="4630" w:type="dxa"/>
          </w:tcPr>
          <w:p w14:paraId="0A5BFC01" w14:textId="77777777" w:rsidR="0093054A" w:rsidRPr="008052F5" w:rsidRDefault="0093054A">
            <w:pPr>
              <w:rPr>
                <w:rFonts w:ascii="Arial" w:hAnsi="Arial" w:cs="Arial"/>
              </w:rPr>
            </w:pPr>
            <w:r w:rsidRPr="008052F5">
              <w:rPr>
                <w:rFonts w:ascii="Arial" w:hAnsi="Arial" w:cs="Arial"/>
              </w:rPr>
              <w:t>NA – did not converge, too few samples to provide plausible donor values</w:t>
            </w:r>
          </w:p>
        </w:tc>
      </w:tr>
      <w:tr w:rsidR="008052F5" w:rsidRPr="008052F5" w14:paraId="7C3E2195" w14:textId="77777777" w:rsidTr="00DA6FDF">
        <w:trPr>
          <w:trHeight w:val="300"/>
        </w:trPr>
        <w:tc>
          <w:tcPr>
            <w:tcW w:w="2535" w:type="dxa"/>
          </w:tcPr>
          <w:p w14:paraId="683884EB" w14:textId="77777777" w:rsidR="0093054A" w:rsidRPr="008052F5" w:rsidRDefault="0093054A">
            <w:pPr>
              <w:rPr>
                <w:rFonts w:ascii="Arial" w:hAnsi="Arial" w:cs="Arial"/>
              </w:rPr>
            </w:pPr>
            <w:r w:rsidRPr="008052F5">
              <w:rPr>
                <w:rFonts w:ascii="Arial" w:hAnsi="Arial" w:cs="Arial"/>
              </w:rPr>
              <w:t>kNN</w:t>
            </w:r>
          </w:p>
        </w:tc>
        <w:tc>
          <w:tcPr>
            <w:tcW w:w="2460" w:type="dxa"/>
          </w:tcPr>
          <w:p w14:paraId="5B502534" w14:textId="77777777" w:rsidR="0093054A" w:rsidRPr="008052F5" w:rsidRDefault="0093054A">
            <w:pPr>
              <w:rPr>
                <w:rFonts w:ascii="Arial" w:hAnsi="Arial" w:cs="Arial"/>
              </w:rPr>
            </w:pPr>
            <w:r w:rsidRPr="008052F5">
              <w:rPr>
                <w:rFonts w:ascii="Arial" w:hAnsi="Arial" w:cs="Arial"/>
              </w:rPr>
              <w:t>Yes</w:t>
            </w:r>
          </w:p>
        </w:tc>
        <w:tc>
          <w:tcPr>
            <w:tcW w:w="4630" w:type="dxa"/>
          </w:tcPr>
          <w:p w14:paraId="2CB02312" w14:textId="77777777" w:rsidR="0093054A" w:rsidRPr="008052F5" w:rsidRDefault="0093054A">
            <w:pPr>
              <w:rPr>
                <w:rFonts w:ascii="Arial" w:hAnsi="Arial" w:cs="Arial"/>
              </w:rPr>
            </w:pPr>
            <w:r w:rsidRPr="008052F5">
              <w:rPr>
                <w:rFonts w:ascii="Arial" w:hAnsi="Arial" w:cs="Arial"/>
              </w:rPr>
              <w:t>0.455</w:t>
            </w:r>
          </w:p>
        </w:tc>
      </w:tr>
      <w:tr w:rsidR="0093054A" w:rsidRPr="008052F5" w14:paraId="11D3363D" w14:textId="77777777" w:rsidTr="00DA6FDF">
        <w:trPr>
          <w:trHeight w:val="300"/>
        </w:trPr>
        <w:tc>
          <w:tcPr>
            <w:tcW w:w="2535" w:type="dxa"/>
          </w:tcPr>
          <w:p w14:paraId="769B4C3C" w14:textId="77777777" w:rsidR="0093054A" w:rsidRPr="008052F5" w:rsidRDefault="0093054A">
            <w:pPr>
              <w:rPr>
                <w:rFonts w:ascii="Arial" w:hAnsi="Arial" w:cs="Arial"/>
              </w:rPr>
            </w:pPr>
            <w:r w:rsidRPr="008052F5">
              <w:rPr>
                <w:rFonts w:ascii="Arial" w:hAnsi="Arial" w:cs="Arial"/>
              </w:rPr>
              <w:t>kNN</w:t>
            </w:r>
          </w:p>
        </w:tc>
        <w:tc>
          <w:tcPr>
            <w:tcW w:w="2460" w:type="dxa"/>
          </w:tcPr>
          <w:p w14:paraId="3EC8846C" w14:textId="77777777" w:rsidR="0093054A" w:rsidRPr="008052F5" w:rsidRDefault="0093054A">
            <w:pPr>
              <w:rPr>
                <w:rFonts w:ascii="Arial" w:hAnsi="Arial" w:cs="Arial"/>
              </w:rPr>
            </w:pPr>
            <w:r w:rsidRPr="008052F5">
              <w:rPr>
                <w:rFonts w:ascii="Arial" w:hAnsi="Arial" w:cs="Arial"/>
              </w:rPr>
              <w:t>No</w:t>
            </w:r>
          </w:p>
        </w:tc>
        <w:tc>
          <w:tcPr>
            <w:tcW w:w="4630" w:type="dxa"/>
          </w:tcPr>
          <w:p w14:paraId="2D8CE8FE" w14:textId="77777777" w:rsidR="0093054A" w:rsidRPr="008052F5" w:rsidRDefault="0093054A">
            <w:pPr>
              <w:rPr>
                <w:rFonts w:ascii="Arial" w:hAnsi="Arial" w:cs="Arial"/>
              </w:rPr>
            </w:pPr>
            <w:r w:rsidRPr="008052F5">
              <w:rPr>
                <w:rFonts w:ascii="Arial" w:hAnsi="Arial" w:cs="Arial"/>
              </w:rPr>
              <w:t>NA – error, no samples with complete data, can’t compute nearest neighbors</w:t>
            </w:r>
          </w:p>
        </w:tc>
      </w:tr>
    </w:tbl>
    <w:p w14:paraId="6ED46D17" w14:textId="77777777" w:rsidR="0093054A" w:rsidRPr="008052F5" w:rsidRDefault="0093054A" w:rsidP="0093054A"/>
    <w:p w14:paraId="666A0EA1" w14:textId="77777777" w:rsidR="0093054A" w:rsidRPr="008052F5" w:rsidRDefault="0093054A" w:rsidP="0093054A"/>
    <w:p w14:paraId="0DC01952" w14:textId="77777777" w:rsidR="0093054A" w:rsidRPr="008052F5" w:rsidRDefault="0093054A" w:rsidP="0093054A"/>
    <w:p w14:paraId="1D9828AC" w14:textId="77777777" w:rsidR="0093054A" w:rsidRPr="008052F5" w:rsidRDefault="0093054A" w:rsidP="0093054A"/>
    <w:p w14:paraId="715D05B4" w14:textId="77777777" w:rsidR="0093054A" w:rsidRPr="008052F5" w:rsidRDefault="0093054A" w:rsidP="0093054A"/>
    <w:p w14:paraId="6038D5B0" w14:textId="77777777" w:rsidR="007C60E8" w:rsidRPr="008052F5" w:rsidRDefault="007C60E8">
      <w:pPr>
        <w:rPr>
          <w:rFonts w:ascii="Arial" w:hAnsi="Arial" w:cs="Arial"/>
          <w:b/>
        </w:rPr>
      </w:pPr>
      <w:r w:rsidRPr="008052F5">
        <w:rPr>
          <w:rFonts w:ascii="Arial" w:hAnsi="Arial" w:cs="Arial"/>
          <w:b/>
        </w:rPr>
        <w:br w:type="page"/>
      </w:r>
    </w:p>
    <w:p w14:paraId="18B0C593" w14:textId="43A9B2B0" w:rsidR="0093054A" w:rsidRPr="008052F5" w:rsidRDefault="0093054A" w:rsidP="0093054A">
      <w:pPr>
        <w:rPr>
          <w:rFonts w:ascii="Arial" w:hAnsi="Arial" w:cs="Arial"/>
          <w:b/>
        </w:rPr>
      </w:pPr>
      <w:r w:rsidRPr="008052F5">
        <w:rPr>
          <w:rFonts w:ascii="Arial" w:hAnsi="Arial" w:cs="Arial"/>
          <w:b/>
        </w:rPr>
        <w:lastRenderedPageBreak/>
        <w:t xml:space="preserve">Table S4: Choice of </w:t>
      </w:r>
      <w:r w:rsidRPr="008052F5">
        <w:rPr>
          <w:rFonts w:ascii="Arial" w:hAnsi="Arial" w:cs="Arial"/>
          <w:b/>
          <w:bCs/>
        </w:rPr>
        <w:t>Interaction Threshold</w:t>
      </w:r>
      <w:r w:rsidRPr="008052F5">
        <w:rPr>
          <w:rFonts w:ascii="Arial" w:hAnsi="Arial" w:cs="Arial"/>
          <w:b/>
        </w:rPr>
        <w:t>, NRMSE and Retained Interactions of Imputation</w:t>
      </w:r>
    </w:p>
    <w:tbl>
      <w:tblPr>
        <w:tblStyle w:val="TableGrid"/>
        <w:tblW w:w="9550" w:type="dxa"/>
        <w:tblLook w:val="04A0" w:firstRow="1" w:lastRow="0" w:firstColumn="1" w:lastColumn="0" w:noHBand="0" w:noVBand="1"/>
      </w:tblPr>
      <w:tblGrid>
        <w:gridCol w:w="1870"/>
        <w:gridCol w:w="3030"/>
        <w:gridCol w:w="1785"/>
        <w:gridCol w:w="1575"/>
        <w:gridCol w:w="1290"/>
      </w:tblGrid>
      <w:tr w:rsidR="008052F5" w:rsidRPr="008052F5" w14:paraId="65F542E3" w14:textId="77777777">
        <w:trPr>
          <w:trHeight w:val="300"/>
        </w:trPr>
        <w:tc>
          <w:tcPr>
            <w:tcW w:w="1870" w:type="dxa"/>
          </w:tcPr>
          <w:p w14:paraId="5098638E" w14:textId="77777777" w:rsidR="0093054A" w:rsidRPr="008052F5" w:rsidRDefault="0093054A">
            <w:pPr>
              <w:rPr>
                <w:rFonts w:ascii="Arial" w:hAnsi="Arial" w:cs="Arial"/>
                <w:b/>
              </w:rPr>
            </w:pPr>
            <w:r w:rsidRPr="008052F5">
              <w:rPr>
                <w:rFonts w:ascii="Arial" w:hAnsi="Arial" w:cs="Arial"/>
                <w:b/>
              </w:rPr>
              <w:t>Comparison</w:t>
            </w:r>
          </w:p>
        </w:tc>
        <w:tc>
          <w:tcPr>
            <w:tcW w:w="3030" w:type="dxa"/>
          </w:tcPr>
          <w:p w14:paraId="01301F8C" w14:textId="51879652" w:rsidR="0093054A" w:rsidRPr="008052F5" w:rsidRDefault="0093054A">
            <w:pPr>
              <w:rPr>
                <w:rFonts w:ascii="Arial" w:hAnsi="Arial" w:cs="Arial"/>
                <w:b/>
                <w:bCs/>
              </w:rPr>
            </w:pPr>
            <w:r w:rsidRPr="008052F5">
              <w:rPr>
                <w:rFonts w:ascii="Arial" w:hAnsi="Arial" w:cs="Arial"/>
                <w:b/>
                <w:bCs/>
              </w:rPr>
              <w:t xml:space="preserve">Minimum Proportion of Samples with Observed Interaction Scores </w:t>
            </w:r>
          </w:p>
        </w:tc>
        <w:tc>
          <w:tcPr>
            <w:tcW w:w="1785" w:type="dxa"/>
          </w:tcPr>
          <w:p w14:paraId="2E36F2FC" w14:textId="77777777" w:rsidR="0093054A" w:rsidRPr="008052F5" w:rsidRDefault="0093054A">
            <w:pPr>
              <w:rPr>
                <w:rFonts w:ascii="Arial" w:hAnsi="Arial" w:cs="Arial"/>
                <w:b/>
              </w:rPr>
            </w:pPr>
            <w:r w:rsidRPr="008052F5">
              <w:rPr>
                <w:rFonts w:ascii="Arial" w:hAnsi="Arial" w:cs="Arial"/>
                <w:b/>
              </w:rPr>
              <w:t>Retained Interactions</w:t>
            </w:r>
          </w:p>
        </w:tc>
        <w:tc>
          <w:tcPr>
            <w:tcW w:w="1575" w:type="dxa"/>
          </w:tcPr>
          <w:p w14:paraId="0D147F13" w14:textId="77777777" w:rsidR="0093054A" w:rsidRPr="008052F5" w:rsidRDefault="0093054A">
            <w:pPr>
              <w:rPr>
                <w:rFonts w:ascii="Arial" w:hAnsi="Arial" w:cs="Arial"/>
                <w:b/>
                <w:bCs/>
              </w:rPr>
            </w:pPr>
            <w:r w:rsidRPr="008052F5">
              <w:rPr>
                <w:rFonts w:ascii="Arial" w:hAnsi="Arial" w:cs="Arial"/>
                <w:b/>
                <w:bCs/>
              </w:rPr>
              <w:t>Percent Zeros</w:t>
            </w:r>
          </w:p>
        </w:tc>
        <w:tc>
          <w:tcPr>
            <w:tcW w:w="1290" w:type="dxa"/>
          </w:tcPr>
          <w:p w14:paraId="665BAC7E" w14:textId="77777777" w:rsidR="0093054A" w:rsidRPr="008052F5" w:rsidRDefault="0093054A">
            <w:pPr>
              <w:rPr>
                <w:rFonts w:ascii="Arial" w:hAnsi="Arial" w:cs="Arial"/>
                <w:b/>
              </w:rPr>
            </w:pPr>
            <w:r w:rsidRPr="008052F5">
              <w:rPr>
                <w:rFonts w:ascii="Arial" w:hAnsi="Arial" w:cs="Arial"/>
                <w:b/>
              </w:rPr>
              <w:t>NRMSE</w:t>
            </w:r>
          </w:p>
        </w:tc>
      </w:tr>
      <w:tr w:rsidR="008052F5" w:rsidRPr="008052F5" w14:paraId="1605DC60" w14:textId="77777777">
        <w:trPr>
          <w:trHeight w:val="300"/>
        </w:trPr>
        <w:tc>
          <w:tcPr>
            <w:tcW w:w="1870" w:type="dxa"/>
          </w:tcPr>
          <w:p w14:paraId="0D13F036" w14:textId="77777777" w:rsidR="0093054A" w:rsidRPr="008052F5" w:rsidRDefault="0093054A">
            <w:pPr>
              <w:rPr>
                <w:rFonts w:ascii="Arial" w:hAnsi="Arial" w:cs="Arial"/>
                <w:bCs/>
              </w:rPr>
            </w:pPr>
            <w:r w:rsidRPr="008052F5">
              <w:rPr>
                <w:rFonts w:ascii="Arial" w:hAnsi="Arial" w:cs="Arial"/>
                <w:bCs/>
              </w:rPr>
              <w:t xml:space="preserve">Pre R </w:t>
            </w:r>
            <w:r w:rsidRPr="008052F5">
              <w:rPr>
                <w:rFonts w:ascii="Arial" w:hAnsi="Arial" w:cs="Arial"/>
                <w:i/>
              </w:rPr>
              <w:t>vs</w:t>
            </w:r>
            <w:r w:rsidRPr="008052F5">
              <w:rPr>
                <w:rFonts w:ascii="Arial" w:hAnsi="Arial" w:cs="Arial"/>
                <w:bCs/>
                <w:i/>
                <w:iCs/>
              </w:rPr>
              <w:t>.</w:t>
            </w:r>
            <w:r w:rsidRPr="008052F5">
              <w:rPr>
                <w:rFonts w:ascii="Arial" w:hAnsi="Arial" w:cs="Arial"/>
                <w:bCs/>
              </w:rPr>
              <w:t xml:space="preserve"> NR</w:t>
            </w:r>
          </w:p>
        </w:tc>
        <w:tc>
          <w:tcPr>
            <w:tcW w:w="3030" w:type="dxa"/>
          </w:tcPr>
          <w:p w14:paraId="50F2F0C1" w14:textId="77777777" w:rsidR="0093054A" w:rsidRPr="008052F5" w:rsidRDefault="0093054A">
            <w:pPr>
              <w:rPr>
                <w:rFonts w:ascii="Arial" w:hAnsi="Arial" w:cs="Arial"/>
                <w:bCs/>
              </w:rPr>
            </w:pPr>
            <w:r w:rsidRPr="008052F5">
              <w:rPr>
                <w:rFonts w:ascii="Arial" w:hAnsi="Arial" w:cs="Arial"/>
                <w:bCs/>
              </w:rPr>
              <w:t>0.7</w:t>
            </w:r>
          </w:p>
        </w:tc>
        <w:tc>
          <w:tcPr>
            <w:tcW w:w="1785" w:type="dxa"/>
          </w:tcPr>
          <w:p w14:paraId="130AEB3E" w14:textId="77777777" w:rsidR="0093054A" w:rsidRPr="008052F5" w:rsidRDefault="0093054A">
            <w:pPr>
              <w:rPr>
                <w:rFonts w:ascii="Arial" w:hAnsi="Arial" w:cs="Arial"/>
                <w:bCs/>
              </w:rPr>
            </w:pPr>
            <w:r w:rsidRPr="008052F5">
              <w:rPr>
                <w:rFonts w:ascii="Arial" w:hAnsi="Arial" w:cs="Arial"/>
                <w:bCs/>
              </w:rPr>
              <w:t>1037</w:t>
            </w:r>
          </w:p>
        </w:tc>
        <w:tc>
          <w:tcPr>
            <w:tcW w:w="1575" w:type="dxa"/>
          </w:tcPr>
          <w:p w14:paraId="24EF55CF" w14:textId="77777777" w:rsidR="0093054A" w:rsidRPr="008052F5" w:rsidRDefault="0093054A">
            <w:pPr>
              <w:rPr>
                <w:rFonts w:ascii="Arial" w:hAnsi="Arial" w:cs="Arial"/>
                <w:bCs/>
              </w:rPr>
            </w:pPr>
            <w:r w:rsidRPr="008052F5">
              <w:rPr>
                <w:rFonts w:ascii="Arial" w:hAnsi="Arial" w:cs="Arial"/>
                <w:bCs/>
              </w:rPr>
              <w:t>13.85</w:t>
            </w:r>
          </w:p>
        </w:tc>
        <w:tc>
          <w:tcPr>
            <w:tcW w:w="1290" w:type="dxa"/>
          </w:tcPr>
          <w:p w14:paraId="0CBBA717" w14:textId="77777777" w:rsidR="0093054A" w:rsidRPr="008052F5" w:rsidRDefault="0093054A">
            <w:pPr>
              <w:rPr>
                <w:rFonts w:ascii="Arial" w:hAnsi="Arial" w:cs="Arial"/>
                <w:bCs/>
              </w:rPr>
            </w:pPr>
            <w:r w:rsidRPr="008052F5">
              <w:rPr>
                <w:rFonts w:ascii="Arial" w:hAnsi="Arial" w:cs="Arial"/>
                <w:bCs/>
              </w:rPr>
              <w:t>0.341</w:t>
            </w:r>
          </w:p>
        </w:tc>
      </w:tr>
      <w:tr w:rsidR="008052F5" w:rsidRPr="008052F5" w14:paraId="5482651C" w14:textId="77777777">
        <w:trPr>
          <w:trHeight w:val="300"/>
        </w:trPr>
        <w:tc>
          <w:tcPr>
            <w:tcW w:w="1870" w:type="dxa"/>
          </w:tcPr>
          <w:p w14:paraId="79E3F922" w14:textId="77777777" w:rsidR="0093054A" w:rsidRPr="008052F5" w:rsidRDefault="0093054A">
            <w:pPr>
              <w:rPr>
                <w:rFonts w:ascii="Arial" w:hAnsi="Arial" w:cs="Arial"/>
                <w:bCs/>
              </w:rPr>
            </w:pPr>
            <w:r w:rsidRPr="008052F5">
              <w:rPr>
                <w:rFonts w:ascii="Arial" w:hAnsi="Arial" w:cs="Arial"/>
                <w:bCs/>
              </w:rPr>
              <w:t xml:space="preserve">NR Pre </w:t>
            </w:r>
            <w:r w:rsidRPr="008052F5">
              <w:rPr>
                <w:rFonts w:ascii="Arial" w:hAnsi="Arial" w:cs="Arial"/>
                <w:i/>
              </w:rPr>
              <w:t>vs.</w:t>
            </w:r>
            <w:r w:rsidRPr="008052F5">
              <w:rPr>
                <w:rFonts w:ascii="Arial" w:hAnsi="Arial" w:cs="Arial"/>
                <w:bCs/>
              </w:rPr>
              <w:t xml:space="preserve"> Post</w:t>
            </w:r>
          </w:p>
        </w:tc>
        <w:tc>
          <w:tcPr>
            <w:tcW w:w="3030" w:type="dxa"/>
          </w:tcPr>
          <w:p w14:paraId="39D97846" w14:textId="77777777" w:rsidR="0093054A" w:rsidRPr="008052F5" w:rsidRDefault="0093054A">
            <w:pPr>
              <w:rPr>
                <w:rFonts w:ascii="Arial" w:hAnsi="Arial" w:cs="Arial"/>
                <w:bCs/>
              </w:rPr>
            </w:pPr>
            <w:r w:rsidRPr="008052F5">
              <w:rPr>
                <w:rFonts w:ascii="Arial" w:hAnsi="Arial" w:cs="Arial"/>
                <w:bCs/>
              </w:rPr>
              <w:t>0.92</w:t>
            </w:r>
          </w:p>
        </w:tc>
        <w:tc>
          <w:tcPr>
            <w:tcW w:w="1785" w:type="dxa"/>
          </w:tcPr>
          <w:p w14:paraId="66E7F70F" w14:textId="77777777" w:rsidR="0093054A" w:rsidRPr="008052F5" w:rsidRDefault="0093054A">
            <w:pPr>
              <w:rPr>
                <w:rFonts w:ascii="Arial" w:hAnsi="Arial" w:cs="Arial"/>
                <w:bCs/>
              </w:rPr>
            </w:pPr>
            <w:r w:rsidRPr="008052F5">
              <w:rPr>
                <w:rFonts w:ascii="Arial" w:hAnsi="Arial" w:cs="Arial"/>
                <w:bCs/>
              </w:rPr>
              <w:t>476</w:t>
            </w:r>
          </w:p>
        </w:tc>
        <w:tc>
          <w:tcPr>
            <w:tcW w:w="1575" w:type="dxa"/>
          </w:tcPr>
          <w:p w14:paraId="6BFDEE49" w14:textId="77777777" w:rsidR="0093054A" w:rsidRPr="008052F5" w:rsidRDefault="0093054A">
            <w:pPr>
              <w:rPr>
                <w:rFonts w:ascii="Arial" w:hAnsi="Arial" w:cs="Arial"/>
                <w:bCs/>
              </w:rPr>
            </w:pPr>
            <w:r w:rsidRPr="008052F5">
              <w:rPr>
                <w:rFonts w:ascii="Arial" w:hAnsi="Arial" w:cs="Arial"/>
                <w:bCs/>
              </w:rPr>
              <w:t>3.28</w:t>
            </w:r>
          </w:p>
        </w:tc>
        <w:tc>
          <w:tcPr>
            <w:tcW w:w="1290" w:type="dxa"/>
          </w:tcPr>
          <w:p w14:paraId="07AB5FAF" w14:textId="77777777" w:rsidR="0093054A" w:rsidRPr="008052F5" w:rsidRDefault="0093054A">
            <w:pPr>
              <w:rPr>
                <w:rFonts w:ascii="Arial" w:hAnsi="Arial" w:cs="Arial"/>
                <w:bCs/>
              </w:rPr>
            </w:pPr>
            <w:r w:rsidRPr="008052F5">
              <w:rPr>
                <w:rFonts w:ascii="Arial" w:hAnsi="Arial" w:cs="Arial"/>
                <w:bCs/>
              </w:rPr>
              <w:t>0.290</w:t>
            </w:r>
          </w:p>
        </w:tc>
      </w:tr>
      <w:tr w:rsidR="008052F5" w:rsidRPr="008052F5" w14:paraId="2515A69E" w14:textId="77777777">
        <w:trPr>
          <w:trHeight w:val="300"/>
        </w:trPr>
        <w:tc>
          <w:tcPr>
            <w:tcW w:w="1870" w:type="dxa"/>
          </w:tcPr>
          <w:p w14:paraId="296DC747" w14:textId="77777777" w:rsidR="0093054A" w:rsidRPr="008052F5" w:rsidRDefault="0093054A">
            <w:pPr>
              <w:rPr>
                <w:rFonts w:ascii="Arial" w:hAnsi="Arial" w:cs="Arial"/>
                <w:bCs/>
              </w:rPr>
            </w:pPr>
            <w:r w:rsidRPr="008052F5">
              <w:rPr>
                <w:rFonts w:ascii="Arial" w:hAnsi="Arial" w:cs="Arial"/>
                <w:bCs/>
              </w:rPr>
              <w:t xml:space="preserve">R Pre </w:t>
            </w:r>
            <w:r w:rsidRPr="008052F5">
              <w:rPr>
                <w:rFonts w:ascii="Arial" w:hAnsi="Arial" w:cs="Arial"/>
                <w:i/>
              </w:rPr>
              <w:t>vs</w:t>
            </w:r>
            <w:r w:rsidRPr="008052F5">
              <w:rPr>
                <w:rFonts w:ascii="Arial" w:hAnsi="Arial" w:cs="Arial"/>
                <w:bCs/>
                <w:i/>
                <w:iCs/>
              </w:rPr>
              <w:t>.</w:t>
            </w:r>
            <w:r w:rsidRPr="008052F5">
              <w:rPr>
                <w:rFonts w:ascii="Arial" w:hAnsi="Arial" w:cs="Arial"/>
                <w:bCs/>
              </w:rPr>
              <w:t xml:space="preserve"> Post</w:t>
            </w:r>
          </w:p>
        </w:tc>
        <w:tc>
          <w:tcPr>
            <w:tcW w:w="3030" w:type="dxa"/>
          </w:tcPr>
          <w:p w14:paraId="7382BC0B" w14:textId="77777777" w:rsidR="0093054A" w:rsidRPr="008052F5" w:rsidRDefault="0093054A">
            <w:pPr>
              <w:rPr>
                <w:rFonts w:ascii="Arial" w:hAnsi="Arial" w:cs="Arial"/>
                <w:bCs/>
              </w:rPr>
            </w:pPr>
            <w:r w:rsidRPr="008052F5">
              <w:rPr>
                <w:rFonts w:ascii="Arial" w:hAnsi="Arial" w:cs="Arial"/>
                <w:bCs/>
              </w:rPr>
              <w:t>0.9</w:t>
            </w:r>
          </w:p>
        </w:tc>
        <w:tc>
          <w:tcPr>
            <w:tcW w:w="1785" w:type="dxa"/>
          </w:tcPr>
          <w:p w14:paraId="7974D63F" w14:textId="77777777" w:rsidR="0093054A" w:rsidRPr="008052F5" w:rsidRDefault="0093054A">
            <w:pPr>
              <w:rPr>
                <w:rFonts w:ascii="Arial" w:hAnsi="Arial" w:cs="Arial"/>
                <w:bCs/>
              </w:rPr>
            </w:pPr>
            <w:r w:rsidRPr="008052F5">
              <w:rPr>
                <w:rFonts w:ascii="Arial" w:hAnsi="Arial" w:cs="Arial"/>
                <w:bCs/>
              </w:rPr>
              <w:t>285</w:t>
            </w:r>
          </w:p>
        </w:tc>
        <w:tc>
          <w:tcPr>
            <w:tcW w:w="1575" w:type="dxa"/>
          </w:tcPr>
          <w:p w14:paraId="124C3097" w14:textId="77777777" w:rsidR="0093054A" w:rsidRPr="008052F5" w:rsidRDefault="0093054A">
            <w:pPr>
              <w:rPr>
                <w:rFonts w:ascii="Arial" w:hAnsi="Arial" w:cs="Arial"/>
                <w:bCs/>
              </w:rPr>
            </w:pPr>
            <w:r w:rsidRPr="008052F5">
              <w:rPr>
                <w:rFonts w:ascii="Arial" w:hAnsi="Arial" w:cs="Arial"/>
                <w:bCs/>
              </w:rPr>
              <w:t>4.83</w:t>
            </w:r>
          </w:p>
        </w:tc>
        <w:tc>
          <w:tcPr>
            <w:tcW w:w="1290" w:type="dxa"/>
          </w:tcPr>
          <w:p w14:paraId="0FF0D485" w14:textId="77777777" w:rsidR="0093054A" w:rsidRPr="008052F5" w:rsidRDefault="0093054A">
            <w:pPr>
              <w:rPr>
                <w:rFonts w:ascii="Arial" w:hAnsi="Arial" w:cs="Arial"/>
                <w:bCs/>
              </w:rPr>
            </w:pPr>
            <w:r w:rsidRPr="008052F5">
              <w:rPr>
                <w:rFonts w:ascii="Arial" w:hAnsi="Arial" w:cs="Arial"/>
                <w:bCs/>
              </w:rPr>
              <w:t>0.253</w:t>
            </w:r>
          </w:p>
        </w:tc>
      </w:tr>
      <w:tr w:rsidR="0093054A" w:rsidRPr="008052F5" w14:paraId="12006AC6" w14:textId="77777777">
        <w:trPr>
          <w:trHeight w:val="300"/>
        </w:trPr>
        <w:tc>
          <w:tcPr>
            <w:tcW w:w="1870" w:type="dxa"/>
          </w:tcPr>
          <w:p w14:paraId="4AA5CCFF" w14:textId="77777777" w:rsidR="0093054A" w:rsidRPr="008052F5" w:rsidRDefault="0093054A">
            <w:pPr>
              <w:rPr>
                <w:rFonts w:ascii="Arial" w:hAnsi="Arial" w:cs="Arial"/>
                <w:bCs/>
              </w:rPr>
            </w:pPr>
            <w:r w:rsidRPr="008052F5">
              <w:rPr>
                <w:rFonts w:ascii="Arial" w:hAnsi="Arial" w:cs="Arial"/>
                <w:bCs/>
              </w:rPr>
              <w:t xml:space="preserve">Validation Pre </w:t>
            </w:r>
            <w:r w:rsidRPr="008052F5">
              <w:rPr>
                <w:rFonts w:ascii="Arial" w:hAnsi="Arial" w:cs="Arial"/>
                <w:i/>
              </w:rPr>
              <w:t>vs</w:t>
            </w:r>
            <w:r w:rsidRPr="008052F5">
              <w:rPr>
                <w:rFonts w:ascii="Arial" w:hAnsi="Arial" w:cs="Arial"/>
                <w:bCs/>
                <w:i/>
                <w:iCs/>
              </w:rPr>
              <w:t>.</w:t>
            </w:r>
            <w:r w:rsidRPr="008052F5">
              <w:rPr>
                <w:rFonts w:ascii="Arial" w:hAnsi="Arial" w:cs="Arial"/>
                <w:bCs/>
              </w:rPr>
              <w:t xml:space="preserve"> Post</w:t>
            </w:r>
          </w:p>
        </w:tc>
        <w:tc>
          <w:tcPr>
            <w:tcW w:w="3030" w:type="dxa"/>
          </w:tcPr>
          <w:p w14:paraId="55B6250F" w14:textId="77777777" w:rsidR="0093054A" w:rsidRPr="008052F5" w:rsidRDefault="0093054A">
            <w:pPr>
              <w:rPr>
                <w:rFonts w:ascii="Arial" w:hAnsi="Arial" w:cs="Arial"/>
                <w:bCs/>
              </w:rPr>
            </w:pPr>
            <w:r w:rsidRPr="008052F5">
              <w:rPr>
                <w:rFonts w:ascii="Arial" w:hAnsi="Arial" w:cs="Arial"/>
                <w:bCs/>
              </w:rPr>
              <w:t>0.72</w:t>
            </w:r>
          </w:p>
        </w:tc>
        <w:tc>
          <w:tcPr>
            <w:tcW w:w="1785" w:type="dxa"/>
          </w:tcPr>
          <w:p w14:paraId="47B882CC" w14:textId="77777777" w:rsidR="0093054A" w:rsidRPr="008052F5" w:rsidRDefault="0093054A">
            <w:pPr>
              <w:rPr>
                <w:rFonts w:ascii="Arial" w:hAnsi="Arial" w:cs="Arial"/>
                <w:bCs/>
              </w:rPr>
            </w:pPr>
            <w:r w:rsidRPr="008052F5">
              <w:rPr>
                <w:rFonts w:ascii="Arial" w:hAnsi="Arial" w:cs="Arial"/>
                <w:bCs/>
              </w:rPr>
              <w:t>1294</w:t>
            </w:r>
          </w:p>
        </w:tc>
        <w:tc>
          <w:tcPr>
            <w:tcW w:w="1575" w:type="dxa"/>
          </w:tcPr>
          <w:p w14:paraId="0C7E977E" w14:textId="77777777" w:rsidR="0093054A" w:rsidRPr="008052F5" w:rsidRDefault="0093054A">
            <w:pPr>
              <w:rPr>
                <w:rFonts w:ascii="Arial" w:hAnsi="Arial" w:cs="Arial"/>
                <w:bCs/>
              </w:rPr>
            </w:pPr>
            <w:r w:rsidRPr="008052F5">
              <w:rPr>
                <w:rFonts w:ascii="Arial" w:hAnsi="Arial" w:cs="Arial"/>
                <w:bCs/>
              </w:rPr>
              <w:t>15.31</w:t>
            </w:r>
          </w:p>
        </w:tc>
        <w:tc>
          <w:tcPr>
            <w:tcW w:w="1290" w:type="dxa"/>
          </w:tcPr>
          <w:p w14:paraId="6F8665E8" w14:textId="77777777" w:rsidR="0093054A" w:rsidRPr="008052F5" w:rsidRDefault="0093054A">
            <w:pPr>
              <w:rPr>
                <w:rFonts w:ascii="Arial" w:hAnsi="Arial" w:cs="Arial"/>
                <w:bCs/>
              </w:rPr>
            </w:pPr>
            <w:r w:rsidRPr="008052F5">
              <w:rPr>
                <w:rFonts w:ascii="Arial" w:hAnsi="Arial" w:cs="Arial"/>
                <w:bCs/>
              </w:rPr>
              <w:t>0.335</w:t>
            </w:r>
          </w:p>
        </w:tc>
      </w:tr>
    </w:tbl>
    <w:p w14:paraId="350CDA37" w14:textId="77777777" w:rsidR="0093054A" w:rsidRPr="008052F5" w:rsidRDefault="0093054A" w:rsidP="0093054A">
      <w:pPr>
        <w:rPr>
          <w:rFonts w:ascii="Arial" w:hAnsi="Arial" w:cs="Arial"/>
          <w:b/>
        </w:rPr>
      </w:pPr>
    </w:p>
    <w:p w14:paraId="1A764B49" w14:textId="77777777" w:rsidR="0093054A" w:rsidRPr="008052F5" w:rsidRDefault="0093054A">
      <w:pPr>
        <w:rPr>
          <w:rFonts w:ascii="Arial" w:hAnsi="Arial" w:cs="Arial"/>
          <w:b/>
        </w:rPr>
      </w:pPr>
    </w:p>
    <w:p w14:paraId="2D8087C2" w14:textId="77777777" w:rsidR="007C60E8" w:rsidRPr="008052F5" w:rsidRDefault="007C60E8">
      <w:pPr>
        <w:rPr>
          <w:rFonts w:ascii="Arial" w:hAnsi="Arial" w:cs="Arial"/>
          <w:b/>
        </w:rPr>
      </w:pPr>
      <w:r w:rsidRPr="008052F5">
        <w:rPr>
          <w:rFonts w:ascii="Arial" w:hAnsi="Arial" w:cs="Arial"/>
          <w:b/>
        </w:rPr>
        <w:br w:type="page"/>
      </w:r>
    </w:p>
    <w:p w14:paraId="7EE462FD" w14:textId="3499B430" w:rsidR="00712B5A" w:rsidRPr="008052F5" w:rsidRDefault="00712B5A">
      <w:pPr>
        <w:rPr>
          <w:rFonts w:ascii="Arial" w:hAnsi="Arial" w:cs="Arial"/>
          <w:b/>
        </w:rPr>
      </w:pPr>
      <w:r w:rsidRPr="008052F5">
        <w:rPr>
          <w:rFonts w:ascii="Arial" w:hAnsi="Arial" w:cs="Arial"/>
          <w:b/>
        </w:rPr>
        <w:t xml:space="preserve">Table </w:t>
      </w:r>
      <w:r w:rsidR="004974A6" w:rsidRPr="008052F5">
        <w:rPr>
          <w:rFonts w:ascii="Arial" w:hAnsi="Arial" w:cs="Arial"/>
          <w:b/>
        </w:rPr>
        <w:t>S</w:t>
      </w:r>
      <w:r w:rsidR="0093054A" w:rsidRPr="008052F5">
        <w:rPr>
          <w:rFonts w:ascii="Arial" w:hAnsi="Arial" w:cs="Arial"/>
          <w:b/>
        </w:rPr>
        <w:t>5</w:t>
      </w:r>
      <w:r w:rsidRPr="008052F5">
        <w:rPr>
          <w:rFonts w:ascii="Arial" w:hAnsi="Arial" w:cs="Arial"/>
          <w:b/>
        </w:rPr>
        <w:t xml:space="preserve">: </w:t>
      </w:r>
      <w:r w:rsidR="003F2E66" w:rsidRPr="008052F5">
        <w:rPr>
          <w:rFonts w:ascii="Arial" w:hAnsi="Arial" w:cs="Arial"/>
          <w:b/>
        </w:rPr>
        <w:t>Selected Pathways</w:t>
      </w:r>
    </w:p>
    <w:tbl>
      <w:tblPr>
        <w:tblW w:w="8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8220"/>
      </w:tblGrid>
      <w:tr w:rsidR="008052F5" w:rsidRPr="008052F5" w14:paraId="29C8C675" w14:textId="77777777" w:rsidTr="007E7B73">
        <w:trPr>
          <w:trHeight w:val="288"/>
        </w:trPr>
        <w:tc>
          <w:tcPr>
            <w:tcW w:w="1560" w:type="dxa"/>
            <w:noWrap/>
            <w:vAlign w:val="bottom"/>
            <w:hideMark/>
          </w:tcPr>
          <w:p w14:paraId="32684EF6" w14:textId="56AA2D6A" w:rsidR="007E7B73" w:rsidRPr="008052F5" w:rsidRDefault="007E7B73" w:rsidP="00DC05FC">
            <w:pPr>
              <w:spacing w:after="0" w:line="240" w:lineRule="auto"/>
              <w:rPr>
                <w:rFonts w:ascii="Arial" w:eastAsia="Times New Roman" w:hAnsi="Arial" w:cs="Arial"/>
              </w:rPr>
            </w:pPr>
            <w:r w:rsidRPr="008052F5">
              <w:rPr>
                <w:rFonts w:ascii="Arial" w:eastAsia="Times New Roman" w:hAnsi="Arial" w:cs="Arial"/>
              </w:rPr>
              <w:t>Interaction Category</w:t>
            </w:r>
          </w:p>
        </w:tc>
        <w:tc>
          <w:tcPr>
            <w:tcW w:w="7314" w:type="dxa"/>
          </w:tcPr>
          <w:p w14:paraId="5E923359" w14:textId="4CAA0967" w:rsidR="007E7B73" w:rsidRPr="008052F5" w:rsidRDefault="007E7B73" w:rsidP="00DC05FC">
            <w:pPr>
              <w:spacing w:after="0" w:line="240" w:lineRule="auto"/>
              <w:rPr>
                <w:rFonts w:ascii="Arial" w:eastAsia="Times New Roman" w:hAnsi="Arial" w:cs="Arial"/>
              </w:rPr>
            </w:pPr>
            <w:r w:rsidRPr="008052F5">
              <w:rPr>
                <w:rFonts w:ascii="Arial" w:eastAsia="Times New Roman" w:hAnsi="Arial" w:cs="Arial"/>
              </w:rPr>
              <w:t>mSigDB Pathways</w:t>
            </w:r>
          </w:p>
        </w:tc>
      </w:tr>
      <w:tr w:rsidR="008052F5" w:rsidRPr="008052F5" w14:paraId="60ECD624" w14:textId="77777777" w:rsidTr="007E7B73">
        <w:trPr>
          <w:trHeight w:val="288"/>
        </w:trPr>
        <w:tc>
          <w:tcPr>
            <w:tcW w:w="1560" w:type="dxa"/>
            <w:noWrap/>
            <w:vAlign w:val="bottom"/>
            <w:hideMark/>
          </w:tcPr>
          <w:p w14:paraId="16724A47" w14:textId="77777777"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Immune Suppression</w:t>
            </w:r>
          </w:p>
        </w:tc>
        <w:tc>
          <w:tcPr>
            <w:tcW w:w="7314" w:type="dxa"/>
          </w:tcPr>
          <w:p w14:paraId="501729A7"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HALLMARK_TGF_BETA_SIGNALING</w:t>
            </w:r>
          </w:p>
          <w:p w14:paraId="23A5CB0E"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BIOCARTA_NFKB_PATHWAY</w:t>
            </w:r>
          </w:p>
          <w:p w14:paraId="2A6B9454" w14:textId="77777777" w:rsidR="007E7B73" w:rsidRPr="008052F5" w:rsidRDefault="007E7B73" w:rsidP="00DC05FC">
            <w:pPr>
              <w:spacing w:after="0" w:line="240" w:lineRule="auto"/>
              <w:jc w:val="right"/>
              <w:rPr>
                <w:rFonts w:ascii="Arial" w:hAnsi="Arial" w:cs="Arial"/>
                <w:sz w:val="22"/>
                <w:szCs w:val="22"/>
              </w:rPr>
            </w:pPr>
            <w:r w:rsidRPr="008052F5">
              <w:rPr>
                <w:rFonts w:ascii="Arial" w:hAnsi="Arial" w:cs="Arial"/>
                <w:sz w:val="22"/>
                <w:szCs w:val="22"/>
              </w:rPr>
              <w:t>GSE9650_EFFECTOR_VS_EXHAUSTED_CD8_TCELL_DN</w:t>
            </w:r>
          </w:p>
          <w:p w14:paraId="7C2635DA"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GSE15659_RESTING_VS_ACTIVATED_TREG_DN</w:t>
            </w:r>
          </w:p>
        </w:tc>
      </w:tr>
      <w:tr w:rsidR="008052F5" w:rsidRPr="008052F5" w14:paraId="3E1B7071" w14:textId="77777777" w:rsidTr="007E7B73">
        <w:trPr>
          <w:trHeight w:val="288"/>
        </w:trPr>
        <w:tc>
          <w:tcPr>
            <w:tcW w:w="1560" w:type="dxa"/>
            <w:noWrap/>
            <w:vAlign w:val="bottom"/>
            <w:hideMark/>
          </w:tcPr>
          <w:p w14:paraId="78E01D48" w14:textId="77777777"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Apoptotic</w:t>
            </w:r>
          </w:p>
        </w:tc>
        <w:tc>
          <w:tcPr>
            <w:tcW w:w="7314" w:type="dxa"/>
          </w:tcPr>
          <w:p w14:paraId="14CC9AE5"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HALLMARK_APOPTOSIS</w:t>
            </w:r>
          </w:p>
          <w:p w14:paraId="085EF64C"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HALLMARK_TNFA_SIGNALING_VIA_NFKB</w:t>
            </w:r>
          </w:p>
        </w:tc>
      </w:tr>
      <w:tr w:rsidR="008052F5" w:rsidRPr="008052F5" w14:paraId="551F5162" w14:textId="77777777" w:rsidTr="007E7B73">
        <w:trPr>
          <w:trHeight w:val="288"/>
        </w:trPr>
        <w:tc>
          <w:tcPr>
            <w:tcW w:w="1560" w:type="dxa"/>
            <w:noWrap/>
            <w:vAlign w:val="bottom"/>
            <w:hideMark/>
          </w:tcPr>
          <w:p w14:paraId="3DB566AF" w14:textId="77777777"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MHC</w:t>
            </w:r>
          </w:p>
        </w:tc>
        <w:tc>
          <w:tcPr>
            <w:tcW w:w="7314" w:type="dxa"/>
          </w:tcPr>
          <w:p w14:paraId="28F90DEA"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REACTOME_CLASS_I_MEDIATED_ANTIGEN_PROCESSING_PRESENTATION</w:t>
            </w:r>
          </w:p>
          <w:p w14:paraId="7597A199"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REACTOME_MHC_CLASS_II_ANTIGEN_PRESENTATION</w:t>
            </w:r>
          </w:p>
        </w:tc>
      </w:tr>
      <w:tr w:rsidR="008052F5" w:rsidRPr="008052F5" w14:paraId="1AE0BB68" w14:textId="77777777" w:rsidTr="007E7B73">
        <w:trPr>
          <w:trHeight w:val="288"/>
        </w:trPr>
        <w:tc>
          <w:tcPr>
            <w:tcW w:w="1560" w:type="dxa"/>
            <w:noWrap/>
            <w:vAlign w:val="bottom"/>
            <w:hideMark/>
          </w:tcPr>
          <w:p w14:paraId="2D81FE89" w14:textId="604B223F"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Other</w:t>
            </w:r>
          </w:p>
        </w:tc>
        <w:tc>
          <w:tcPr>
            <w:tcW w:w="7314" w:type="dxa"/>
          </w:tcPr>
          <w:p w14:paraId="7C13B3AC"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HALLMARK_PROTEIN_SECRETION</w:t>
            </w:r>
          </w:p>
        </w:tc>
      </w:tr>
      <w:tr w:rsidR="008052F5" w:rsidRPr="008052F5" w14:paraId="65FE4BC2" w14:textId="77777777" w:rsidTr="007E7B73">
        <w:trPr>
          <w:trHeight w:val="288"/>
        </w:trPr>
        <w:tc>
          <w:tcPr>
            <w:tcW w:w="1560" w:type="dxa"/>
            <w:noWrap/>
            <w:vAlign w:val="bottom"/>
            <w:hideMark/>
          </w:tcPr>
          <w:p w14:paraId="3A824A3E" w14:textId="77777777"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Adhesion</w:t>
            </w:r>
          </w:p>
        </w:tc>
        <w:tc>
          <w:tcPr>
            <w:tcW w:w="7314" w:type="dxa"/>
          </w:tcPr>
          <w:p w14:paraId="5950B323"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KEGG_ECM_RECEPTOR_INTERACTION</w:t>
            </w:r>
          </w:p>
          <w:p w14:paraId="07F53BA8"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BIOCARTA_INTEGRIN_PATHWAY</w:t>
            </w:r>
          </w:p>
        </w:tc>
      </w:tr>
      <w:tr w:rsidR="008052F5" w:rsidRPr="008052F5" w14:paraId="1125155D" w14:textId="77777777" w:rsidTr="007E7B73">
        <w:trPr>
          <w:trHeight w:val="288"/>
        </w:trPr>
        <w:tc>
          <w:tcPr>
            <w:tcW w:w="1560" w:type="dxa"/>
            <w:noWrap/>
            <w:vAlign w:val="bottom"/>
            <w:hideMark/>
          </w:tcPr>
          <w:p w14:paraId="67AD465D" w14:textId="77777777"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Chemotaxis</w:t>
            </w:r>
          </w:p>
        </w:tc>
        <w:tc>
          <w:tcPr>
            <w:tcW w:w="7314" w:type="dxa"/>
          </w:tcPr>
          <w:p w14:paraId="7497B6D9"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BIOCARTA_CXCR4_PATHWAY</w:t>
            </w:r>
          </w:p>
          <w:p w14:paraId="7B4E97DE"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BIOCARTA_CCR5_PATHWAY</w:t>
            </w:r>
          </w:p>
        </w:tc>
      </w:tr>
      <w:tr w:rsidR="008052F5" w:rsidRPr="008052F5" w14:paraId="13B738F8" w14:textId="77777777" w:rsidTr="007E7B73">
        <w:trPr>
          <w:trHeight w:val="63"/>
        </w:trPr>
        <w:tc>
          <w:tcPr>
            <w:tcW w:w="1560" w:type="dxa"/>
            <w:noWrap/>
            <w:vAlign w:val="bottom"/>
            <w:hideMark/>
          </w:tcPr>
          <w:p w14:paraId="56B1520C" w14:textId="77777777" w:rsidR="007E7B73" w:rsidRPr="008052F5" w:rsidRDefault="007E7B73" w:rsidP="00DC05FC">
            <w:pPr>
              <w:spacing w:after="0" w:line="240" w:lineRule="auto"/>
              <w:rPr>
                <w:rFonts w:ascii="Arial" w:eastAsia="Times New Roman" w:hAnsi="Arial" w:cs="Arial"/>
                <w:sz w:val="22"/>
                <w:szCs w:val="22"/>
              </w:rPr>
            </w:pPr>
            <w:r w:rsidRPr="008052F5">
              <w:rPr>
                <w:rFonts w:ascii="Arial" w:eastAsia="Times New Roman" w:hAnsi="Arial" w:cs="Arial"/>
                <w:sz w:val="22"/>
                <w:szCs w:val="22"/>
              </w:rPr>
              <w:t>Immune Activation</w:t>
            </w:r>
          </w:p>
        </w:tc>
        <w:tc>
          <w:tcPr>
            <w:tcW w:w="7314" w:type="dxa"/>
          </w:tcPr>
          <w:p w14:paraId="6F01AA29"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HALLMARK_INFLAMMATORY_RESPONSE</w:t>
            </w:r>
          </w:p>
          <w:p w14:paraId="2DE9DBB6"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HALLMARK_INTERFERON_GAMMA_RESPONSE</w:t>
            </w:r>
          </w:p>
          <w:p w14:paraId="7F9E8F7C"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WP_T_CELL_RECEPTOR_AND_COSTIMULATORY_SIGNALING</w:t>
            </w:r>
          </w:p>
          <w:p w14:paraId="00F374FF"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BIOCARTA_TCR_PATHWAY</w:t>
            </w:r>
          </w:p>
          <w:p w14:paraId="16DC1250" w14:textId="77777777" w:rsidR="007E7B73" w:rsidRPr="008052F5" w:rsidRDefault="007E7B73" w:rsidP="00DC05FC">
            <w:pPr>
              <w:spacing w:after="0" w:line="240" w:lineRule="auto"/>
              <w:jc w:val="right"/>
              <w:rPr>
                <w:rFonts w:ascii="Arial" w:eastAsia="Times New Roman" w:hAnsi="Arial" w:cs="Arial"/>
                <w:sz w:val="22"/>
                <w:szCs w:val="22"/>
              </w:rPr>
            </w:pPr>
            <w:r w:rsidRPr="008052F5">
              <w:rPr>
                <w:rFonts w:ascii="Arial" w:eastAsia="Times New Roman" w:hAnsi="Arial" w:cs="Arial"/>
                <w:sz w:val="22"/>
                <w:szCs w:val="22"/>
              </w:rPr>
              <w:t>GSE13738_RESTING_VS_TCR_ACTIVATED_CD4_TCELL_DN</w:t>
            </w:r>
          </w:p>
        </w:tc>
      </w:tr>
      <w:tr w:rsidR="008052F5" w:rsidRPr="008052F5" w14:paraId="5A86AC7B" w14:textId="77777777" w:rsidTr="00DC05FC">
        <w:trPr>
          <w:trHeight w:val="288"/>
        </w:trPr>
        <w:tc>
          <w:tcPr>
            <w:tcW w:w="8874" w:type="dxa"/>
            <w:gridSpan w:val="2"/>
            <w:noWrap/>
            <w:vAlign w:val="bottom"/>
            <w:hideMark/>
          </w:tcPr>
          <w:p w14:paraId="40FA39C2" w14:textId="2699F906" w:rsidR="00C67AFB" w:rsidRPr="008052F5" w:rsidRDefault="00C67AFB" w:rsidP="00DC05FC">
            <w:pPr>
              <w:spacing w:after="0" w:line="240" w:lineRule="auto"/>
              <w:rPr>
                <w:rFonts w:ascii="Arial" w:eastAsia="Times New Roman" w:hAnsi="Arial" w:cs="Arial"/>
                <w:sz w:val="20"/>
                <w:szCs w:val="20"/>
              </w:rPr>
            </w:pPr>
            <w:r w:rsidRPr="008052F5">
              <w:rPr>
                <w:rFonts w:ascii="Arial" w:eastAsia="Times New Roman" w:hAnsi="Arial" w:cs="Arial"/>
                <w:sz w:val="20"/>
                <w:szCs w:val="20"/>
              </w:rPr>
              <w:t xml:space="preserve">Note: Pathways were selected based on the interactions </w:t>
            </w:r>
            <w:r w:rsidR="007F79DB" w:rsidRPr="008052F5">
              <w:rPr>
                <w:rFonts w:ascii="Arial" w:eastAsia="Times New Roman" w:hAnsi="Arial" w:cs="Arial"/>
                <w:sz w:val="20"/>
                <w:szCs w:val="20"/>
              </w:rPr>
              <w:t xml:space="preserve">that were identified in the </w:t>
            </w:r>
            <w:r w:rsidR="002C06B8" w:rsidRPr="008052F5">
              <w:rPr>
                <w:rFonts w:ascii="Arial" w:eastAsia="Times New Roman" w:hAnsi="Arial" w:cs="Arial"/>
                <w:sz w:val="20"/>
                <w:szCs w:val="20"/>
              </w:rPr>
              <w:t xml:space="preserve">pre-ICI R </w:t>
            </w:r>
            <w:r w:rsidR="002C06B8" w:rsidRPr="008052F5">
              <w:rPr>
                <w:rFonts w:ascii="Arial" w:eastAsia="Times New Roman" w:hAnsi="Arial" w:cs="Arial"/>
                <w:i/>
                <w:sz w:val="20"/>
                <w:szCs w:val="20"/>
              </w:rPr>
              <w:t>vs.</w:t>
            </w:r>
            <w:r w:rsidR="002C06B8" w:rsidRPr="008052F5">
              <w:rPr>
                <w:rFonts w:ascii="Arial" w:eastAsia="Times New Roman" w:hAnsi="Arial" w:cs="Arial"/>
                <w:sz w:val="20"/>
                <w:szCs w:val="20"/>
              </w:rPr>
              <w:t xml:space="preserve"> NR comparison and the</w:t>
            </w:r>
            <w:r w:rsidR="0063427E" w:rsidRPr="008052F5">
              <w:rPr>
                <w:rFonts w:ascii="Arial" w:eastAsia="Times New Roman" w:hAnsi="Arial" w:cs="Arial"/>
                <w:sz w:val="20"/>
                <w:szCs w:val="20"/>
              </w:rPr>
              <w:t>ir</w:t>
            </w:r>
            <w:r w:rsidR="002C06B8" w:rsidRPr="008052F5">
              <w:rPr>
                <w:rFonts w:ascii="Arial" w:eastAsia="Times New Roman" w:hAnsi="Arial" w:cs="Arial"/>
                <w:sz w:val="20"/>
                <w:szCs w:val="20"/>
              </w:rPr>
              <w:t xml:space="preserve"> </w:t>
            </w:r>
            <w:r w:rsidR="0063427E" w:rsidRPr="008052F5">
              <w:rPr>
                <w:rFonts w:ascii="Arial" w:eastAsia="Times New Roman" w:hAnsi="Arial" w:cs="Arial"/>
                <w:sz w:val="20"/>
                <w:szCs w:val="20"/>
              </w:rPr>
              <w:t xml:space="preserve">corresponding </w:t>
            </w:r>
            <w:r w:rsidR="002C06B8" w:rsidRPr="008052F5">
              <w:rPr>
                <w:rFonts w:ascii="Arial" w:eastAsia="Times New Roman" w:hAnsi="Arial" w:cs="Arial"/>
                <w:sz w:val="20"/>
                <w:szCs w:val="20"/>
              </w:rPr>
              <w:t>functional categories</w:t>
            </w:r>
            <w:r w:rsidRPr="008052F5">
              <w:rPr>
                <w:rFonts w:ascii="Arial" w:eastAsia="Times New Roman" w:hAnsi="Arial" w:cs="Arial"/>
                <w:sz w:val="20"/>
                <w:szCs w:val="20"/>
              </w:rPr>
              <w:t>. These pathways may have other biological functions depending on the circumstances.</w:t>
            </w:r>
          </w:p>
        </w:tc>
      </w:tr>
    </w:tbl>
    <w:p w14:paraId="7B4FB80F" w14:textId="5C716F16" w:rsidR="00497C92" w:rsidRPr="008052F5" w:rsidRDefault="00712B5A">
      <w:pPr>
        <w:rPr>
          <w:rFonts w:ascii="Arial" w:hAnsi="Arial" w:cs="Arial"/>
          <w:b/>
        </w:rPr>
      </w:pPr>
      <w:r w:rsidRPr="008052F5">
        <w:rPr>
          <w:rFonts w:ascii="Arial" w:hAnsi="Arial" w:cs="Arial"/>
          <w:b/>
        </w:rPr>
        <w:br w:type="page"/>
      </w:r>
      <w:r w:rsidR="00497C92" w:rsidRPr="008052F5">
        <w:rPr>
          <w:rFonts w:ascii="Arial" w:hAnsi="Arial" w:cs="Arial"/>
          <w:b/>
        </w:rPr>
        <w:t>Figure S1: Additional scRNAseq quality control and cell typing information</w:t>
      </w:r>
    </w:p>
    <w:p w14:paraId="1E53FF51" w14:textId="77777777" w:rsidR="00103BDD" w:rsidRPr="008052F5" w:rsidRDefault="00497C92" w:rsidP="00103BDD">
      <w:pPr>
        <w:rPr>
          <w:rFonts w:ascii="Arial" w:hAnsi="Arial" w:cs="Arial"/>
          <w:b/>
        </w:rPr>
      </w:pPr>
      <w:r w:rsidRPr="008052F5">
        <w:rPr>
          <w:rFonts w:ascii="Arial" w:hAnsi="Arial" w:cs="Arial"/>
          <w:b/>
        </w:rPr>
        <w:t>a.</w:t>
      </w:r>
    </w:p>
    <w:p w14:paraId="4135B7EB" w14:textId="77777777" w:rsidR="00DA6FDF" w:rsidRPr="008052F5" w:rsidRDefault="00103BDD" w:rsidP="00103BDD">
      <w:pPr>
        <w:rPr>
          <w:rFonts w:ascii="Arial" w:hAnsi="Arial" w:cs="Arial"/>
        </w:rPr>
      </w:pPr>
      <w:r w:rsidRPr="008052F5">
        <w:rPr>
          <w:rFonts w:ascii="Arial" w:hAnsi="Arial" w:cs="Arial"/>
        </w:rPr>
        <w:t xml:space="preserve"> </w:t>
      </w:r>
      <w:r w:rsidR="00D31004" w:rsidRPr="008052F5">
        <w:rPr>
          <w:rFonts w:ascii="Arial" w:hAnsi="Arial" w:cs="Arial"/>
        </w:rPr>
        <w:t xml:space="preserve"> </w:t>
      </w:r>
      <w:r w:rsidR="0005636B" w:rsidRPr="008052F5">
        <w:rPr>
          <w:noProof/>
          <w:lang w:val="en-IN" w:eastAsia="en-IN"/>
        </w:rPr>
        <w:drawing>
          <wp:inline distT="0" distB="0" distL="0" distR="0" wp14:anchorId="41275A4A" wp14:editId="64C409A5">
            <wp:extent cx="3802601" cy="2377440"/>
            <wp:effectExtent l="0" t="0" r="0" b="0"/>
            <wp:docPr id="1039859576" name="Picture 1" descr="A group of red and black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859576" name="Picture 1" descr="A group of red and black object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02601" cy="2377440"/>
                    </a:xfrm>
                    <a:prstGeom prst="rect">
                      <a:avLst/>
                    </a:prstGeom>
                    <a:noFill/>
                    <a:ln>
                      <a:noFill/>
                    </a:ln>
                  </pic:spPr>
                </pic:pic>
              </a:graphicData>
            </a:graphic>
          </wp:inline>
        </w:drawing>
      </w:r>
    </w:p>
    <w:p w14:paraId="7888A501" w14:textId="71C4AAEF" w:rsidR="00DA6FDF" w:rsidRPr="008052F5" w:rsidRDefault="00566BB2" w:rsidP="00103BDD">
      <w:pPr>
        <w:rPr>
          <w:rFonts w:ascii="Arial" w:hAnsi="Arial" w:cs="Arial"/>
        </w:rPr>
      </w:pPr>
      <w:r w:rsidRPr="008052F5">
        <w:rPr>
          <w:rFonts w:ascii="Arial" w:hAnsi="Arial" w:cs="Arial"/>
          <w:noProof/>
          <w:lang w:val="en-IN" w:eastAsia="en-IN"/>
        </w:rPr>
        <w:drawing>
          <wp:anchor distT="0" distB="0" distL="114300" distR="114300" simplePos="0" relativeHeight="251658240" behindDoc="0" locked="0" layoutInCell="1" allowOverlap="1" wp14:anchorId="03B05B87" wp14:editId="760EB0CE">
            <wp:simplePos x="0" y="0"/>
            <wp:positionH relativeFrom="column">
              <wp:posOffset>0</wp:posOffset>
            </wp:positionH>
            <wp:positionV relativeFrom="page">
              <wp:posOffset>4275954</wp:posOffset>
            </wp:positionV>
            <wp:extent cx="3784600" cy="2745740"/>
            <wp:effectExtent l="0" t="0" r="0" b="0"/>
            <wp:wrapTopAndBottom/>
            <wp:docPr id="947071818" name="Picture 1" descr="A diagram of a number of dn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071818" name="Picture 1" descr="A diagram of a number of dna&#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3784600" cy="2745740"/>
                    </a:xfrm>
                    <a:prstGeom prst="rect">
                      <a:avLst/>
                    </a:prstGeom>
                  </pic:spPr>
                </pic:pic>
              </a:graphicData>
            </a:graphic>
            <wp14:sizeRelH relativeFrom="page">
              <wp14:pctWidth>0</wp14:pctWidth>
            </wp14:sizeRelH>
            <wp14:sizeRelV relativeFrom="page">
              <wp14:pctHeight>0</wp14:pctHeight>
            </wp14:sizeRelV>
          </wp:anchor>
        </w:drawing>
      </w:r>
      <w:r w:rsidR="00D31004" w:rsidRPr="008052F5">
        <w:rPr>
          <w:rFonts w:ascii="Arial" w:hAnsi="Arial" w:cs="Arial"/>
          <w:b/>
        </w:rPr>
        <w:t>b</w:t>
      </w:r>
      <w:r w:rsidR="00DA6FDF" w:rsidRPr="008052F5">
        <w:rPr>
          <w:rFonts w:ascii="Arial" w:hAnsi="Arial" w:cs="Arial"/>
        </w:rPr>
        <w:t>.</w:t>
      </w:r>
    </w:p>
    <w:p w14:paraId="1B2FC1D4" w14:textId="5D4E5513" w:rsidR="005B2954" w:rsidRPr="008052F5" w:rsidRDefault="005B2954" w:rsidP="00103BDD">
      <w:pPr>
        <w:rPr>
          <w:rFonts w:ascii="Arial" w:hAnsi="Arial" w:cs="Arial"/>
          <w:b/>
        </w:rPr>
      </w:pPr>
    </w:p>
    <w:p w14:paraId="0C24107F" w14:textId="39E3C335" w:rsidR="00103BDD" w:rsidRPr="008052F5" w:rsidRDefault="005B2954" w:rsidP="00103BDD">
      <w:pPr>
        <w:rPr>
          <w:rFonts w:ascii="Arial" w:hAnsi="Arial" w:cs="Arial"/>
        </w:rPr>
      </w:pPr>
      <w:r w:rsidRPr="008052F5">
        <w:rPr>
          <w:rFonts w:ascii="Arial" w:hAnsi="Arial" w:cs="Arial"/>
          <w:b/>
        </w:rPr>
        <w:t>c.</w:t>
      </w:r>
      <w:r w:rsidR="00843DBB" w:rsidRPr="008052F5">
        <w:rPr>
          <w:rFonts w:ascii="Arial" w:hAnsi="Arial" w:cs="Arial"/>
        </w:rPr>
        <w:br/>
      </w:r>
      <w:r w:rsidR="008D422D" w:rsidRPr="008052F5">
        <w:rPr>
          <w:rFonts w:ascii="Arial" w:hAnsi="Arial" w:cs="Arial"/>
          <w:noProof/>
          <w:lang w:val="en-IN" w:eastAsia="en-IN"/>
        </w:rPr>
        <w:drawing>
          <wp:inline distT="0" distB="0" distL="0" distR="0" wp14:anchorId="0327E7DD" wp14:editId="224BFE51">
            <wp:extent cx="6564735" cy="3108960"/>
            <wp:effectExtent l="0" t="0" r="1270" b="2540"/>
            <wp:docPr id="1501371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64735" cy="3108960"/>
                    </a:xfrm>
                    <a:prstGeom prst="rect">
                      <a:avLst/>
                    </a:prstGeom>
                    <a:noFill/>
                  </pic:spPr>
                </pic:pic>
              </a:graphicData>
            </a:graphic>
          </wp:inline>
        </w:drawing>
      </w:r>
    </w:p>
    <w:p w14:paraId="7FD8435E" w14:textId="47107501" w:rsidR="003F471C" w:rsidRPr="008052F5" w:rsidRDefault="003F471C" w:rsidP="00103BDD">
      <w:pPr>
        <w:rPr>
          <w:rFonts w:ascii="Arial" w:hAnsi="Arial" w:cs="Arial"/>
        </w:rPr>
      </w:pPr>
      <w:r w:rsidRPr="008052F5">
        <w:rPr>
          <w:rFonts w:ascii="Arial" w:hAnsi="Arial" w:cs="Arial"/>
        </w:rPr>
        <w:t xml:space="preserve">d. </w:t>
      </w:r>
      <w:r w:rsidRPr="008052F5">
        <w:rPr>
          <w:rFonts w:ascii="Arial" w:hAnsi="Arial" w:cs="Arial"/>
          <w:noProof/>
          <w:lang w:val="en-IN" w:eastAsia="en-IN"/>
        </w:rPr>
        <w:drawing>
          <wp:inline distT="0" distB="0" distL="0" distR="0" wp14:anchorId="172D5F4B" wp14:editId="203CCBC4">
            <wp:extent cx="6651757" cy="3017520"/>
            <wp:effectExtent l="0" t="0" r="3175" b="5080"/>
            <wp:docPr id="12141755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51757" cy="3017520"/>
                    </a:xfrm>
                    <a:prstGeom prst="rect">
                      <a:avLst/>
                    </a:prstGeom>
                    <a:noFill/>
                  </pic:spPr>
                </pic:pic>
              </a:graphicData>
            </a:graphic>
          </wp:inline>
        </w:drawing>
      </w:r>
    </w:p>
    <w:p w14:paraId="7022CBA4" w14:textId="77777777" w:rsidR="00566BB2" w:rsidRPr="008052F5" w:rsidRDefault="00566BB2">
      <w:pPr>
        <w:rPr>
          <w:rFonts w:ascii="Arial" w:hAnsi="Arial" w:cs="Arial"/>
        </w:rPr>
      </w:pPr>
      <w:r w:rsidRPr="008052F5">
        <w:rPr>
          <w:rFonts w:ascii="Arial" w:hAnsi="Arial" w:cs="Arial"/>
        </w:rPr>
        <w:br w:type="page"/>
      </w:r>
    </w:p>
    <w:p w14:paraId="74E5CB81" w14:textId="77777777" w:rsidR="005B2954" w:rsidRPr="008052F5" w:rsidRDefault="006C7B07" w:rsidP="00103BDD">
      <w:pPr>
        <w:rPr>
          <w:rFonts w:ascii="Arial" w:hAnsi="Arial" w:cs="Arial"/>
        </w:rPr>
      </w:pPr>
      <w:r w:rsidRPr="008052F5">
        <w:rPr>
          <w:rFonts w:ascii="Arial" w:hAnsi="Arial" w:cs="Arial"/>
        </w:rPr>
        <w:t>e.</w:t>
      </w:r>
    </w:p>
    <w:p w14:paraId="53FF75FC" w14:textId="386424D5" w:rsidR="006C7B07" w:rsidRPr="008052F5" w:rsidRDefault="006C7B07" w:rsidP="00103BDD">
      <w:pPr>
        <w:rPr>
          <w:rFonts w:ascii="Arial" w:hAnsi="Arial" w:cs="Arial"/>
        </w:rPr>
      </w:pPr>
      <w:r w:rsidRPr="008052F5">
        <w:rPr>
          <w:rFonts w:ascii="Arial" w:hAnsi="Arial" w:cs="Arial"/>
        </w:rPr>
        <w:t xml:space="preserve"> </w:t>
      </w:r>
      <w:r w:rsidR="005C0DBF" w:rsidRPr="008052F5">
        <w:rPr>
          <w:rFonts w:ascii="Arial" w:hAnsi="Arial" w:cs="Arial"/>
          <w:noProof/>
          <w:lang w:val="en-IN" w:eastAsia="en-IN"/>
        </w:rPr>
        <w:drawing>
          <wp:inline distT="0" distB="0" distL="0" distR="0" wp14:anchorId="0BBB413B" wp14:editId="493D4ADA">
            <wp:extent cx="6130397" cy="7680960"/>
            <wp:effectExtent l="0" t="0" r="3810" b="2540"/>
            <wp:docPr id="524647783"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647783" name="Picture 1" descr="A screen shot of a computer&#10;&#10;AI-generated content may be incorrect."/>
                    <pic:cNvPicPr/>
                  </pic:nvPicPr>
                  <pic:blipFill>
                    <a:blip r:embed="rId12"/>
                    <a:stretch>
                      <a:fillRect/>
                    </a:stretch>
                  </pic:blipFill>
                  <pic:spPr>
                    <a:xfrm>
                      <a:off x="0" y="0"/>
                      <a:ext cx="6130397" cy="7680960"/>
                    </a:xfrm>
                    <a:prstGeom prst="rect">
                      <a:avLst/>
                    </a:prstGeom>
                  </pic:spPr>
                </pic:pic>
              </a:graphicData>
            </a:graphic>
          </wp:inline>
        </w:drawing>
      </w:r>
    </w:p>
    <w:p w14:paraId="3B77988B" w14:textId="77777777" w:rsidR="00566BB2" w:rsidRPr="008052F5" w:rsidRDefault="006C7B07" w:rsidP="00103BDD">
      <w:pPr>
        <w:rPr>
          <w:rFonts w:ascii="Arial" w:hAnsi="Arial" w:cs="Arial"/>
        </w:rPr>
      </w:pPr>
      <w:r w:rsidRPr="008052F5">
        <w:rPr>
          <w:rFonts w:ascii="Arial" w:hAnsi="Arial" w:cs="Arial"/>
        </w:rPr>
        <w:t>f.</w:t>
      </w:r>
    </w:p>
    <w:p w14:paraId="3CB75D64" w14:textId="01EB5063" w:rsidR="006C7B07" w:rsidRPr="008052F5" w:rsidRDefault="006C7B07" w:rsidP="00103BDD">
      <w:pPr>
        <w:rPr>
          <w:rFonts w:ascii="Arial" w:hAnsi="Arial" w:cs="Arial"/>
        </w:rPr>
      </w:pPr>
      <w:r w:rsidRPr="008052F5">
        <w:rPr>
          <w:rFonts w:ascii="Arial" w:hAnsi="Arial" w:cs="Arial"/>
        </w:rPr>
        <w:t xml:space="preserve"> </w:t>
      </w:r>
      <w:r w:rsidR="001C093D" w:rsidRPr="008052F5">
        <w:rPr>
          <w:rFonts w:ascii="Arial" w:hAnsi="Arial" w:cs="Arial"/>
          <w:noProof/>
          <w:lang w:val="en-IN" w:eastAsia="en-IN"/>
        </w:rPr>
        <w:drawing>
          <wp:inline distT="0" distB="0" distL="0" distR="0" wp14:anchorId="465FE69C" wp14:editId="6E80948A">
            <wp:extent cx="5450719" cy="4297680"/>
            <wp:effectExtent l="0" t="0" r="0" b="0"/>
            <wp:docPr id="118761095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610957" name="Picture 1" descr="A screenshot of a computer&#10;&#10;AI-generated content may be incorrect."/>
                    <pic:cNvPicPr/>
                  </pic:nvPicPr>
                  <pic:blipFill>
                    <a:blip r:embed="rId13"/>
                    <a:stretch>
                      <a:fillRect/>
                    </a:stretch>
                  </pic:blipFill>
                  <pic:spPr>
                    <a:xfrm>
                      <a:off x="0" y="0"/>
                      <a:ext cx="5450719" cy="4297680"/>
                    </a:xfrm>
                    <a:prstGeom prst="rect">
                      <a:avLst/>
                    </a:prstGeom>
                  </pic:spPr>
                </pic:pic>
              </a:graphicData>
            </a:graphic>
          </wp:inline>
        </w:drawing>
      </w:r>
    </w:p>
    <w:p w14:paraId="72AD0C13" w14:textId="49F5C2FC" w:rsidR="00D926EE" w:rsidRPr="008052F5" w:rsidRDefault="00843DBB">
      <w:pPr>
        <w:rPr>
          <w:rFonts w:ascii="Arial" w:hAnsi="Arial" w:cs="Arial"/>
        </w:rPr>
      </w:pPr>
      <w:r w:rsidRPr="008052F5">
        <w:rPr>
          <w:rFonts w:ascii="Arial" w:hAnsi="Arial" w:cs="Arial"/>
          <w:b/>
        </w:rPr>
        <w:t>a.</w:t>
      </w:r>
      <w:r w:rsidRPr="008052F5">
        <w:rPr>
          <w:rFonts w:ascii="Arial" w:hAnsi="Arial" w:cs="Arial"/>
        </w:rPr>
        <w:t xml:space="preserve"> Quality control plots for Sade-Feldman dataset. </w:t>
      </w:r>
      <w:r w:rsidR="00661B71" w:rsidRPr="008052F5">
        <w:rPr>
          <w:rFonts w:ascii="Arial" w:hAnsi="Arial" w:cs="Arial"/>
        </w:rPr>
        <w:t xml:space="preserve">Cells with </w:t>
      </w:r>
      <w:r w:rsidR="007C1696" w:rsidRPr="008052F5">
        <w:rPr>
          <w:rFonts w:ascii="Arial" w:hAnsi="Arial" w:cs="Arial"/>
        </w:rPr>
        <w:t>Total Genes (</w:t>
      </w:r>
      <w:r w:rsidR="00661B71" w:rsidRPr="008052F5">
        <w:rPr>
          <w:rFonts w:ascii="Arial" w:hAnsi="Arial" w:cs="Arial"/>
        </w:rPr>
        <w:t>nFeature_RNA</w:t>
      </w:r>
      <w:r w:rsidR="007C1696" w:rsidRPr="008052F5">
        <w:rPr>
          <w:rFonts w:ascii="Arial" w:hAnsi="Arial" w:cs="Arial"/>
        </w:rPr>
        <w:t>)</w:t>
      </w:r>
      <w:r w:rsidR="00661B71" w:rsidRPr="008052F5">
        <w:rPr>
          <w:rFonts w:ascii="Arial" w:hAnsi="Arial" w:cs="Arial"/>
        </w:rPr>
        <w:t xml:space="preserve"> &gt; 500</w:t>
      </w:r>
      <w:r w:rsidR="00D926EE" w:rsidRPr="008052F5">
        <w:rPr>
          <w:rFonts w:ascii="Arial" w:hAnsi="Arial" w:cs="Arial"/>
        </w:rPr>
        <w:t xml:space="preserve">, </w:t>
      </w:r>
      <w:r w:rsidR="007C1696" w:rsidRPr="008052F5">
        <w:rPr>
          <w:rFonts w:ascii="Arial" w:hAnsi="Arial" w:cs="Arial"/>
        </w:rPr>
        <w:t xml:space="preserve">Total Genes </w:t>
      </w:r>
      <w:r w:rsidR="00D926EE" w:rsidRPr="008052F5">
        <w:rPr>
          <w:rFonts w:ascii="Arial" w:hAnsi="Arial" w:cs="Arial"/>
        </w:rPr>
        <w:t xml:space="preserve">&lt; 3000, </w:t>
      </w:r>
      <w:r w:rsidR="007C1696" w:rsidRPr="008052F5">
        <w:rPr>
          <w:rFonts w:ascii="Arial" w:hAnsi="Arial" w:cs="Arial"/>
        </w:rPr>
        <w:t>and Percent Mitochondrial Genes</w:t>
      </w:r>
      <w:r w:rsidR="00D926EE" w:rsidRPr="008052F5">
        <w:rPr>
          <w:rFonts w:ascii="Arial" w:hAnsi="Arial" w:cs="Arial"/>
        </w:rPr>
        <w:t xml:space="preserve"> &lt;2 were re</w:t>
      </w:r>
      <w:r w:rsidR="00C11909" w:rsidRPr="008052F5">
        <w:rPr>
          <w:rFonts w:ascii="Arial" w:hAnsi="Arial" w:cs="Arial"/>
        </w:rPr>
        <w:t>tained for</w:t>
      </w:r>
      <w:r w:rsidR="00D926EE" w:rsidRPr="008052F5">
        <w:rPr>
          <w:rFonts w:ascii="Arial" w:hAnsi="Arial" w:cs="Arial"/>
        </w:rPr>
        <w:t xml:space="preserve"> downstream analysis.</w:t>
      </w:r>
    </w:p>
    <w:p w14:paraId="48841576" w14:textId="77777777" w:rsidR="00C11909" w:rsidRPr="008052F5" w:rsidRDefault="00D926EE">
      <w:pPr>
        <w:rPr>
          <w:rFonts w:ascii="Arial" w:hAnsi="Arial" w:cs="Arial"/>
        </w:rPr>
      </w:pPr>
      <w:r w:rsidRPr="008052F5">
        <w:rPr>
          <w:rFonts w:ascii="Arial" w:hAnsi="Arial" w:cs="Arial"/>
          <w:b/>
        </w:rPr>
        <w:t>b.</w:t>
      </w:r>
      <w:r w:rsidRPr="008052F5">
        <w:rPr>
          <w:rFonts w:ascii="Arial" w:hAnsi="Arial" w:cs="Arial"/>
        </w:rPr>
        <w:t xml:space="preserve"> Quality control plots for Jerby-Arnon dataset. </w:t>
      </w:r>
      <w:r w:rsidR="00C11909" w:rsidRPr="008052F5">
        <w:rPr>
          <w:rFonts w:ascii="Arial" w:hAnsi="Arial" w:cs="Arial"/>
        </w:rPr>
        <w:t xml:space="preserve">Dataset obtained from GEO had zero mitochondrial genes included. </w:t>
      </w:r>
      <w:r w:rsidRPr="008052F5">
        <w:rPr>
          <w:rFonts w:ascii="Arial" w:hAnsi="Arial" w:cs="Arial"/>
        </w:rPr>
        <w:t xml:space="preserve">Cells with </w:t>
      </w:r>
      <w:r w:rsidR="000B4585" w:rsidRPr="008052F5">
        <w:rPr>
          <w:rFonts w:ascii="Arial" w:hAnsi="Arial" w:cs="Arial"/>
        </w:rPr>
        <w:t>nFeature_RNA &gt; 500</w:t>
      </w:r>
      <w:r w:rsidR="00C11909" w:rsidRPr="008052F5">
        <w:rPr>
          <w:rFonts w:ascii="Arial" w:hAnsi="Arial" w:cs="Arial"/>
        </w:rPr>
        <w:t xml:space="preserve"> and</w:t>
      </w:r>
      <w:r w:rsidR="000B4585" w:rsidRPr="008052F5">
        <w:rPr>
          <w:rFonts w:ascii="Arial" w:hAnsi="Arial" w:cs="Arial"/>
        </w:rPr>
        <w:t xml:space="preserve"> nFeature_RNA &lt; 7500</w:t>
      </w:r>
      <w:r w:rsidR="00C11909" w:rsidRPr="008052F5">
        <w:rPr>
          <w:rFonts w:ascii="Arial" w:hAnsi="Arial" w:cs="Arial"/>
        </w:rPr>
        <w:t xml:space="preserve"> were retained for downstream analysis.</w:t>
      </w:r>
    </w:p>
    <w:p w14:paraId="053E0BA2" w14:textId="1F7E7985" w:rsidR="00E50B42" w:rsidRPr="008052F5" w:rsidRDefault="00C11909">
      <w:pPr>
        <w:rPr>
          <w:rFonts w:ascii="Arial" w:hAnsi="Arial" w:cs="Arial"/>
        </w:rPr>
      </w:pPr>
      <w:r w:rsidRPr="008052F5">
        <w:rPr>
          <w:rFonts w:ascii="Arial" w:hAnsi="Arial" w:cs="Arial"/>
          <w:b/>
        </w:rPr>
        <w:t>c.</w:t>
      </w:r>
      <w:r w:rsidRPr="008052F5">
        <w:rPr>
          <w:rFonts w:ascii="Arial" w:hAnsi="Arial" w:cs="Arial"/>
        </w:rPr>
        <w:t xml:space="preserve"> Differentially expressed genes for each cluster </w:t>
      </w:r>
      <w:r w:rsidR="00B84016" w:rsidRPr="008052F5">
        <w:rPr>
          <w:rFonts w:ascii="Arial" w:hAnsi="Arial" w:cs="Arial"/>
        </w:rPr>
        <w:t xml:space="preserve">used to supplement expression of canonical cell type markers in </w:t>
      </w:r>
      <w:r w:rsidR="00CC0249" w:rsidRPr="008052F5">
        <w:rPr>
          <w:rFonts w:ascii="Arial" w:hAnsi="Arial" w:cs="Arial"/>
        </w:rPr>
        <w:t>cell type identification process.</w:t>
      </w:r>
    </w:p>
    <w:p w14:paraId="6202B7DA" w14:textId="77777777" w:rsidR="00376452" w:rsidRPr="008052F5" w:rsidRDefault="00E50B42">
      <w:pPr>
        <w:rPr>
          <w:rFonts w:ascii="Arial" w:hAnsi="Arial" w:cs="Arial"/>
        </w:rPr>
      </w:pPr>
      <w:r w:rsidRPr="008052F5">
        <w:rPr>
          <w:rFonts w:ascii="Arial" w:hAnsi="Arial" w:cs="Arial"/>
          <w:b/>
          <w:bCs/>
        </w:rPr>
        <w:t xml:space="preserve">d. </w:t>
      </w:r>
      <w:r w:rsidRPr="008052F5">
        <w:rPr>
          <w:rFonts w:ascii="Arial" w:hAnsi="Arial" w:cs="Arial"/>
        </w:rPr>
        <w:t>Expression of canonical cell type markers in the defined cell type clusters.</w:t>
      </w:r>
    </w:p>
    <w:p w14:paraId="5E134C09" w14:textId="77777777" w:rsidR="00376452" w:rsidRPr="008052F5" w:rsidRDefault="00376452">
      <w:pPr>
        <w:rPr>
          <w:rFonts w:ascii="Arial" w:hAnsi="Arial" w:cs="Arial"/>
        </w:rPr>
      </w:pPr>
      <w:r w:rsidRPr="008052F5">
        <w:rPr>
          <w:rFonts w:ascii="Arial" w:hAnsi="Arial" w:cs="Arial"/>
          <w:b/>
          <w:bCs/>
        </w:rPr>
        <w:t xml:space="preserve">e. </w:t>
      </w:r>
      <w:r w:rsidRPr="008052F5">
        <w:rPr>
          <w:rFonts w:ascii="Arial" w:hAnsi="Arial" w:cs="Arial"/>
        </w:rPr>
        <w:t>Expression of markers used to determine T cell subsets</w:t>
      </w:r>
    </w:p>
    <w:p w14:paraId="34EE0DE9" w14:textId="5BACE9CA" w:rsidR="00497C92" w:rsidRPr="008052F5" w:rsidRDefault="00376452">
      <w:pPr>
        <w:rPr>
          <w:rFonts w:ascii="Arial" w:hAnsi="Arial" w:cs="Arial"/>
        </w:rPr>
      </w:pPr>
      <w:r w:rsidRPr="008052F5">
        <w:rPr>
          <w:rFonts w:ascii="Arial" w:hAnsi="Arial" w:cs="Arial"/>
          <w:b/>
          <w:bCs/>
        </w:rPr>
        <w:t xml:space="preserve">f. </w:t>
      </w:r>
      <w:r w:rsidRPr="008052F5">
        <w:rPr>
          <w:rFonts w:ascii="Arial" w:hAnsi="Arial" w:cs="Arial"/>
        </w:rPr>
        <w:t>Expression of markers used to determine myeloid subsets</w:t>
      </w:r>
      <w:r w:rsidR="00497C92" w:rsidRPr="008052F5">
        <w:rPr>
          <w:rFonts w:ascii="Arial" w:hAnsi="Arial" w:cs="Arial"/>
        </w:rPr>
        <w:br w:type="page"/>
      </w:r>
    </w:p>
    <w:p w14:paraId="639ABAF2" w14:textId="05D8C0DD" w:rsidR="006D5DE2" w:rsidRPr="008052F5" w:rsidRDefault="006D5DE2">
      <w:pPr>
        <w:rPr>
          <w:rFonts w:ascii="Arial" w:hAnsi="Arial" w:cs="Arial"/>
          <w:b/>
        </w:rPr>
      </w:pPr>
      <w:r w:rsidRPr="008052F5">
        <w:rPr>
          <w:rFonts w:ascii="Arial" w:hAnsi="Arial" w:cs="Arial"/>
          <w:b/>
        </w:rPr>
        <w:t>Figure S</w:t>
      </w:r>
      <w:r w:rsidR="004D0842" w:rsidRPr="008052F5">
        <w:rPr>
          <w:rFonts w:ascii="Arial" w:hAnsi="Arial" w:cs="Arial"/>
          <w:b/>
        </w:rPr>
        <w:t xml:space="preserve">2: </w:t>
      </w:r>
      <w:r w:rsidR="00075E87" w:rsidRPr="008052F5">
        <w:rPr>
          <w:rFonts w:ascii="Arial" w:hAnsi="Arial" w:cs="Arial"/>
          <w:b/>
        </w:rPr>
        <w:t xml:space="preserve">Univariate comparison of </w:t>
      </w:r>
      <w:r w:rsidR="00497C92" w:rsidRPr="008052F5">
        <w:rPr>
          <w:rFonts w:ascii="Arial" w:hAnsi="Arial" w:cs="Arial"/>
          <w:b/>
        </w:rPr>
        <w:t>cell subsets and interaction frequencies</w:t>
      </w:r>
    </w:p>
    <w:p w14:paraId="7BFE78BE" w14:textId="77777777" w:rsidR="00562177" w:rsidRPr="008052F5" w:rsidRDefault="007944B1">
      <w:pPr>
        <w:rPr>
          <w:rFonts w:ascii="Arial" w:hAnsi="Arial" w:cs="Arial"/>
          <w:b/>
        </w:rPr>
      </w:pPr>
      <w:r w:rsidRPr="008052F5">
        <w:rPr>
          <w:rFonts w:ascii="Arial" w:hAnsi="Arial" w:cs="Arial"/>
          <w:b/>
        </w:rPr>
        <w:t>a</w:t>
      </w:r>
      <w:r w:rsidR="006D5DE2" w:rsidRPr="008052F5">
        <w:rPr>
          <w:rFonts w:ascii="Arial" w:hAnsi="Arial" w:cs="Arial"/>
          <w:b/>
        </w:rPr>
        <w:t>.</w:t>
      </w:r>
    </w:p>
    <w:p w14:paraId="7D826217" w14:textId="13184CFF" w:rsidR="006D5DE2" w:rsidRPr="008052F5" w:rsidRDefault="00562177">
      <w:pPr>
        <w:rPr>
          <w:rFonts w:ascii="Arial" w:hAnsi="Arial" w:cs="Arial"/>
          <w:b/>
        </w:rPr>
      </w:pPr>
      <w:r w:rsidRPr="008052F5">
        <w:rPr>
          <w:rFonts w:ascii="Arial" w:hAnsi="Arial" w:cs="Arial"/>
          <w:noProof/>
          <w:lang w:val="en-IN" w:eastAsia="en-IN"/>
        </w:rPr>
        <w:drawing>
          <wp:anchor distT="0" distB="0" distL="114300" distR="114300" simplePos="0" relativeHeight="251658241" behindDoc="0" locked="0" layoutInCell="1" allowOverlap="1" wp14:anchorId="197A104A" wp14:editId="3E4EA41B">
            <wp:simplePos x="0" y="0"/>
            <wp:positionH relativeFrom="column">
              <wp:posOffset>207010</wp:posOffset>
            </wp:positionH>
            <wp:positionV relativeFrom="page">
              <wp:posOffset>4869180</wp:posOffset>
            </wp:positionV>
            <wp:extent cx="5377704" cy="4389120"/>
            <wp:effectExtent l="0" t="0" r="0" b="5080"/>
            <wp:wrapTopAndBottom/>
            <wp:docPr id="208813864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7704" cy="4389120"/>
                    </a:xfrm>
                    <a:prstGeom prst="rect">
                      <a:avLst/>
                    </a:prstGeom>
                    <a:noFill/>
                  </pic:spPr>
                </pic:pic>
              </a:graphicData>
            </a:graphic>
            <wp14:sizeRelH relativeFrom="page">
              <wp14:pctWidth>0</wp14:pctWidth>
            </wp14:sizeRelH>
            <wp14:sizeRelV relativeFrom="page">
              <wp14:pctHeight>0</wp14:pctHeight>
            </wp14:sizeRelV>
          </wp:anchor>
        </w:drawing>
      </w:r>
      <w:r w:rsidR="006D5DE2" w:rsidRPr="008052F5">
        <w:rPr>
          <w:rFonts w:ascii="Arial" w:hAnsi="Arial" w:cs="Arial"/>
          <w:b/>
        </w:rPr>
        <w:t xml:space="preserve"> </w:t>
      </w:r>
      <w:r w:rsidRPr="008052F5">
        <w:rPr>
          <w:rFonts w:ascii="Arial" w:hAnsi="Arial" w:cs="Arial"/>
          <w:noProof/>
          <w:lang w:val="en-IN" w:eastAsia="en-IN"/>
        </w:rPr>
        <w:drawing>
          <wp:inline distT="0" distB="0" distL="0" distR="0" wp14:anchorId="42BC3B68" wp14:editId="1C04455A">
            <wp:extent cx="4933507" cy="3296969"/>
            <wp:effectExtent l="0" t="0" r="635" b="0"/>
            <wp:docPr id="193613925" name="Picture 2" descr="A graph of different typ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13925" name="Picture 2" descr="A graph of different types of cell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53709" cy="3310469"/>
                    </a:xfrm>
                    <a:prstGeom prst="rect">
                      <a:avLst/>
                    </a:prstGeom>
                    <a:noFill/>
                  </pic:spPr>
                </pic:pic>
              </a:graphicData>
            </a:graphic>
          </wp:inline>
        </w:drawing>
      </w:r>
    </w:p>
    <w:p w14:paraId="73002DD6" w14:textId="29680300" w:rsidR="00562177" w:rsidRPr="008052F5" w:rsidRDefault="00562177">
      <w:pPr>
        <w:rPr>
          <w:rFonts w:ascii="Arial" w:hAnsi="Arial" w:cs="Arial"/>
          <w:b/>
        </w:rPr>
      </w:pPr>
      <w:r w:rsidRPr="008052F5">
        <w:rPr>
          <w:rFonts w:ascii="Arial" w:hAnsi="Arial" w:cs="Arial"/>
          <w:b/>
          <w:bCs/>
        </w:rPr>
        <w:t>b</w:t>
      </w:r>
      <w:r w:rsidRPr="008052F5">
        <w:rPr>
          <w:rFonts w:ascii="Arial" w:hAnsi="Arial" w:cs="Arial"/>
          <w:b/>
        </w:rPr>
        <w:t>.</w:t>
      </w:r>
    </w:p>
    <w:p w14:paraId="5C973351" w14:textId="5957762A" w:rsidR="00371B11" w:rsidRPr="008052F5" w:rsidRDefault="00F347FC" w:rsidP="00371B11">
      <w:pPr>
        <w:rPr>
          <w:rFonts w:ascii="Arial" w:hAnsi="Arial" w:cs="Arial"/>
          <w:b/>
        </w:rPr>
      </w:pPr>
      <w:r w:rsidRPr="008052F5">
        <w:rPr>
          <w:rFonts w:ascii="Arial" w:hAnsi="Arial" w:cs="Arial"/>
          <w:b/>
        </w:rPr>
        <w:t>c</w:t>
      </w:r>
      <w:r w:rsidR="006D5DE2" w:rsidRPr="008052F5">
        <w:rPr>
          <w:rFonts w:ascii="Arial" w:hAnsi="Arial" w:cs="Arial"/>
          <w:b/>
        </w:rPr>
        <w:t>.</w:t>
      </w:r>
      <w:r w:rsidR="00076C2F" w:rsidRPr="008052F5">
        <w:rPr>
          <w:rFonts w:ascii="Arial" w:hAnsi="Arial" w:cs="Arial"/>
          <w:b/>
        </w:rPr>
        <w:br/>
      </w:r>
      <w:r w:rsidR="006D5DE2" w:rsidRPr="008052F5">
        <w:rPr>
          <w:rFonts w:ascii="Arial" w:hAnsi="Arial" w:cs="Arial"/>
          <w:b/>
        </w:rPr>
        <w:t xml:space="preserve"> </w:t>
      </w:r>
      <w:r w:rsidR="003536E4" w:rsidRPr="008052F5">
        <w:rPr>
          <w:rFonts w:ascii="Arial" w:hAnsi="Arial" w:cs="Arial"/>
          <w:b/>
          <w:noProof/>
          <w:lang w:val="en-IN" w:eastAsia="en-IN"/>
        </w:rPr>
        <w:drawing>
          <wp:inline distT="0" distB="0" distL="0" distR="0" wp14:anchorId="6A3A7F76" wp14:editId="03CCE2B4">
            <wp:extent cx="5836258" cy="4093963"/>
            <wp:effectExtent l="0" t="0" r="0" b="1905"/>
            <wp:docPr id="26252838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40548" cy="4096973"/>
                    </a:xfrm>
                    <a:prstGeom prst="rect">
                      <a:avLst/>
                    </a:prstGeom>
                    <a:noFill/>
                  </pic:spPr>
                </pic:pic>
              </a:graphicData>
            </a:graphic>
          </wp:inline>
        </w:drawing>
      </w:r>
    </w:p>
    <w:p w14:paraId="647E7B4C" w14:textId="77777777" w:rsidR="00CB5CA1" w:rsidRPr="008052F5" w:rsidRDefault="00CB5CA1" w:rsidP="00371B11">
      <w:pPr>
        <w:rPr>
          <w:rFonts w:ascii="Arial" w:hAnsi="Arial" w:cs="Arial"/>
          <w:b/>
        </w:rPr>
      </w:pPr>
    </w:p>
    <w:p w14:paraId="2D0EEBAD" w14:textId="77777777" w:rsidR="00562177" w:rsidRPr="008052F5" w:rsidRDefault="00F347FC">
      <w:pPr>
        <w:rPr>
          <w:rFonts w:ascii="Arial" w:hAnsi="Arial" w:cs="Arial"/>
          <w:b/>
        </w:rPr>
      </w:pPr>
      <w:r w:rsidRPr="008052F5">
        <w:rPr>
          <w:rFonts w:ascii="Arial" w:hAnsi="Arial" w:cs="Arial"/>
          <w:b/>
        </w:rPr>
        <w:t>d</w:t>
      </w:r>
      <w:r w:rsidR="004F79A1" w:rsidRPr="008052F5">
        <w:rPr>
          <w:rFonts w:ascii="Arial" w:hAnsi="Arial" w:cs="Arial"/>
          <w:b/>
        </w:rPr>
        <w:t>.</w:t>
      </w:r>
    </w:p>
    <w:p w14:paraId="7E9D77EC" w14:textId="1E39DE39" w:rsidR="00114B34" w:rsidRPr="008052F5" w:rsidRDefault="002D7CD5">
      <w:pPr>
        <w:rPr>
          <w:rFonts w:ascii="Arial" w:hAnsi="Arial" w:cs="Arial"/>
        </w:rPr>
      </w:pPr>
      <w:r w:rsidRPr="008052F5">
        <w:rPr>
          <w:rFonts w:ascii="Arial" w:hAnsi="Arial" w:cs="Arial"/>
          <w:noProof/>
          <w:lang w:val="en-IN" w:eastAsia="en-IN"/>
        </w:rPr>
        <w:drawing>
          <wp:inline distT="0" distB="0" distL="0" distR="0" wp14:anchorId="22D5A9DB" wp14:editId="5F4E43BA">
            <wp:extent cx="6540913" cy="1828800"/>
            <wp:effectExtent l="0" t="0" r="0" b="0"/>
            <wp:docPr id="1025388681" name="Picture 1" descr="A diagram of a number of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388681" name="Picture 1" descr="A diagram of a number of dots&#10;&#10;AI-generated content may be incorrect."/>
                    <pic:cNvPicPr/>
                  </pic:nvPicPr>
                  <pic:blipFill>
                    <a:blip r:embed="rId17"/>
                    <a:stretch>
                      <a:fillRect/>
                    </a:stretch>
                  </pic:blipFill>
                  <pic:spPr>
                    <a:xfrm>
                      <a:off x="0" y="0"/>
                      <a:ext cx="6540913" cy="1828800"/>
                    </a:xfrm>
                    <a:prstGeom prst="rect">
                      <a:avLst/>
                    </a:prstGeom>
                  </pic:spPr>
                </pic:pic>
              </a:graphicData>
            </a:graphic>
          </wp:inline>
        </w:drawing>
      </w:r>
    </w:p>
    <w:p w14:paraId="54D1BEFA" w14:textId="13784F66" w:rsidR="00AE0C5A" w:rsidRPr="008052F5" w:rsidRDefault="00AE0C5A">
      <w:pPr>
        <w:rPr>
          <w:rFonts w:ascii="Arial" w:hAnsi="Arial" w:cs="Arial"/>
        </w:rPr>
      </w:pPr>
    </w:p>
    <w:p w14:paraId="481142D3" w14:textId="53698445" w:rsidR="00CB5CA1" w:rsidRPr="008052F5" w:rsidRDefault="00CB5CA1">
      <w:pPr>
        <w:rPr>
          <w:rFonts w:ascii="Arial" w:hAnsi="Arial" w:cs="Arial"/>
          <w:b/>
          <w:bCs/>
        </w:rPr>
      </w:pPr>
    </w:p>
    <w:p w14:paraId="48858DCF" w14:textId="20A84DC0" w:rsidR="006D5DE2" w:rsidRPr="008052F5" w:rsidRDefault="00792029">
      <w:pPr>
        <w:rPr>
          <w:rFonts w:ascii="Arial" w:hAnsi="Arial" w:cs="Arial"/>
        </w:rPr>
      </w:pPr>
      <w:r w:rsidRPr="008052F5">
        <w:rPr>
          <w:rFonts w:ascii="Arial" w:hAnsi="Arial" w:cs="Arial"/>
          <w:b/>
          <w:bCs/>
        </w:rPr>
        <w:t>e</w:t>
      </w:r>
      <w:r w:rsidR="00CB5CA1" w:rsidRPr="008052F5">
        <w:rPr>
          <w:rFonts w:ascii="Arial" w:hAnsi="Arial" w:cs="Arial"/>
          <w:b/>
          <w:bCs/>
        </w:rPr>
        <w:t>.</w:t>
      </w:r>
      <w:r w:rsidR="00076C2F" w:rsidRPr="008052F5">
        <w:rPr>
          <w:rFonts w:ascii="Arial" w:hAnsi="Arial" w:cs="Arial"/>
          <w:b/>
          <w:bCs/>
        </w:rPr>
        <w:br/>
      </w:r>
      <w:r w:rsidR="00ED395D" w:rsidRPr="008052F5">
        <w:rPr>
          <w:rFonts w:ascii="Arial" w:hAnsi="Arial" w:cs="Arial"/>
          <w:noProof/>
          <w:lang w:val="en-IN" w:eastAsia="en-IN"/>
        </w:rPr>
        <w:drawing>
          <wp:inline distT="0" distB="0" distL="0" distR="0" wp14:anchorId="387FEBD4" wp14:editId="5992E0C0">
            <wp:extent cx="6516342" cy="4781044"/>
            <wp:effectExtent l="0" t="0" r="0" b="635"/>
            <wp:docPr id="8103162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531953" cy="4792498"/>
                    </a:xfrm>
                    <a:prstGeom prst="rect">
                      <a:avLst/>
                    </a:prstGeom>
                    <a:noFill/>
                  </pic:spPr>
                </pic:pic>
              </a:graphicData>
            </a:graphic>
          </wp:inline>
        </w:drawing>
      </w:r>
    </w:p>
    <w:p w14:paraId="7245693C" w14:textId="518F9769" w:rsidR="006D5DE2" w:rsidRPr="008052F5" w:rsidRDefault="007944B1">
      <w:pPr>
        <w:rPr>
          <w:rFonts w:ascii="Arial" w:hAnsi="Arial" w:cs="Arial"/>
        </w:rPr>
      </w:pPr>
      <w:r w:rsidRPr="008052F5">
        <w:rPr>
          <w:rFonts w:ascii="Arial" w:hAnsi="Arial" w:cs="Arial"/>
          <w:b/>
        </w:rPr>
        <w:t>a</w:t>
      </w:r>
      <w:r w:rsidR="006D5DE2" w:rsidRPr="008052F5">
        <w:rPr>
          <w:rFonts w:ascii="Arial" w:hAnsi="Arial" w:cs="Arial"/>
          <w:b/>
        </w:rPr>
        <w:t>.</w:t>
      </w:r>
      <w:r w:rsidR="006D5DE2" w:rsidRPr="008052F5">
        <w:rPr>
          <w:rFonts w:ascii="Arial" w:hAnsi="Arial" w:cs="Arial"/>
        </w:rPr>
        <w:t xml:space="preserve"> Cell proportions for the subset of patients where matched pre- and post-ICI samples were available.</w:t>
      </w:r>
    </w:p>
    <w:p w14:paraId="30714F03" w14:textId="046297F0" w:rsidR="00CD7439" w:rsidRPr="008052F5" w:rsidRDefault="007944B1">
      <w:pPr>
        <w:rPr>
          <w:rFonts w:ascii="Arial" w:hAnsi="Arial" w:cs="Arial"/>
        </w:rPr>
      </w:pPr>
      <w:r w:rsidRPr="008052F5">
        <w:rPr>
          <w:rFonts w:ascii="Arial" w:hAnsi="Arial" w:cs="Arial"/>
          <w:b/>
        </w:rPr>
        <w:t>b</w:t>
      </w:r>
      <w:r w:rsidR="006D5DE2" w:rsidRPr="008052F5">
        <w:rPr>
          <w:rFonts w:ascii="Arial" w:hAnsi="Arial" w:cs="Arial"/>
          <w:b/>
        </w:rPr>
        <w:t>.</w:t>
      </w:r>
      <w:r w:rsidR="006D5DE2" w:rsidRPr="008052F5">
        <w:rPr>
          <w:rFonts w:ascii="Arial" w:hAnsi="Arial" w:cs="Arial"/>
        </w:rPr>
        <w:t xml:space="preserve"> Fraction of T cell subsets </w:t>
      </w:r>
      <w:r w:rsidR="00502419" w:rsidRPr="008052F5">
        <w:rPr>
          <w:rFonts w:ascii="Arial" w:hAnsi="Arial" w:cs="Arial"/>
        </w:rPr>
        <w:t xml:space="preserve">– </w:t>
      </w:r>
      <w:r w:rsidR="002B24DC" w:rsidRPr="008052F5">
        <w:rPr>
          <w:rFonts w:ascii="Arial" w:hAnsi="Arial" w:cs="Arial"/>
        </w:rPr>
        <w:t xml:space="preserve">defined as the number of cells in that subset divided by the total number of T cells in that sample </w:t>
      </w:r>
      <w:r w:rsidR="00502419" w:rsidRPr="008052F5">
        <w:rPr>
          <w:rFonts w:ascii="Arial" w:hAnsi="Arial" w:cs="Arial"/>
        </w:rPr>
        <w:t xml:space="preserve">– was </w:t>
      </w:r>
      <w:r w:rsidR="006D5DE2" w:rsidRPr="008052F5">
        <w:rPr>
          <w:rFonts w:ascii="Arial" w:hAnsi="Arial" w:cs="Arial"/>
        </w:rPr>
        <w:t>compared across R and NR pre- and post</w:t>
      </w:r>
      <w:r w:rsidR="006D5DE2" w:rsidRPr="008052F5" w:rsidDel="002E1CA8">
        <w:rPr>
          <w:rFonts w:ascii="Arial" w:hAnsi="Arial" w:cs="Arial"/>
        </w:rPr>
        <w:t>-</w:t>
      </w:r>
      <w:r w:rsidR="006D5DE2" w:rsidRPr="008052F5">
        <w:rPr>
          <w:rFonts w:ascii="Arial" w:hAnsi="Arial" w:cs="Arial"/>
        </w:rPr>
        <w:t>ICI groups.</w:t>
      </w:r>
      <w:r w:rsidR="00076C2F" w:rsidRPr="008052F5">
        <w:rPr>
          <w:rFonts w:ascii="Arial" w:hAnsi="Arial" w:cs="Arial"/>
        </w:rPr>
        <w:t xml:space="preserve"> </w:t>
      </w:r>
      <w:r w:rsidR="000602EB" w:rsidRPr="008052F5">
        <w:rPr>
          <w:rFonts w:ascii="Arial" w:hAnsi="Arial" w:cs="Arial"/>
        </w:rPr>
        <w:t xml:space="preserve">Th2 = CD4+ T helper 2, Th1 = CD4+ T helper 1, </w:t>
      </w:r>
      <w:r w:rsidR="00A9173A" w:rsidRPr="008052F5">
        <w:rPr>
          <w:rFonts w:ascii="Arial" w:hAnsi="Arial" w:cs="Arial"/>
        </w:rPr>
        <w:t xml:space="preserve">CD8T.Eff = CD8+ Effector T cell, CD8T.pEx = CD8+ T progenitor exhausted T cell, </w:t>
      </w:r>
      <w:r w:rsidR="00AA22DF" w:rsidRPr="008052F5">
        <w:rPr>
          <w:rFonts w:ascii="Arial" w:hAnsi="Arial" w:cs="Arial"/>
        </w:rPr>
        <w:t>gdT = gamma delta T cell, MAIT = mucosal as</w:t>
      </w:r>
      <w:r w:rsidR="00026E6E" w:rsidRPr="008052F5">
        <w:rPr>
          <w:rFonts w:ascii="Arial" w:hAnsi="Arial" w:cs="Arial"/>
        </w:rPr>
        <w:t>sociated invariant T, Treg = regulatory T cell</w:t>
      </w:r>
      <w:r w:rsidR="00947825" w:rsidRPr="008052F5">
        <w:rPr>
          <w:rFonts w:ascii="Arial" w:hAnsi="Arial" w:cs="Arial"/>
        </w:rPr>
        <w:t>, CD8T.Exh = Exhausted CD8+ T cell.</w:t>
      </w:r>
    </w:p>
    <w:p w14:paraId="595EA7F0" w14:textId="438AC8E1" w:rsidR="00F347FC" w:rsidRPr="008052F5" w:rsidRDefault="00F347FC">
      <w:pPr>
        <w:rPr>
          <w:rFonts w:ascii="Arial" w:hAnsi="Arial" w:cs="Arial"/>
        </w:rPr>
      </w:pPr>
      <w:r w:rsidRPr="008052F5">
        <w:rPr>
          <w:rFonts w:ascii="Arial" w:hAnsi="Arial" w:cs="Arial"/>
          <w:b/>
          <w:bCs/>
        </w:rPr>
        <w:t xml:space="preserve">c. </w:t>
      </w:r>
      <w:r w:rsidRPr="008052F5">
        <w:rPr>
          <w:rFonts w:ascii="Arial" w:hAnsi="Arial" w:cs="Arial"/>
        </w:rPr>
        <w:t>Fraction of T cell subsets for patients where matched pre- and post-ICI samples were available.</w:t>
      </w:r>
    </w:p>
    <w:p w14:paraId="761C71AF" w14:textId="32435D1F" w:rsidR="00F347FC" w:rsidRPr="008052F5" w:rsidRDefault="00F347FC">
      <w:pPr>
        <w:rPr>
          <w:rFonts w:ascii="Arial" w:hAnsi="Arial" w:cs="Arial"/>
        </w:rPr>
      </w:pPr>
      <w:r w:rsidRPr="008052F5">
        <w:rPr>
          <w:rFonts w:ascii="Arial" w:hAnsi="Arial" w:cs="Arial"/>
          <w:b/>
        </w:rPr>
        <w:t>d</w:t>
      </w:r>
      <w:r w:rsidR="00371B11" w:rsidRPr="008052F5">
        <w:rPr>
          <w:rFonts w:ascii="Arial" w:hAnsi="Arial" w:cs="Arial"/>
          <w:b/>
        </w:rPr>
        <w:t>.</w:t>
      </w:r>
      <w:r w:rsidR="00371B11" w:rsidRPr="008052F5">
        <w:rPr>
          <w:rFonts w:ascii="Arial" w:hAnsi="Arial" w:cs="Arial"/>
        </w:rPr>
        <w:t xml:space="preserve"> Myeloid cell subsets in R and NR pre- and post-ICI groups.</w:t>
      </w:r>
    </w:p>
    <w:p w14:paraId="47E7C99F" w14:textId="7798CDB9" w:rsidR="006D5DE2" w:rsidRPr="008052F5" w:rsidRDefault="00792029">
      <w:pPr>
        <w:rPr>
          <w:rFonts w:ascii="Arial" w:hAnsi="Arial" w:cs="Arial"/>
        </w:rPr>
      </w:pPr>
      <w:r w:rsidRPr="008052F5">
        <w:rPr>
          <w:rFonts w:ascii="Arial" w:hAnsi="Arial" w:cs="Arial"/>
          <w:b/>
        </w:rPr>
        <w:t>e</w:t>
      </w:r>
      <w:r w:rsidR="006D5DE2" w:rsidRPr="008052F5">
        <w:rPr>
          <w:rFonts w:ascii="Arial" w:hAnsi="Arial" w:cs="Arial"/>
          <w:b/>
        </w:rPr>
        <w:t>.</w:t>
      </w:r>
      <w:r w:rsidR="006D5DE2" w:rsidRPr="008052F5">
        <w:rPr>
          <w:rFonts w:ascii="Arial" w:hAnsi="Arial" w:cs="Arial"/>
        </w:rPr>
        <w:t xml:space="preserve"> Interaction frequencies for cell type pairs with R and NR differences with p-values between 0.05 and 0.25 (trending but less significant tha</w:t>
      </w:r>
      <w:r w:rsidR="003C73D7" w:rsidRPr="008052F5">
        <w:rPr>
          <w:rFonts w:ascii="Arial" w:hAnsi="Arial" w:cs="Arial"/>
        </w:rPr>
        <w:t>n</w:t>
      </w:r>
      <w:r w:rsidR="006D5DE2" w:rsidRPr="008052F5">
        <w:rPr>
          <w:rFonts w:ascii="Arial" w:hAnsi="Arial" w:cs="Arial"/>
        </w:rPr>
        <w:t xml:space="preserve"> those in Fig. 1e</w:t>
      </w:r>
      <w:r w:rsidR="006F659D" w:rsidRPr="008052F5">
        <w:rPr>
          <w:rFonts w:ascii="Arial" w:hAnsi="Arial" w:cs="Arial"/>
        </w:rPr>
        <w:t>)</w:t>
      </w:r>
      <w:r w:rsidR="006D5DE2" w:rsidRPr="008052F5">
        <w:rPr>
          <w:rFonts w:ascii="Arial" w:hAnsi="Arial" w:cs="Arial"/>
        </w:rPr>
        <w:t>.</w:t>
      </w:r>
    </w:p>
    <w:p w14:paraId="39F6C6EF" w14:textId="5DE9348B" w:rsidR="00275090" w:rsidRPr="008052F5" w:rsidRDefault="00275090">
      <w:pPr>
        <w:rPr>
          <w:rFonts w:ascii="Arial" w:hAnsi="Arial" w:cs="Arial"/>
        </w:rPr>
      </w:pPr>
      <w:r w:rsidRPr="008052F5">
        <w:rPr>
          <w:rFonts w:ascii="Arial" w:hAnsi="Arial" w:cs="Arial"/>
        </w:rPr>
        <w:t xml:space="preserve">In all matched tests, a paired Wilcoxon </w:t>
      </w:r>
      <w:r w:rsidR="004711F4" w:rsidRPr="008052F5">
        <w:rPr>
          <w:rFonts w:ascii="Arial" w:hAnsi="Arial" w:cs="Arial"/>
        </w:rPr>
        <w:t xml:space="preserve">test was used to determine significance. For </w:t>
      </w:r>
      <w:r w:rsidR="007B534D" w:rsidRPr="008052F5">
        <w:rPr>
          <w:rFonts w:ascii="Arial" w:hAnsi="Arial" w:cs="Arial"/>
        </w:rPr>
        <w:t>non-matched two group comparisons, a Wilcoxon rank-sum test was used. For comparisons with more than two groups, Kruskal-Wallis followed by Dunn’s post-hoc test was used.</w:t>
      </w:r>
    </w:p>
    <w:p w14:paraId="1823C5F8" w14:textId="77777777" w:rsidR="004B43C9" w:rsidRPr="008052F5" w:rsidRDefault="004B43C9">
      <w:pPr>
        <w:rPr>
          <w:rFonts w:ascii="Arial" w:hAnsi="Arial" w:cs="Arial"/>
        </w:rPr>
      </w:pPr>
    </w:p>
    <w:p w14:paraId="3A7DA9BF" w14:textId="77777777" w:rsidR="004B43C9" w:rsidRPr="008052F5" w:rsidRDefault="004B43C9">
      <w:pPr>
        <w:rPr>
          <w:rFonts w:ascii="Arial" w:hAnsi="Arial" w:cs="Arial"/>
        </w:rPr>
      </w:pPr>
    </w:p>
    <w:p w14:paraId="57E47E42" w14:textId="77777777" w:rsidR="00D72B1D" w:rsidRPr="008052F5" w:rsidRDefault="00D72B1D">
      <w:pPr>
        <w:rPr>
          <w:rFonts w:ascii="Arial" w:hAnsi="Arial" w:cs="Arial"/>
          <w:b/>
        </w:rPr>
      </w:pPr>
      <w:r w:rsidRPr="008052F5">
        <w:rPr>
          <w:rFonts w:ascii="Arial" w:hAnsi="Arial" w:cs="Arial"/>
          <w:b/>
        </w:rPr>
        <w:br w:type="page"/>
      </w:r>
    </w:p>
    <w:p w14:paraId="56B60A26" w14:textId="1E7DB70F" w:rsidR="002D7A97" w:rsidRPr="008052F5" w:rsidRDefault="004B43C9" w:rsidP="00E56D32">
      <w:pPr>
        <w:rPr>
          <w:rFonts w:ascii="Arial" w:hAnsi="Arial" w:cs="Arial"/>
          <w:b/>
          <w:bCs/>
        </w:rPr>
      </w:pPr>
      <w:r w:rsidRPr="008052F5">
        <w:rPr>
          <w:rFonts w:ascii="Arial" w:hAnsi="Arial" w:cs="Arial"/>
          <w:b/>
        </w:rPr>
        <w:t xml:space="preserve">Figure S3: </w:t>
      </w:r>
      <w:r w:rsidR="00BB2DA2" w:rsidRPr="008052F5">
        <w:rPr>
          <w:rFonts w:ascii="Arial" w:hAnsi="Arial" w:cs="Arial"/>
          <w:b/>
        </w:rPr>
        <w:t>Survival of Mixed Interaction Expression in Bulk RNA-seq</w:t>
      </w:r>
    </w:p>
    <w:p w14:paraId="05F6C9C1" w14:textId="66CFB943" w:rsidR="00E56D32" w:rsidRPr="008052F5" w:rsidRDefault="00E56D32" w:rsidP="00E56D32">
      <w:pPr>
        <w:rPr>
          <w:rFonts w:ascii="Arial" w:hAnsi="Arial" w:cs="Arial"/>
          <w:b/>
          <w:bCs/>
        </w:rPr>
      </w:pPr>
      <w:r w:rsidRPr="008052F5">
        <w:rPr>
          <w:rFonts w:ascii="Arial" w:hAnsi="Arial" w:cs="Arial"/>
          <w:b/>
          <w:bCs/>
        </w:rPr>
        <w:t>a.</w:t>
      </w:r>
      <w:r w:rsidRPr="008052F5">
        <w:rPr>
          <w:rFonts w:ascii="Arial" w:hAnsi="Arial" w:cs="Arial"/>
          <w:b/>
          <w:bCs/>
        </w:rPr>
        <w:br/>
        <w:t xml:space="preserve"> </w:t>
      </w:r>
      <w:r w:rsidR="00BA16A6" w:rsidRPr="008052F5">
        <w:rPr>
          <w:noProof/>
        </w:rPr>
        <w:t xml:space="preserve"> </w:t>
      </w:r>
      <w:r w:rsidR="00BA16A6" w:rsidRPr="008052F5">
        <w:rPr>
          <w:rFonts w:ascii="Arial" w:hAnsi="Arial" w:cs="Arial"/>
          <w:b/>
          <w:bCs/>
          <w:noProof/>
          <w:lang w:val="en-IN" w:eastAsia="en-IN"/>
        </w:rPr>
        <w:drawing>
          <wp:inline distT="0" distB="0" distL="0" distR="0" wp14:anchorId="40BC2D50" wp14:editId="7E67012D">
            <wp:extent cx="4711700" cy="3752749"/>
            <wp:effectExtent l="0" t="0" r="0" b="635"/>
            <wp:docPr id="1733178294" name="Picture 1" descr="A screen shot of a data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178294" name="Picture 1" descr="A screen shot of a data chart&#10;&#10;AI-generated content may be incorrect."/>
                    <pic:cNvPicPr/>
                  </pic:nvPicPr>
                  <pic:blipFill>
                    <a:blip r:embed="rId19"/>
                    <a:stretch>
                      <a:fillRect/>
                    </a:stretch>
                  </pic:blipFill>
                  <pic:spPr>
                    <a:xfrm>
                      <a:off x="0" y="0"/>
                      <a:ext cx="4733224" cy="3769892"/>
                    </a:xfrm>
                    <a:prstGeom prst="rect">
                      <a:avLst/>
                    </a:prstGeom>
                  </pic:spPr>
                </pic:pic>
              </a:graphicData>
            </a:graphic>
          </wp:inline>
        </w:drawing>
      </w:r>
    </w:p>
    <w:p w14:paraId="115CF975" w14:textId="3D3A3813" w:rsidR="00E56D32" w:rsidRPr="008052F5" w:rsidRDefault="00E56D32" w:rsidP="00E56D32">
      <w:pPr>
        <w:rPr>
          <w:rFonts w:ascii="Arial" w:hAnsi="Arial" w:cs="Arial"/>
          <w:b/>
          <w:bCs/>
        </w:rPr>
      </w:pPr>
      <w:r w:rsidRPr="008052F5">
        <w:rPr>
          <w:rFonts w:ascii="Arial" w:hAnsi="Arial" w:cs="Arial"/>
          <w:b/>
          <w:bCs/>
        </w:rPr>
        <w:t xml:space="preserve">b. </w:t>
      </w:r>
      <w:r w:rsidRPr="008052F5">
        <w:rPr>
          <w:rFonts w:ascii="Arial" w:hAnsi="Arial" w:cs="Arial"/>
          <w:b/>
          <w:bCs/>
        </w:rPr>
        <w:br/>
      </w:r>
      <w:r w:rsidR="009600C6" w:rsidRPr="008052F5">
        <w:rPr>
          <w:noProof/>
        </w:rPr>
        <w:t xml:space="preserve"> </w:t>
      </w:r>
      <w:r w:rsidR="00B76487" w:rsidRPr="008052F5">
        <w:rPr>
          <w:noProof/>
          <w:lang w:val="en-IN" w:eastAsia="en-IN"/>
        </w:rPr>
        <w:drawing>
          <wp:inline distT="0" distB="0" distL="0" distR="0" wp14:anchorId="7D8612C1" wp14:editId="09FB47F0">
            <wp:extent cx="4178300" cy="3119797"/>
            <wp:effectExtent l="0" t="0" r="0" b="4445"/>
            <wp:docPr id="79193205" name="Picture 1"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93205" name="Picture 1" descr="A graph of different colored lines&#10;&#10;AI-generated content may be incorrect."/>
                    <pic:cNvPicPr/>
                  </pic:nvPicPr>
                  <pic:blipFill>
                    <a:blip r:embed="rId20"/>
                    <a:stretch>
                      <a:fillRect/>
                    </a:stretch>
                  </pic:blipFill>
                  <pic:spPr>
                    <a:xfrm>
                      <a:off x="0" y="0"/>
                      <a:ext cx="4180263" cy="3121263"/>
                    </a:xfrm>
                    <a:prstGeom prst="rect">
                      <a:avLst/>
                    </a:prstGeom>
                  </pic:spPr>
                </pic:pic>
              </a:graphicData>
            </a:graphic>
          </wp:inline>
        </w:drawing>
      </w:r>
    </w:p>
    <w:p w14:paraId="3FDD56A2" w14:textId="11C162DA" w:rsidR="005611CD" w:rsidRPr="008052F5" w:rsidRDefault="005611CD" w:rsidP="00E56D32">
      <w:pPr>
        <w:rPr>
          <w:rFonts w:ascii="Arial" w:hAnsi="Arial" w:cs="Arial"/>
        </w:rPr>
      </w:pPr>
      <w:r w:rsidRPr="008052F5">
        <w:rPr>
          <w:rFonts w:ascii="Arial" w:hAnsi="Arial" w:cs="Arial"/>
          <w:b/>
          <w:bCs/>
        </w:rPr>
        <w:t xml:space="preserve">a. </w:t>
      </w:r>
      <w:r w:rsidRPr="008052F5">
        <w:rPr>
          <w:rFonts w:ascii="Arial" w:hAnsi="Arial" w:cs="Arial"/>
        </w:rPr>
        <w:t>Average of z-scored expression data for LR pairs for melanoma patients, as shown in Fig. 4</w:t>
      </w:r>
      <w:r w:rsidR="00BB1773" w:rsidRPr="008052F5">
        <w:rPr>
          <w:rFonts w:ascii="Arial" w:hAnsi="Arial" w:cs="Arial"/>
        </w:rPr>
        <w:t>a</w:t>
      </w:r>
      <w:r w:rsidR="00B043AC" w:rsidRPr="008052F5">
        <w:rPr>
          <w:rFonts w:ascii="Arial" w:hAnsi="Arial" w:cs="Arial"/>
        </w:rPr>
        <w:t>, with coloring matching the three groups in panel b</w:t>
      </w:r>
      <w:r w:rsidR="00BB1773" w:rsidRPr="008052F5">
        <w:rPr>
          <w:rFonts w:ascii="Arial" w:hAnsi="Arial" w:cs="Arial"/>
        </w:rPr>
        <w:t>.</w:t>
      </w:r>
    </w:p>
    <w:p w14:paraId="6A827935" w14:textId="5527CF14" w:rsidR="00BB1773" w:rsidRPr="008052F5" w:rsidRDefault="00BB1773" w:rsidP="00E56D32">
      <w:pPr>
        <w:rPr>
          <w:rFonts w:ascii="Arial" w:hAnsi="Arial" w:cs="Arial"/>
        </w:rPr>
      </w:pPr>
      <w:r w:rsidRPr="008052F5">
        <w:rPr>
          <w:rFonts w:ascii="Arial" w:hAnsi="Arial" w:cs="Arial"/>
          <w:b/>
          <w:bCs/>
        </w:rPr>
        <w:t xml:space="preserve">b. </w:t>
      </w:r>
      <w:r w:rsidRPr="008052F5">
        <w:rPr>
          <w:rFonts w:ascii="Arial" w:hAnsi="Arial" w:cs="Arial"/>
        </w:rPr>
        <w:t xml:space="preserve">Survival for all three clusters. Mixed phenotype (Cluster 3: </w:t>
      </w:r>
      <w:r w:rsidR="00F64600" w:rsidRPr="008052F5">
        <w:rPr>
          <w:rFonts w:ascii="Arial" w:hAnsi="Arial" w:cs="Arial"/>
        </w:rPr>
        <w:t>Orange</w:t>
      </w:r>
      <w:r w:rsidRPr="008052F5">
        <w:rPr>
          <w:rFonts w:ascii="Arial" w:hAnsi="Arial" w:cs="Arial"/>
        </w:rPr>
        <w:t xml:space="preserve">) </w:t>
      </w:r>
      <w:r w:rsidR="00563F6A" w:rsidRPr="008052F5">
        <w:rPr>
          <w:rFonts w:ascii="Arial" w:hAnsi="Arial" w:cs="Arial"/>
        </w:rPr>
        <w:t xml:space="preserve">shows similar trends as interaction </w:t>
      </w:r>
      <w:r w:rsidR="00B043AC" w:rsidRPr="008052F5">
        <w:rPr>
          <w:rFonts w:ascii="Arial" w:hAnsi="Arial" w:cs="Arial"/>
        </w:rPr>
        <w:t>high</w:t>
      </w:r>
      <w:r w:rsidR="00563F6A" w:rsidRPr="008052F5">
        <w:rPr>
          <w:rFonts w:ascii="Arial" w:hAnsi="Arial" w:cs="Arial"/>
        </w:rPr>
        <w:t xml:space="preserve"> (Cluster </w:t>
      </w:r>
      <w:r w:rsidR="00A12B0D" w:rsidRPr="008052F5">
        <w:rPr>
          <w:rFonts w:ascii="Arial" w:hAnsi="Arial" w:cs="Arial"/>
        </w:rPr>
        <w:t>2</w:t>
      </w:r>
      <w:r w:rsidR="00563F6A" w:rsidRPr="008052F5">
        <w:rPr>
          <w:rFonts w:ascii="Arial" w:hAnsi="Arial" w:cs="Arial"/>
        </w:rPr>
        <w:t xml:space="preserve">: </w:t>
      </w:r>
      <w:r w:rsidR="00B043AC" w:rsidRPr="008052F5">
        <w:rPr>
          <w:rFonts w:ascii="Arial" w:hAnsi="Arial" w:cs="Arial"/>
        </w:rPr>
        <w:t>Red</w:t>
      </w:r>
      <w:r w:rsidR="00563F6A" w:rsidRPr="008052F5">
        <w:rPr>
          <w:rFonts w:ascii="Arial" w:hAnsi="Arial" w:cs="Arial"/>
        </w:rPr>
        <w:t>).</w:t>
      </w:r>
    </w:p>
    <w:p w14:paraId="5DA53627" w14:textId="77777777" w:rsidR="00B043AC" w:rsidRPr="008052F5" w:rsidRDefault="00B043AC">
      <w:pPr>
        <w:rPr>
          <w:rFonts w:ascii="Arial" w:hAnsi="Arial" w:cs="Arial"/>
          <w:b/>
        </w:rPr>
      </w:pPr>
      <w:r w:rsidRPr="008052F5">
        <w:rPr>
          <w:rFonts w:ascii="Arial" w:hAnsi="Arial" w:cs="Arial"/>
          <w:b/>
        </w:rPr>
        <w:br w:type="page"/>
      </w:r>
    </w:p>
    <w:p w14:paraId="11649BF1" w14:textId="28639D3E" w:rsidR="00103BDD" w:rsidRPr="008052F5" w:rsidRDefault="00103BDD" w:rsidP="00103BDD">
      <w:pPr>
        <w:rPr>
          <w:rFonts w:ascii="Arial" w:hAnsi="Arial" w:cs="Arial"/>
          <w:b/>
        </w:rPr>
      </w:pPr>
      <w:r w:rsidRPr="008052F5">
        <w:rPr>
          <w:rFonts w:ascii="Arial" w:hAnsi="Arial" w:cs="Arial"/>
          <w:b/>
        </w:rPr>
        <w:t>Figure S</w:t>
      </w:r>
      <w:r w:rsidR="00BD7369" w:rsidRPr="008052F5">
        <w:rPr>
          <w:rFonts w:ascii="Arial" w:hAnsi="Arial" w:cs="Arial"/>
          <w:b/>
        </w:rPr>
        <w:t>4</w:t>
      </w:r>
      <w:r w:rsidRPr="008052F5">
        <w:rPr>
          <w:rFonts w:ascii="Arial" w:hAnsi="Arial" w:cs="Arial"/>
          <w:b/>
        </w:rPr>
        <w:t>: Pre- to Post-Treatment Comparison of Cell Abundance and Interaction Frequency</w:t>
      </w:r>
    </w:p>
    <w:p w14:paraId="620A7D7F" w14:textId="77777777" w:rsidR="009C3E28" w:rsidRPr="008052F5" w:rsidRDefault="00103BDD" w:rsidP="00103BDD">
      <w:pPr>
        <w:rPr>
          <w:rFonts w:ascii="Arial" w:hAnsi="Arial" w:cs="Arial"/>
          <w:b/>
        </w:rPr>
      </w:pPr>
      <w:r w:rsidRPr="008052F5">
        <w:rPr>
          <w:rFonts w:ascii="Arial" w:hAnsi="Arial" w:cs="Arial"/>
          <w:b/>
        </w:rPr>
        <w:t>a.</w:t>
      </w:r>
    </w:p>
    <w:p w14:paraId="5BBF34EF" w14:textId="46999470" w:rsidR="00103BDD" w:rsidRPr="008052F5" w:rsidRDefault="00103BDD" w:rsidP="00103BDD">
      <w:pPr>
        <w:rPr>
          <w:rFonts w:ascii="Arial" w:hAnsi="Arial" w:cs="Arial"/>
          <w:b/>
        </w:rPr>
      </w:pPr>
      <w:r w:rsidRPr="008052F5">
        <w:rPr>
          <w:rFonts w:ascii="Arial" w:hAnsi="Arial" w:cs="Arial"/>
          <w:b/>
        </w:rPr>
        <w:t xml:space="preserve"> </w:t>
      </w:r>
      <w:r w:rsidR="004B27BE" w:rsidRPr="008052F5">
        <w:rPr>
          <w:rFonts w:ascii="Arial" w:hAnsi="Arial" w:cs="Arial"/>
          <w:b/>
          <w:noProof/>
          <w:lang w:val="en-IN" w:eastAsia="en-IN"/>
        </w:rPr>
        <w:drawing>
          <wp:inline distT="0" distB="0" distL="0" distR="0" wp14:anchorId="14C11557" wp14:editId="6D6FC33D">
            <wp:extent cx="6448508" cy="5095674"/>
            <wp:effectExtent l="0" t="0" r="0" b="0"/>
            <wp:docPr id="10202124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55104" cy="5100886"/>
                    </a:xfrm>
                    <a:prstGeom prst="rect">
                      <a:avLst/>
                    </a:prstGeom>
                    <a:noFill/>
                  </pic:spPr>
                </pic:pic>
              </a:graphicData>
            </a:graphic>
          </wp:inline>
        </w:drawing>
      </w:r>
    </w:p>
    <w:p w14:paraId="2A29F610" w14:textId="77777777" w:rsidR="00562177" w:rsidRPr="008052F5" w:rsidRDefault="00562177">
      <w:pPr>
        <w:rPr>
          <w:rFonts w:ascii="Arial" w:hAnsi="Arial" w:cs="Arial"/>
          <w:b/>
        </w:rPr>
      </w:pPr>
      <w:r w:rsidRPr="008052F5">
        <w:rPr>
          <w:rFonts w:ascii="Arial" w:hAnsi="Arial" w:cs="Arial"/>
          <w:b/>
        </w:rPr>
        <w:br w:type="page"/>
      </w:r>
    </w:p>
    <w:p w14:paraId="1D16EFD7" w14:textId="12C8A401" w:rsidR="009C3E28" w:rsidRPr="008052F5" w:rsidRDefault="009C3E28" w:rsidP="00103BDD">
      <w:pPr>
        <w:rPr>
          <w:rFonts w:ascii="Arial" w:hAnsi="Arial" w:cs="Arial"/>
          <w:b/>
        </w:rPr>
      </w:pPr>
      <w:r w:rsidRPr="008052F5">
        <w:rPr>
          <w:rFonts w:ascii="Arial" w:hAnsi="Arial" w:cs="Arial"/>
          <w:b/>
        </w:rPr>
        <w:t xml:space="preserve">b. </w:t>
      </w:r>
    </w:p>
    <w:p w14:paraId="70AB737E" w14:textId="20A6982D" w:rsidR="00820A73" w:rsidRPr="008052F5" w:rsidRDefault="00820A73">
      <w:pPr>
        <w:rPr>
          <w:rFonts w:ascii="Arial" w:hAnsi="Arial" w:cs="Arial"/>
        </w:rPr>
      </w:pPr>
      <w:r w:rsidRPr="008052F5">
        <w:t xml:space="preserve"> </w:t>
      </w:r>
      <w:r w:rsidR="007019E2" w:rsidRPr="008052F5">
        <w:rPr>
          <w:noProof/>
          <w:lang w:val="en-IN" w:eastAsia="en-IN"/>
        </w:rPr>
        <w:drawing>
          <wp:inline distT="0" distB="0" distL="0" distR="0" wp14:anchorId="108182B3" wp14:editId="7B95AF10">
            <wp:extent cx="4832997" cy="3825850"/>
            <wp:effectExtent l="0" t="0" r="5715" b="3810"/>
            <wp:docPr id="126459321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37074" cy="3829078"/>
                    </a:xfrm>
                    <a:prstGeom prst="rect">
                      <a:avLst/>
                    </a:prstGeom>
                    <a:noFill/>
                  </pic:spPr>
                </pic:pic>
              </a:graphicData>
            </a:graphic>
          </wp:inline>
        </w:drawing>
      </w:r>
      <w:r w:rsidRPr="008052F5">
        <w:t xml:space="preserve"> </w:t>
      </w:r>
    </w:p>
    <w:p w14:paraId="6E5AB6A7" w14:textId="0EE77441" w:rsidR="00F45821" w:rsidRPr="008052F5" w:rsidRDefault="00103BDD" w:rsidP="00103BDD">
      <w:pPr>
        <w:rPr>
          <w:rFonts w:ascii="Arial" w:hAnsi="Arial" w:cs="Arial"/>
        </w:rPr>
      </w:pPr>
      <w:r w:rsidRPr="008052F5">
        <w:rPr>
          <w:rFonts w:ascii="Arial" w:hAnsi="Arial" w:cs="Arial"/>
          <w:b/>
        </w:rPr>
        <w:t>a.</w:t>
      </w:r>
      <w:r w:rsidRPr="008052F5">
        <w:rPr>
          <w:rFonts w:ascii="Arial" w:hAnsi="Arial" w:cs="Arial"/>
        </w:rPr>
        <w:t xml:space="preserve"> Cell type proportions pre-post in R and NR</w:t>
      </w:r>
    </w:p>
    <w:p w14:paraId="0EE8F0AB" w14:textId="42415767" w:rsidR="00103BDD" w:rsidRPr="008052F5" w:rsidRDefault="00103BDD" w:rsidP="00103BDD">
      <w:pPr>
        <w:rPr>
          <w:rFonts w:ascii="Arial" w:hAnsi="Arial" w:cs="Arial"/>
        </w:rPr>
      </w:pPr>
      <w:r w:rsidRPr="008052F5">
        <w:rPr>
          <w:rFonts w:ascii="Arial" w:hAnsi="Arial" w:cs="Arial"/>
          <w:b/>
        </w:rPr>
        <w:t>b.</w:t>
      </w:r>
      <w:r w:rsidRPr="008052F5">
        <w:rPr>
          <w:rFonts w:ascii="Arial" w:hAnsi="Arial" w:cs="Arial"/>
        </w:rPr>
        <w:t xml:space="preserve"> Unique interaction frequencies pre- post in R and NR</w:t>
      </w:r>
    </w:p>
    <w:p w14:paraId="1965974E" w14:textId="6DC837C0" w:rsidR="00103BDD" w:rsidRPr="008052F5" w:rsidRDefault="00264E71" w:rsidP="00103BDD">
      <w:pPr>
        <w:rPr>
          <w:rFonts w:ascii="Arial" w:hAnsi="Arial" w:cs="Arial"/>
        </w:rPr>
      </w:pPr>
      <w:r w:rsidRPr="008052F5">
        <w:rPr>
          <w:rFonts w:ascii="Arial" w:hAnsi="Arial" w:cs="Arial"/>
        </w:rPr>
        <w:t>In a, b, * denote</w:t>
      </w:r>
      <w:r w:rsidR="00E03E66" w:rsidRPr="008052F5">
        <w:rPr>
          <w:rFonts w:ascii="Arial" w:hAnsi="Arial" w:cs="Arial"/>
        </w:rPr>
        <w:t>s</w:t>
      </w:r>
      <w:r w:rsidRPr="008052F5">
        <w:rPr>
          <w:rFonts w:ascii="Arial" w:hAnsi="Arial" w:cs="Arial"/>
        </w:rPr>
        <w:t xml:space="preserve"> statistical significance. </w:t>
      </w:r>
      <w:r w:rsidR="007019E2" w:rsidRPr="008052F5">
        <w:rPr>
          <w:rFonts w:ascii="Arial" w:hAnsi="Arial" w:cs="Arial"/>
        </w:rPr>
        <w:t xml:space="preserve">.p&lt;0.1, </w:t>
      </w:r>
      <w:r w:rsidRPr="008052F5">
        <w:rPr>
          <w:rFonts w:ascii="Arial" w:hAnsi="Arial" w:cs="Arial"/>
        </w:rPr>
        <w:t>*p&lt;0.05, **p&lt;0.01</w:t>
      </w:r>
      <w:r w:rsidR="284E580B" w:rsidRPr="008052F5">
        <w:rPr>
          <w:rFonts w:ascii="Arial" w:hAnsi="Arial" w:cs="Arial"/>
        </w:rPr>
        <w:t>. Statistical significance was determined by a</w:t>
      </w:r>
      <w:r w:rsidR="004B27BE" w:rsidRPr="008052F5">
        <w:rPr>
          <w:rFonts w:ascii="Arial" w:hAnsi="Arial" w:cs="Arial"/>
        </w:rPr>
        <w:t xml:space="preserve"> Kruskal-Wallis test followed by Dunn’s post-hoc test. </w:t>
      </w:r>
      <w:r w:rsidRPr="008052F5">
        <w:rPr>
          <w:rFonts w:ascii="Arial" w:hAnsi="Arial" w:cs="Arial"/>
        </w:rPr>
        <w:t xml:space="preserve">The median is indicated by a </w:t>
      </w:r>
      <w:r w:rsidR="00B05E7D" w:rsidRPr="008052F5">
        <w:rPr>
          <w:rFonts w:ascii="Arial" w:hAnsi="Arial" w:cs="Arial"/>
        </w:rPr>
        <w:t>colored</w:t>
      </w:r>
      <w:r w:rsidRPr="008052F5">
        <w:rPr>
          <w:rFonts w:ascii="Arial" w:hAnsi="Arial" w:cs="Arial"/>
        </w:rPr>
        <w:t xml:space="preserve"> line.</w:t>
      </w:r>
    </w:p>
    <w:p w14:paraId="696A543D" w14:textId="77777777" w:rsidR="00103BDD" w:rsidRPr="008052F5" w:rsidRDefault="00103BDD" w:rsidP="00103BDD">
      <w:pPr>
        <w:rPr>
          <w:rFonts w:ascii="Arial" w:hAnsi="Arial" w:cs="Arial"/>
        </w:rPr>
      </w:pPr>
      <w:r w:rsidRPr="008052F5">
        <w:rPr>
          <w:rFonts w:ascii="Arial" w:hAnsi="Arial" w:cs="Arial"/>
        </w:rPr>
        <w:br w:type="page"/>
      </w:r>
    </w:p>
    <w:p w14:paraId="2F2E9E40" w14:textId="1BA947FB" w:rsidR="00103BDD" w:rsidRPr="008052F5" w:rsidRDefault="00103BDD" w:rsidP="00103BDD">
      <w:pPr>
        <w:rPr>
          <w:rFonts w:ascii="Arial" w:hAnsi="Arial" w:cs="Arial"/>
          <w:b/>
        </w:rPr>
      </w:pPr>
      <w:r w:rsidRPr="008052F5">
        <w:rPr>
          <w:rFonts w:ascii="Arial" w:hAnsi="Arial" w:cs="Arial"/>
          <w:b/>
        </w:rPr>
        <w:t>Figure S</w:t>
      </w:r>
      <w:r w:rsidR="00BD7369" w:rsidRPr="008052F5">
        <w:rPr>
          <w:rFonts w:ascii="Arial" w:hAnsi="Arial" w:cs="Arial"/>
          <w:b/>
        </w:rPr>
        <w:t>5</w:t>
      </w:r>
      <w:r w:rsidRPr="008052F5">
        <w:rPr>
          <w:rFonts w:ascii="Arial" w:hAnsi="Arial" w:cs="Arial"/>
          <w:b/>
        </w:rPr>
        <w:t>: Jerby-Arnon Additional Cell Type Proportion and Interaction Frequency Comparisons</w:t>
      </w:r>
    </w:p>
    <w:p w14:paraId="2A79BAEB" w14:textId="3B69E4B5" w:rsidR="00103BDD" w:rsidRPr="008052F5" w:rsidRDefault="00103BDD" w:rsidP="00103BDD">
      <w:pPr>
        <w:rPr>
          <w:rFonts w:ascii="Arial" w:hAnsi="Arial" w:cs="Arial"/>
          <w:b/>
        </w:rPr>
      </w:pPr>
      <w:r w:rsidRPr="008052F5">
        <w:rPr>
          <w:rFonts w:ascii="Arial" w:hAnsi="Arial" w:cs="Arial"/>
          <w:b/>
        </w:rPr>
        <w:t>a.</w:t>
      </w:r>
      <w:r w:rsidR="00E67595" w:rsidRPr="008052F5">
        <w:rPr>
          <w:rFonts w:ascii="Arial" w:hAnsi="Arial" w:cs="Arial"/>
          <w:b/>
        </w:rPr>
        <w:t xml:space="preserve"> </w:t>
      </w:r>
    </w:p>
    <w:p w14:paraId="582265DD" w14:textId="25F6239D" w:rsidR="00F813DD" w:rsidRPr="008052F5" w:rsidRDefault="008D3E37" w:rsidP="00103BDD">
      <w:pPr>
        <w:rPr>
          <w:rFonts w:ascii="Arial" w:hAnsi="Arial" w:cs="Arial"/>
          <w:b/>
        </w:rPr>
      </w:pPr>
      <w:r w:rsidRPr="008052F5">
        <w:rPr>
          <w:rFonts w:ascii="Arial" w:hAnsi="Arial" w:cs="Arial"/>
          <w:b/>
          <w:noProof/>
          <w:lang w:val="en-IN" w:eastAsia="en-IN"/>
        </w:rPr>
        <w:drawing>
          <wp:inline distT="0" distB="0" distL="0" distR="0" wp14:anchorId="2E73F07F" wp14:editId="3D9CF937">
            <wp:extent cx="5087268" cy="4389120"/>
            <wp:effectExtent l="0" t="0" r="5715" b="5080"/>
            <wp:docPr id="202306451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87268" cy="4389120"/>
                    </a:xfrm>
                    <a:prstGeom prst="rect">
                      <a:avLst/>
                    </a:prstGeom>
                    <a:noFill/>
                  </pic:spPr>
                </pic:pic>
              </a:graphicData>
            </a:graphic>
          </wp:inline>
        </w:drawing>
      </w:r>
    </w:p>
    <w:p w14:paraId="5B9DA42C" w14:textId="77777777" w:rsidR="00562177" w:rsidRPr="008052F5" w:rsidRDefault="00562177">
      <w:pPr>
        <w:rPr>
          <w:rFonts w:ascii="Arial" w:hAnsi="Arial" w:cs="Arial"/>
          <w:b/>
        </w:rPr>
      </w:pPr>
      <w:r w:rsidRPr="008052F5">
        <w:rPr>
          <w:rFonts w:ascii="Arial" w:hAnsi="Arial" w:cs="Arial"/>
          <w:b/>
        </w:rPr>
        <w:br w:type="page"/>
      </w:r>
    </w:p>
    <w:p w14:paraId="0580A5B1" w14:textId="2363E38C" w:rsidR="00103BDD" w:rsidRPr="008052F5" w:rsidRDefault="00103BDD" w:rsidP="00103BDD">
      <w:pPr>
        <w:rPr>
          <w:rFonts w:ascii="Arial" w:hAnsi="Arial" w:cs="Arial"/>
          <w:b/>
        </w:rPr>
      </w:pPr>
      <w:r w:rsidRPr="008052F5">
        <w:rPr>
          <w:rFonts w:ascii="Arial" w:hAnsi="Arial" w:cs="Arial"/>
          <w:b/>
        </w:rPr>
        <w:t>b.</w:t>
      </w:r>
      <w:r w:rsidR="00E83151" w:rsidRPr="008052F5">
        <w:rPr>
          <w:rFonts w:ascii="Arial" w:hAnsi="Arial" w:cs="Arial"/>
          <w:b/>
        </w:rPr>
        <w:br/>
      </w:r>
      <w:r w:rsidR="00E04A33" w:rsidRPr="008052F5">
        <w:rPr>
          <w:rFonts w:ascii="Arial" w:hAnsi="Arial" w:cs="Arial"/>
          <w:b/>
          <w:noProof/>
          <w:lang w:val="en-IN" w:eastAsia="en-IN"/>
        </w:rPr>
        <w:drawing>
          <wp:inline distT="0" distB="0" distL="0" distR="0" wp14:anchorId="0AA20330" wp14:editId="5EC9CDF9">
            <wp:extent cx="6344941" cy="6217920"/>
            <wp:effectExtent l="0" t="0" r="5080" b="5080"/>
            <wp:docPr id="64258362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44941" cy="6217920"/>
                    </a:xfrm>
                    <a:prstGeom prst="rect">
                      <a:avLst/>
                    </a:prstGeom>
                    <a:noFill/>
                  </pic:spPr>
                </pic:pic>
              </a:graphicData>
            </a:graphic>
          </wp:inline>
        </w:drawing>
      </w:r>
    </w:p>
    <w:p w14:paraId="5E779ACF" w14:textId="77777777" w:rsidR="00103BDD" w:rsidRPr="008052F5" w:rsidRDefault="00103BDD" w:rsidP="00103BDD">
      <w:pPr>
        <w:rPr>
          <w:rFonts w:ascii="Arial" w:hAnsi="Arial" w:cs="Arial"/>
        </w:rPr>
      </w:pPr>
    </w:p>
    <w:p w14:paraId="0F743995" w14:textId="4320FE57" w:rsidR="005D1304" w:rsidRPr="008052F5" w:rsidRDefault="005D1304">
      <w:pPr>
        <w:rPr>
          <w:rFonts w:ascii="Arial" w:hAnsi="Arial" w:cs="Arial"/>
        </w:rPr>
      </w:pPr>
      <w:r w:rsidRPr="008052F5">
        <w:rPr>
          <w:rFonts w:ascii="Arial" w:hAnsi="Arial" w:cs="Arial"/>
          <w:b/>
          <w:bCs/>
        </w:rPr>
        <w:t>a.</w:t>
      </w:r>
      <w:r w:rsidRPr="008052F5">
        <w:rPr>
          <w:rFonts w:ascii="Arial" w:hAnsi="Arial" w:cs="Arial"/>
        </w:rPr>
        <w:t xml:space="preserve"> </w:t>
      </w:r>
      <w:r w:rsidR="00E50D42" w:rsidRPr="008052F5">
        <w:rPr>
          <w:rFonts w:ascii="Arial" w:hAnsi="Arial" w:cs="Arial"/>
        </w:rPr>
        <w:t>C</w:t>
      </w:r>
      <w:r w:rsidR="00E83151" w:rsidRPr="008052F5">
        <w:rPr>
          <w:rFonts w:ascii="Arial" w:hAnsi="Arial" w:cs="Arial"/>
        </w:rPr>
        <w:t>oarse c</w:t>
      </w:r>
      <w:r w:rsidR="00E50D42" w:rsidRPr="008052F5">
        <w:rPr>
          <w:rFonts w:ascii="Arial" w:hAnsi="Arial" w:cs="Arial"/>
        </w:rPr>
        <w:t>ell type proportion</w:t>
      </w:r>
      <w:r w:rsidR="00E83151" w:rsidRPr="008052F5">
        <w:rPr>
          <w:rFonts w:ascii="Arial" w:hAnsi="Arial" w:cs="Arial"/>
        </w:rPr>
        <w:t xml:space="preserve">s compared in all pre-treatment patients compared to post-NR in Jerby-Arnon data. </w:t>
      </w:r>
    </w:p>
    <w:p w14:paraId="26E769E8" w14:textId="29CDD797" w:rsidR="002D7A97" w:rsidRPr="008052F5" w:rsidRDefault="00E50D42">
      <w:pPr>
        <w:rPr>
          <w:rFonts w:ascii="Arial" w:hAnsi="Arial" w:cs="Arial"/>
        </w:rPr>
      </w:pPr>
      <w:r w:rsidRPr="008052F5">
        <w:rPr>
          <w:rFonts w:ascii="Arial" w:hAnsi="Arial" w:cs="Arial"/>
          <w:b/>
          <w:bCs/>
        </w:rPr>
        <w:t>b.</w:t>
      </w:r>
      <w:r w:rsidRPr="008052F5">
        <w:rPr>
          <w:rFonts w:ascii="Arial" w:hAnsi="Arial" w:cs="Arial"/>
        </w:rPr>
        <w:t xml:space="preserve"> </w:t>
      </w:r>
      <w:r w:rsidR="00E83151" w:rsidRPr="008052F5">
        <w:rPr>
          <w:rFonts w:ascii="Arial" w:hAnsi="Arial" w:cs="Arial"/>
        </w:rPr>
        <w:t xml:space="preserve">Univariate comparison of interaction frequency in </w:t>
      </w:r>
      <w:r w:rsidR="00471EA7" w:rsidRPr="008052F5">
        <w:rPr>
          <w:rFonts w:ascii="Arial" w:hAnsi="Arial" w:cs="Arial"/>
        </w:rPr>
        <w:t>both Jerby-Arnon and Sade-Feldman pre-treatment patients (all, no response stratification)</w:t>
      </w:r>
      <w:r w:rsidR="00873BDF" w:rsidRPr="008052F5">
        <w:rPr>
          <w:rFonts w:ascii="Arial" w:hAnsi="Arial" w:cs="Arial"/>
        </w:rPr>
        <w:t xml:space="preserve"> and post-treatment NR.</w:t>
      </w:r>
    </w:p>
    <w:p w14:paraId="66314D4D" w14:textId="77777777" w:rsidR="005450FE" w:rsidRPr="008052F5" w:rsidRDefault="005450FE">
      <w:pPr>
        <w:rPr>
          <w:rFonts w:ascii="Arial" w:hAnsi="Arial" w:cs="Arial"/>
        </w:rPr>
      </w:pPr>
    </w:p>
    <w:p w14:paraId="506F770C" w14:textId="77777777" w:rsidR="0058224A" w:rsidRPr="008052F5" w:rsidRDefault="0058224A">
      <w:pPr>
        <w:rPr>
          <w:rFonts w:ascii="Arial" w:hAnsi="Arial" w:cs="Arial"/>
          <w:b/>
          <w:bCs/>
        </w:rPr>
      </w:pPr>
      <w:r w:rsidRPr="008052F5">
        <w:rPr>
          <w:rFonts w:ascii="Arial" w:hAnsi="Arial" w:cs="Arial"/>
          <w:b/>
          <w:bCs/>
        </w:rPr>
        <w:br w:type="page"/>
      </w:r>
    </w:p>
    <w:p w14:paraId="2C1C71A0" w14:textId="4A117870" w:rsidR="005450FE" w:rsidRPr="008052F5" w:rsidRDefault="0090184B">
      <w:pPr>
        <w:rPr>
          <w:rFonts w:ascii="Arial" w:hAnsi="Arial" w:cs="Arial"/>
          <w:b/>
        </w:rPr>
      </w:pPr>
      <w:r w:rsidRPr="008052F5">
        <w:rPr>
          <w:rFonts w:ascii="Arial" w:hAnsi="Arial" w:cs="Arial"/>
          <w:b/>
        </w:rPr>
        <w:t>Supplemental Information References</w:t>
      </w:r>
      <w:r w:rsidR="00562177" w:rsidRPr="008052F5">
        <w:rPr>
          <w:rFonts w:ascii="Arial" w:hAnsi="Arial" w:cs="Arial"/>
          <w:b/>
        </w:rPr>
        <w:t>:</w:t>
      </w:r>
    </w:p>
    <w:p w14:paraId="41530213" w14:textId="77777777" w:rsidR="00753FE5" w:rsidRPr="008052F5" w:rsidRDefault="00753FE5" w:rsidP="00753FE5">
      <w:pPr>
        <w:pStyle w:val="Bibliography"/>
      </w:pPr>
      <w:r w:rsidRPr="008052F5">
        <w:rPr>
          <w:rFonts w:ascii="Arial" w:hAnsi="Arial" w:cs="Arial"/>
          <w:b/>
        </w:rPr>
        <w:fldChar w:fldCharType="begin"/>
      </w:r>
      <w:r w:rsidRPr="008052F5">
        <w:rPr>
          <w:rFonts w:ascii="Arial" w:hAnsi="Arial" w:cs="Arial"/>
          <w:b/>
        </w:rPr>
        <w:instrText xml:space="preserve"> ADDIN ZOTERO_BIBL {"uncited":[],"omitted":[],"custom":[]} CSL_BIBLIOGRAPHY </w:instrText>
      </w:r>
      <w:r w:rsidRPr="008052F5">
        <w:rPr>
          <w:rFonts w:ascii="Arial" w:hAnsi="Arial" w:cs="Arial"/>
          <w:b/>
        </w:rPr>
        <w:fldChar w:fldCharType="separate"/>
      </w:r>
      <w:r w:rsidRPr="008052F5">
        <w:t>1.</w:t>
      </w:r>
      <w:r w:rsidRPr="008052F5">
        <w:tab/>
        <w:t>T cytotoxic cells gene expression markers | PanglaoDB. Accessed May 29, 2025. https://www.panglaodb.se/markers.html?cell_type=%27T%20cytotoxic%20cells%27</w:t>
      </w:r>
    </w:p>
    <w:p w14:paraId="28836793" w14:textId="77777777" w:rsidR="00753FE5" w:rsidRPr="008052F5" w:rsidRDefault="00753FE5" w:rsidP="00753FE5">
      <w:pPr>
        <w:pStyle w:val="Bibliography"/>
      </w:pPr>
      <w:r w:rsidRPr="008052F5">
        <w:t>2.</w:t>
      </w:r>
      <w:r w:rsidRPr="008052F5">
        <w:tab/>
        <w:t xml:space="preserve">Jerby-Arnon L, Shah P, Cuoco MS, et al. A Cancer Cell Program Promotes T Cell Exclusion and Resistance to Checkpoint Blockade. </w:t>
      </w:r>
      <w:r w:rsidRPr="008052F5">
        <w:rPr>
          <w:i/>
        </w:rPr>
        <w:t>Cell</w:t>
      </w:r>
      <w:r w:rsidRPr="008052F5">
        <w:t>. 2018;175(4):984-997.e24. doi:10.1016/j.cell.2018.09.006</w:t>
      </w:r>
    </w:p>
    <w:p w14:paraId="54293B15" w14:textId="77777777" w:rsidR="00753FE5" w:rsidRPr="008052F5" w:rsidRDefault="00753FE5" w:rsidP="00753FE5">
      <w:pPr>
        <w:pStyle w:val="Bibliography"/>
      </w:pPr>
      <w:r w:rsidRPr="008052F5">
        <w:t>3.</w:t>
      </w:r>
      <w:r w:rsidRPr="008052F5">
        <w:tab/>
        <w:t xml:space="preserve">Sade-Feldman M, Yizhak K, Bjorgaard SL, et al. Defining T Cell States Associated with Response to Checkpoint Immunotherapy in Melanoma. </w:t>
      </w:r>
      <w:r w:rsidRPr="008052F5">
        <w:rPr>
          <w:i/>
        </w:rPr>
        <w:t>Cell</w:t>
      </w:r>
      <w:r w:rsidRPr="008052F5">
        <w:t>. 2018;175(4):998-1013.e20. doi:10.1016/j.cell.2018.10.038</w:t>
      </w:r>
    </w:p>
    <w:p w14:paraId="4CCC75CF" w14:textId="77777777" w:rsidR="00753FE5" w:rsidRPr="008052F5" w:rsidRDefault="00753FE5" w:rsidP="00753FE5">
      <w:pPr>
        <w:pStyle w:val="Bibliography"/>
      </w:pPr>
      <w:r w:rsidRPr="008052F5">
        <w:t>4.</w:t>
      </w:r>
      <w:r w:rsidRPr="008052F5">
        <w:tab/>
        <w:t xml:space="preserve">Zhao H, Li CC, Pardo J, et al. A Novel E3 Ubiquitin Ligase TRAC-1 Positively Regulates T Cell Activation. </w:t>
      </w:r>
      <w:r w:rsidRPr="008052F5">
        <w:rPr>
          <w:i/>
        </w:rPr>
        <w:t>J Immunol</w:t>
      </w:r>
      <w:r w:rsidRPr="008052F5">
        <w:t>. 2005;174(9):5288-5297. doi:10.4049/jimmunol.174.9.5288</w:t>
      </w:r>
    </w:p>
    <w:p w14:paraId="5AD07697" w14:textId="77777777" w:rsidR="00753FE5" w:rsidRPr="008052F5" w:rsidRDefault="00753FE5" w:rsidP="00753FE5">
      <w:pPr>
        <w:pStyle w:val="Bibliography"/>
      </w:pPr>
      <w:r w:rsidRPr="008052F5">
        <w:t>5.</w:t>
      </w:r>
      <w:r w:rsidRPr="008052F5">
        <w:tab/>
        <w:t>Bio-Rad. The T Cell Marker, CD3 Antigen &amp; Antibodies: Mini-review. Bio-Rad. Accessed May 29, 2025. https://www.bio-rad-antibodies.com/minireview-cd3-antibody.html</w:t>
      </w:r>
    </w:p>
    <w:p w14:paraId="0A626A62" w14:textId="77777777" w:rsidR="00753FE5" w:rsidRPr="008052F5" w:rsidRDefault="00753FE5" w:rsidP="00753FE5">
      <w:pPr>
        <w:pStyle w:val="Bibliography"/>
      </w:pPr>
      <w:r w:rsidRPr="008052F5">
        <w:t>6.</w:t>
      </w:r>
      <w:r w:rsidRPr="008052F5">
        <w:tab/>
        <w:t>UniProt - P07766 CD3E Human. UniProt. Accessed May 29, 2025. https://www.uniprot.org/uniprotkb/P07766/entry</w:t>
      </w:r>
    </w:p>
    <w:p w14:paraId="7C97D7D0" w14:textId="77777777" w:rsidR="00753FE5" w:rsidRPr="008052F5" w:rsidRDefault="00753FE5" w:rsidP="00753FE5">
      <w:pPr>
        <w:pStyle w:val="Bibliography"/>
      </w:pPr>
      <w:r w:rsidRPr="008052F5">
        <w:t>7.</w:t>
      </w:r>
      <w:r w:rsidRPr="008052F5">
        <w:tab/>
        <w:t>T helper cells gene expression markers | PanglaoDB. Accessed May 29, 2025. https://www.panglaodb.se/markers.html?cell_type=%27T%20helper%20cells%27</w:t>
      </w:r>
    </w:p>
    <w:p w14:paraId="683F38D3" w14:textId="77777777" w:rsidR="00753FE5" w:rsidRPr="008052F5" w:rsidRDefault="00753FE5" w:rsidP="00753FE5">
      <w:pPr>
        <w:pStyle w:val="Bibliography"/>
      </w:pPr>
      <w:r w:rsidRPr="008052F5">
        <w:t>8.</w:t>
      </w:r>
      <w:r w:rsidRPr="008052F5">
        <w:tab/>
        <w:t xml:space="preserve">Imai T, Nagira M, Takagi S, et al. Selective recruitment of CCR4-bearing Th2 cells toward antigen-presenting cells by the CC chemokines thymus and activation-regulated chemokine and macrophage-derived chemokine. </w:t>
      </w:r>
      <w:r w:rsidRPr="008052F5">
        <w:rPr>
          <w:i/>
        </w:rPr>
        <w:t>Int Immunol</w:t>
      </w:r>
      <w:r w:rsidRPr="008052F5">
        <w:t>. 1999;11(1):81-88. doi:10.1093/intimm/11.1.81</w:t>
      </w:r>
    </w:p>
    <w:p w14:paraId="5C73F701" w14:textId="77777777" w:rsidR="00753FE5" w:rsidRPr="008052F5" w:rsidRDefault="00753FE5" w:rsidP="00753FE5">
      <w:pPr>
        <w:pStyle w:val="Bibliography"/>
      </w:pPr>
      <w:r w:rsidRPr="008052F5">
        <w:t>9.</w:t>
      </w:r>
      <w:r w:rsidRPr="008052F5">
        <w:tab/>
        <w:t xml:space="preserve">Esensten JH, Helou YA, Chopra G, Weiss A, Bluestone JA. CD28 Costimulation: From Mechanism to Therapy. </w:t>
      </w:r>
      <w:r w:rsidRPr="008052F5">
        <w:rPr>
          <w:i/>
        </w:rPr>
        <w:t>Immunity</w:t>
      </w:r>
      <w:r w:rsidRPr="008052F5">
        <w:t>. 2016;44(5):973-988. doi:10.1016/j.immuni.2016.04.020</w:t>
      </w:r>
    </w:p>
    <w:p w14:paraId="67D7C0F8" w14:textId="77777777" w:rsidR="00753FE5" w:rsidRPr="008052F5" w:rsidRDefault="00753FE5" w:rsidP="00753FE5">
      <w:pPr>
        <w:pStyle w:val="Bibliography"/>
      </w:pPr>
      <w:r w:rsidRPr="008052F5">
        <w:t>10.</w:t>
      </w:r>
      <w:r w:rsidRPr="008052F5">
        <w:tab/>
        <w:t xml:space="preserve">Bao K, Reinhardt RL. The differential expression of IL-4 and IL-13 and its impact on type-2 Immunity. </w:t>
      </w:r>
      <w:r w:rsidRPr="008052F5">
        <w:rPr>
          <w:i/>
        </w:rPr>
        <w:t>Cytokine</w:t>
      </w:r>
      <w:r w:rsidRPr="008052F5">
        <w:t>. 2015;75(1):25-37. doi:10.1016/j.cyto.2015.05.008</w:t>
      </w:r>
    </w:p>
    <w:p w14:paraId="5B12E19A" w14:textId="77777777" w:rsidR="00753FE5" w:rsidRPr="008052F5" w:rsidRDefault="00753FE5" w:rsidP="00753FE5">
      <w:pPr>
        <w:pStyle w:val="Bibliography"/>
      </w:pPr>
      <w:r w:rsidRPr="008052F5">
        <w:t>11.</w:t>
      </w:r>
      <w:r w:rsidRPr="008052F5">
        <w:tab/>
        <w:t xml:space="preserve">Hori S. FOXP3 as a master regulator of Treg cells. </w:t>
      </w:r>
      <w:r w:rsidRPr="008052F5">
        <w:rPr>
          <w:i/>
        </w:rPr>
        <w:t>Nat Rev Immunol</w:t>
      </w:r>
      <w:r w:rsidRPr="008052F5">
        <w:t>. 2021;21(10):618-619. doi:10.1038/s41577-021-00598-9</w:t>
      </w:r>
    </w:p>
    <w:p w14:paraId="7E65C648" w14:textId="77777777" w:rsidR="00753FE5" w:rsidRPr="008052F5" w:rsidRDefault="00753FE5" w:rsidP="00753FE5">
      <w:pPr>
        <w:pStyle w:val="Bibliography"/>
      </w:pPr>
      <w:r w:rsidRPr="008052F5">
        <w:t>12.</w:t>
      </w:r>
      <w:r w:rsidRPr="008052F5">
        <w:tab/>
        <w:t>B cells gene expression markers | PanglaoDB. Accessed May 29, 2025. https://www.panglaodb.se/markers.html?cell_type=%27B%20cells%27</w:t>
      </w:r>
    </w:p>
    <w:p w14:paraId="2174A33B" w14:textId="77777777" w:rsidR="00753FE5" w:rsidRPr="008052F5" w:rsidRDefault="00753FE5" w:rsidP="00753FE5">
      <w:pPr>
        <w:pStyle w:val="Bibliography"/>
      </w:pPr>
      <w:r w:rsidRPr="008052F5">
        <w:t>13.</w:t>
      </w:r>
      <w:r w:rsidRPr="008052F5">
        <w:tab/>
        <w:t xml:space="preserve">Vaughn SE, Foley C, Lu X, et al. Lupus risk variants in the PXK locus alter B-cell receptor internalization. </w:t>
      </w:r>
      <w:r w:rsidRPr="008052F5">
        <w:rPr>
          <w:i/>
        </w:rPr>
        <w:t>Front Genet</w:t>
      </w:r>
      <w:r w:rsidRPr="008052F5">
        <w:t>. 2015;5:450. doi:10.3389/fgene.2014.00450</w:t>
      </w:r>
    </w:p>
    <w:p w14:paraId="12A6D7A4" w14:textId="77777777" w:rsidR="00753FE5" w:rsidRPr="008052F5" w:rsidRDefault="00753FE5" w:rsidP="00753FE5">
      <w:pPr>
        <w:pStyle w:val="Bibliography"/>
      </w:pPr>
      <w:r w:rsidRPr="008052F5">
        <w:t>14.</w:t>
      </w:r>
      <w:r w:rsidRPr="008052F5">
        <w:tab/>
        <w:t>PubChem. HLA-DRA - major histocompatibility complex, class II, DR alpha (human). Accessed May 29, 2025. https://pubchem.ncbi.nlm.nih.gov/gene/HLA-DRA/human</w:t>
      </w:r>
    </w:p>
    <w:p w14:paraId="25AB73D0" w14:textId="77777777" w:rsidR="00753FE5" w:rsidRPr="008052F5" w:rsidRDefault="00753FE5" w:rsidP="00753FE5">
      <w:pPr>
        <w:pStyle w:val="Bibliography"/>
      </w:pPr>
      <w:r w:rsidRPr="008052F5">
        <w:t>15.</w:t>
      </w:r>
      <w:r w:rsidRPr="008052F5">
        <w:tab/>
        <w:t>T regulatory cells gene expression markers | PanglaoDB. Accessed May 29, 2025. https://www.panglaodb.se/markers.html?cell_type=%27T%20regulatory%20cells%27</w:t>
      </w:r>
    </w:p>
    <w:p w14:paraId="3D86C61C" w14:textId="77777777" w:rsidR="00753FE5" w:rsidRPr="008052F5" w:rsidRDefault="00753FE5" w:rsidP="00753FE5">
      <w:pPr>
        <w:pStyle w:val="Bibliography"/>
      </w:pPr>
      <w:r w:rsidRPr="008052F5">
        <w:t>16.</w:t>
      </w:r>
      <w:r w:rsidRPr="008052F5">
        <w:tab/>
        <w:t xml:space="preserve">Polak K, Marchal P, Taroni C, et al. CD4+ regulatory T cells lacking Helios and Eos. </w:t>
      </w:r>
      <w:r w:rsidRPr="008052F5">
        <w:rPr>
          <w:i/>
        </w:rPr>
        <w:t>Biochem Biophys Res Commun</w:t>
      </w:r>
      <w:r w:rsidRPr="008052F5">
        <w:t>. 2023;674:83-89. doi:10.1016/j.bbrc.2023.06.087</w:t>
      </w:r>
    </w:p>
    <w:p w14:paraId="766AE7F3" w14:textId="77777777" w:rsidR="00753FE5" w:rsidRPr="008052F5" w:rsidRDefault="00753FE5" w:rsidP="00753FE5">
      <w:pPr>
        <w:pStyle w:val="Bibliography"/>
      </w:pPr>
      <w:r w:rsidRPr="008052F5">
        <w:t>17.</w:t>
      </w:r>
      <w:r w:rsidRPr="008052F5">
        <w:tab/>
        <w:t xml:space="preserve">Hinterbrandner M, Rubino V, Stoll C, et al. Tnfrsf4-expressing regulatory T cells promote immune escape of chronic myeloid leukemia stem cells. </w:t>
      </w:r>
      <w:r w:rsidRPr="008052F5">
        <w:rPr>
          <w:i/>
        </w:rPr>
        <w:t>JCI Insight</w:t>
      </w:r>
      <w:r w:rsidRPr="008052F5">
        <w:t>. 2021;6(23):e151797. doi:10.1172/jci.insight.151797</w:t>
      </w:r>
    </w:p>
    <w:p w14:paraId="7E5155ED" w14:textId="77777777" w:rsidR="00753FE5" w:rsidRPr="008052F5" w:rsidRDefault="00753FE5" w:rsidP="00753FE5">
      <w:pPr>
        <w:pStyle w:val="Bibliography"/>
      </w:pPr>
      <w:r w:rsidRPr="008052F5">
        <w:t>18.</w:t>
      </w:r>
      <w:r w:rsidRPr="008052F5">
        <w:tab/>
        <w:t>NK cells gene expression markers | PanglaoDB. Accessed May 29, 2025. https://www.panglaodb.se/markers.html?cell_type=%27NK%20cells%27</w:t>
      </w:r>
    </w:p>
    <w:p w14:paraId="115A60A8" w14:textId="77777777" w:rsidR="00753FE5" w:rsidRPr="008052F5" w:rsidRDefault="00753FE5" w:rsidP="00753FE5">
      <w:pPr>
        <w:pStyle w:val="Bibliography"/>
      </w:pPr>
      <w:r w:rsidRPr="008052F5">
        <w:t>19.</w:t>
      </w:r>
      <w:r w:rsidRPr="008052F5">
        <w:tab/>
        <w:t xml:space="preserve">Mahaweni NM, Olieslagers TI, Rivas IO, et al. A comprehensive overview of FCGR3A gene variability by full-length gene sequencing including the identification of V158F polymorphism. </w:t>
      </w:r>
      <w:r w:rsidRPr="008052F5">
        <w:rPr>
          <w:i/>
        </w:rPr>
        <w:t>Sci Rep</w:t>
      </w:r>
      <w:r w:rsidRPr="008052F5">
        <w:t>. 2018;8(1):15983. doi:10.1038/s41598-018-34258-1</w:t>
      </w:r>
    </w:p>
    <w:p w14:paraId="533AD4BD" w14:textId="77777777" w:rsidR="00753FE5" w:rsidRPr="008052F5" w:rsidRDefault="00753FE5" w:rsidP="00753FE5">
      <w:pPr>
        <w:pStyle w:val="Bibliography"/>
      </w:pPr>
      <w:r w:rsidRPr="008052F5">
        <w:t>20.</w:t>
      </w:r>
      <w:r w:rsidRPr="008052F5">
        <w:tab/>
        <w:t xml:space="preserve">Huang LP, Lyu SC, Clayberger C, Krensky AM. Granulysin-Mediated Tumor Rejection in Transgenic Mice. </w:t>
      </w:r>
      <w:r w:rsidRPr="008052F5">
        <w:rPr>
          <w:i/>
        </w:rPr>
        <w:t>J Immunol Baltim Md 1950</w:t>
      </w:r>
      <w:r w:rsidRPr="008052F5">
        <w:t>. 2007;178(1):77-84. doi:10.4049/jimmunol.178.1.77</w:t>
      </w:r>
    </w:p>
    <w:p w14:paraId="130029FC" w14:textId="77777777" w:rsidR="00753FE5" w:rsidRPr="008052F5" w:rsidRDefault="00753FE5" w:rsidP="00753FE5">
      <w:pPr>
        <w:pStyle w:val="Bibliography"/>
      </w:pPr>
      <w:r w:rsidRPr="008052F5">
        <w:t>21.</w:t>
      </w:r>
      <w:r w:rsidRPr="008052F5">
        <w:tab/>
        <w:t xml:space="preserve">Lanier LL, Chang C, Spits H, Phillips JH. Expression of cytoplasmic CD3 epsilon proteins in activated human adult natural killer (NK) cells and CD3 gamma, delta, epsilon complexes in fetal NK cells. Implications for the relationship of NK and T lymphocytes. </w:t>
      </w:r>
      <w:r w:rsidRPr="008052F5">
        <w:rPr>
          <w:i/>
        </w:rPr>
        <w:t>J Immunol Baltim Md 1950</w:t>
      </w:r>
      <w:r w:rsidRPr="008052F5">
        <w:t>. 1992;149(6):1876-1880.</w:t>
      </w:r>
    </w:p>
    <w:p w14:paraId="08575B6D" w14:textId="77777777" w:rsidR="00753FE5" w:rsidRPr="008052F5" w:rsidRDefault="00753FE5" w:rsidP="00753FE5">
      <w:pPr>
        <w:pStyle w:val="Bibliography"/>
      </w:pPr>
      <w:r w:rsidRPr="008052F5">
        <w:t>22.</w:t>
      </w:r>
      <w:r w:rsidRPr="008052F5">
        <w:tab/>
        <w:t xml:space="preserve">Liu X, Zhu Z, Wang X. Specificity and function of T cell subset identities using single-cell sequencing. </w:t>
      </w:r>
      <w:r w:rsidRPr="008052F5">
        <w:rPr>
          <w:i/>
        </w:rPr>
        <w:t>Clin Transl Discov</w:t>
      </w:r>
      <w:r w:rsidRPr="008052F5">
        <w:t>. 2023;3(3):e199. doi:10.1002/ctd2.199</w:t>
      </w:r>
    </w:p>
    <w:p w14:paraId="1A5B24E4" w14:textId="77777777" w:rsidR="00753FE5" w:rsidRPr="008052F5" w:rsidRDefault="00753FE5" w:rsidP="00753FE5">
      <w:pPr>
        <w:pStyle w:val="Bibliography"/>
      </w:pPr>
      <w:r w:rsidRPr="008052F5">
        <w:t>23.</w:t>
      </w:r>
      <w:r w:rsidRPr="008052F5">
        <w:tab/>
        <w:t xml:space="preserve">Travaglini KJ, Nabhan AN, Penland L, et al. A molecular cell atlas of the human lung from single-cell RNA sequencing. </w:t>
      </w:r>
      <w:r w:rsidRPr="008052F5">
        <w:rPr>
          <w:i/>
        </w:rPr>
        <w:t>Nature</w:t>
      </w:r>
      <w:r w:rsidRPr="008052F5">
        <w:t>. 2020;587(7835):619-625. doi:10.1038/s41586-020-2922-4</w:t>
      </w:r>
    </w:p>
    <w:p w14:paraId="35A2EC76" w14:textId="77777777" w:rsidR="00753FE5" w:rsidRPr="008052F5" w:rsidRDefault="00753FE5" w:rsidP="00753FE5">
      <w:pPr>
        <w:pStyle w:val="Bibliography"/>
      </w:pPr>
      <w:r w:rsidRPr="008052F5">
        <w:t>24.</w:t>
      </w:r>
      <w:r w:rsidRPr="008052F5">
        <w:tab/>
        <w:t xml:space="preserve">Zhao P, Zou J, Zhou F, et al. Immune features of COVID-19 convalescent individuals revealed by a single-cell RNA sequencing. </w:t>
      </w:r>
      <w:r w:rsidRPr="008052F5">
        <w:rPr>
          <w:i/>
        </w:rPr>
        <w:t>Int Immunopharmacol</w:t>
      </w:r>
      <w:r w:rsidRPr="008052F5">
        <w:t>. 2022;108:108767. doi:10.1016/j.intimp.2022.108767</w:t>
      </w:r>
    </w:p>
    <w:p w14:paraId="46563618" w14:textId="77777777" w:rsidR="00753FE5" w:rsidRPr="008052F5" w:rsidRDefault="00753FE5" w:rsidP="00753FE5">
      <w:pPr>
        <w:pStyle w:val="Bibliography"/>
      </w:pPr>
      <w:r w:rsidRPr="008052F5">
        <w:t>25.</w:t>
      </w:r>
      <w:r w:rsidRPr="008052F5">
        <w:tab/>
        <w:t xml:space="preserve">Peng L, Jin X, Li B ya, et al. Integrating single-cell RNA sequencing with spatial transcriptomics reveals immune landscape for interstitial cystitis. </w:t>
      </w:r>
      <w:r w:rsidRPr="008052F5">
        <w:rPr>
          <w:i/>
        </w:rPr>
        <w:t>Signal Transduct Target Ther</w:t>
      </w:r>
      <w:r w:rsidRPr="008052F5">
        <w:t>. 2022;7(1):161. doi:10.1038/s41392-022-00962-8</w:t>
      </w:r>
    </w:p>
    <w:p w14:paraId="74661EA4" w14:textId="77777777" w:rsidR="00753FE5" w:rsidRPr="008052F5" w:rsidRDefault="00753FE5" w:rsidP="00753FE5">
      <w:pPr>
        <w:pStyle w:val="Bibliography"/>
      </w:pPr>
      <w:r w:rsidRPr="008052F5">
        <w:t>26.</w:t>
      </w:r>
      <w:r w:rsidRPr="008052F5">
        <w:tab/>
        <w:t xml:space="preserve">Bost P, De Sanctis F, Canè S, et al. Deciphering the state of immune silence in fatal COVID-19 patients. </w:t>
      </w:r>
      <w:r w:rsidRPr="008052F5">
        <w:rPr>
          <w:i/>
        </w:rPr>
        <w:t>Nat Commun</w:t>
      </w:r>
      <w:r w:rsidRPr="008052F5">
        <w:t>. 2021;12(1):1428. doi:10.1038/s41467-021-21702-6</w:t>
      </w:r>
    </w:p>
    <w:p w14:paraId="0CB27750" w14:textId="77777777" w:rsidR="00753FE5" w:rsidRPr="008052F5" w:rsidRDefault="00753FE5" w:rsidP="00753FE5">
      <w:pPr>
        <w:pStyle w:val="Bibliography"/>
      </w:pPr>
      <w:r w:rsidRPr="008052F5">
        <w:t>27.</w:t>
      </w:r>
      <w:r w:rsidRPr="008052F5">
        <w:tab/>
        <w:t xml:space="preserve">Kim N, Kim HK, Lee K, et al. Single-cell RNA sequencing demonstrates the molecular and cellular reprogramming of metastatic lung adenocarcinoma. </w:t>
      </w:r>
      <w:r w:rsidRPr="008052F5">
        <w:rPr>
          <w:i/>
        </w:rPr>
        <w:t>Nat Commun</w:t>
      </w:r>
      <w:r w:rsidRPr="008052F5">
        <w:t>. 2020;11(1):2285. doi:10.1038/s41467-020-16164-1</w:t>
      </w:r>
    </w:p>
    <w:p w14:paraId="3597E3BF" w14:textId="77777777" w:rsidR="00753FE5" w:rsidRPr="008052F5" w:rsidRDefault="00753FE5" w:rsidP="00753FE5">
      <w:pPr>
        <w:pStyle w:val="Bibliography"/>
      </w:pPr>
      <w:r w:rsidRPr="008052F5">
        <w:t>28.</w:t>
      </w:r>
      <w:r w:rsidRPr="008052F5">
        <w:tab/>
        <w:t>Monocytes gene expression markers | PanglaoDB. Accessed May 29, 2025. https://www.panglaodb.se/markers.html?cell_type=%27Monocytes%27</w:t>
      </w:r>
    </w:p>
    <w:p w14:paraId="1F08EC42" w14:textId="77777777" w:rsidR="00753FE5" w:rsidRPr="008052F5" w:rsidRDefault="00753FE5" w:rsidP="00753FE5">
      <w:pPr>
        <w:pStyle w:val="Bibliography"/>
      </w:pPr>
      <w:r w:rsidRPr="008052F5">
        <w:t>29.</w:t>
      </w:r>
      <w:r w:rsidRPr="008052F5">
        <w:tab/>
        <w:t>Macrophages gene expression markers | PanglaoDB. Accessed May 29, 2025. https://www.panglaodb.se/markers.html?cell_type=%27Macrophages%27</w:t>
      </w:r>
    </w:p>
    <w:p w14:paraId="345C5999" w14:textId="77777777" w:rsidR="00753FE5" w:rsidRPr="008052F5" w:rsidRDefault="00753FE5" w:rsidP="00753FE5">
      <w:pPr>
        <w:pStyle w:val="Bibliography"/>
      </w:pPr>
      <w:r w:rsidRPr="008052F5">
        <w:t>30.</w:t>
      </w:r>
      <w:r w:rsidRPr="008052F5">
        <w:tab/>
        <w:t xml:space="preserve">Gu Z, Wang L, Dong Q, et al. Aberrant LYZ expression in tumor cells serves as the potential biomarker and target for HCC and promotes tumor progression via csGRP78. </w:t>
      </w:r>
      <w:r w:rsidRPr="008052F5">
        <w:rPr>
          <w:i/>
        </w:rPr>
        <w:t>Proc Natl Acad Sci</w:t>
      </w:r>
      <w:r w:rsidRPr="008052F5">
        <w:t>. 2023;120(29):e2215744120. doi:10.1073/pnas.2215744120</w:t>
      </w:r>
    </w:p>
    <w:p w14:paraId="55E61035" w14:textId="77777777" w:rsidR="00753FE5" w:rsidRPr="008052F5" w:rsidRDefault="00753FE5" w:rsidP="00753FE5">
      <w:pPr>
        <w:pStyle w:val="Bibliography"/>
      </w:pPr>
      <w:r w:rsidRPr="008052F5">
        <w:t>31.</w:t>
      </w:r>
      <w:r w:rsidRPr="008052F5">
        <w:tab/>
        <w:t>Plasma cells gene expression markers | PanglaoDB. Accessed May 29, 2025. https://www.panglaodb.se/markers.html?cell_type=%27Plasma%20cells%27</w:t>
      </w:r>
    </w:p>
    <w:p w14:paraId="7608A1FC" w14:textId="77777777" w:rsidR="00753FE5" w:rsidRPr="008052F5" w:rsidRDefault="00753FE5" w:rsidP="00753FE5">
      <w:pPr>
        <w:pStyle w:val="Bibliography"/>
      </w:pPr>
      <w:r w:rsidRPr="008052F5">
        <w:t>32.</w:t>
      </w:r>
      <w:r w:rsidRPr="008052F5">
        <w:tab/>
        <w:t xml:space="preserve">Suimon Y, Kase S, Miura I, Ishijima K, Ishida S. Alteration of Cell Surface Markers CD38 and CD138 in Lymphoproliferative Disorders in the Ocular Adnexa. </w:t>
      </w:r>
      <w:r w:rsidRPr="008052F5">
        <w:rPr>
          <w:i/>
        </w:rPr>
        <w:t>Anticancer Res</w:t>
      </w:r>
      <w:r w:rsidRPr="008052F5">
        <w:t>. 2020;40(4):2019-2023. doi:10.21873/anticanres.14158</w:t>
      </w:r>
    </w:p>
    <w:p w14:paraId="443B2D7E" w14:textId="77777777" w:rsidR="00753FE5" w:rsidRPr="008052F5" w:rsidRDefault="00753FE5" w:rsidP="00753FE5">
      <w:pPr>
        <w:pStyle w:val="Bibliography"/>
      </w:pPr>
      <w:r w:rsidRPr="008052F5">
        <w:t>33.</w:t>
      </w:r>
      <w:r w:rsidRPr="008052F5">
        <w:tab/>
        <w:t xml:space="preserve">Tanaka T, Ichimura K, Sato Y, et al. Frequent downregulation or loss of CD79a expression in plasma cell myelomas: potential clue for diagnosis. </w:t>
      </w:r>
      <w:r w:rsidRPr="008052F5">
        <w:rPr>
          <w:i/>
        </w:rPr>
        <w:t>Pathol Int</w:t>
      </w:r>
      <w:r w:rsidRPr="008052F5">
        <w:t>. 2009;59(11):804-808. doi:10.1111/j.1440-1827.2009.02448.x</w:t>
      </w:r>
    </w:p>
    <w:p w14:paraId="2D4D18CF" w14:textId="77777777" w:rsidR="00753FE5" w:rsidRPr="008052F5" w:rsidRDefault="00753FE5" w:rsidP="00753FE5">
      <w:pPr>
        <w:pStyle w:val="Bibliography"/>
      </w:pPr>
      <w:r w:rsidRPr="008052F5">
        <w:t>34.</w:t>
      </w:r>
      <w:r w:rsidRPr="008052F5">
        <w:tab/>
        <w:t xml:space="preserve">Wang K, Wei G, Liu D. CD19: a biomarker for B cell development, lymphoma diagnosis and therapy. </w:t>
      </w:r>
      <w:r w:rsidRPr="008052F5">
        <w:rPr>
          <w:i/>
        </w:rPr>
        <w:t>Exp Hematol Oncol</w:t>
      </w:r>
      <w:r w:rsidRPr="008052F5">
        <w:t>. 2012;1(1):36. doi:10.1186/2162-3619-1-36</w:t>
      </w:r>
    </w:p>
    <w:p w14:paraId="01BD9578" w14:textId="77777777" w:rsidR="00753FE5" w:rsidRPr="008052F5" w:rsidRDefault="00753FE5" w:rsidP="00753FE5">
      <w:pPr>
        <w:pStyle w:val="Bibliography"/>
      </w:pPr>
      <w:r w:rsidRPr="008052F5">
        <w:t>35.</w:t>
      </w:r>
      <w:r w:rsidRPr="008052F5">
        <w:tab/>
        <w:t>CD19 protein expression summary - The Human Protein Atlas. Accessed May 29, 2025. https://www.proteinatlas.org/ENSG00000177455-CD19</w:t>
      </w:r>
    </w:p>
    <w:p w14:paraId="611BCF05" w14:textId="77777777" w:rsidR="00753FE5" w:rsidRPr="008052F5" w:rsidRDefault="00753FE5" w:rsidP="00753FE5">
      <w:pPr>
        <w:pStyle w:val="Bibliography"/>
      </w:pPr>
      <w:r w:rsidRPr="008052F5">
        <w:t>36.</w:t>
      </w:r>
      <w:r w:rsidRPr="008052F5">
        <w:tab/>
        <w:t xml:space="preserve">Pavlasova G, Mraz M. The regulation and function of CD20: an “enigma” of B-cell biology and targeted therapy. </w:t>
      </w:r>
      <w:r w:rsidRPr="008052F5">
        <w:rPr>
          <w:i/>
        </w:rPr>
        <w:t>Haematologica</w:t>
      </w:r>
      <w:r w:rsidRPr="008052F5">
        <w:t>. 2020;105(6):1494-1506. doi:10.3324/haematol.2019.243543</w:t>
      </w:r>
    </w:p>
    <w:p w14:paraId="02E1D607" w14:textId="77777777" w:rsidR="00753FE5" w:rsidRPr="008052F5" w:rsidRDefault="00753FE5" w:rsidP="00753FE5">
      <w:pPr>
        <w:pStyle w:val="Bibliography"/>
      </w:pPr>
      <w:r w:rsidRPr="008052F5">
        <w:t>37.</w:t>
      </w:r>
      <w:r w:rsidRPr="008052F5">
        <w:tab/>
        <w:t xml:space="preserve">Khaled Y, Fondaw M, Balls J, Smith T, Solh M. Plasma Cell CD20 Expression: Primary Aberrant Expression or Receptor Up-Regulation. </w:t>
      </w:r>
      <w:r w:rsidRPr="008052F5">
        <w:rPr>
          <w:i/>
        </w:rPr>
        <w:t>Biol Blood Marrow Transplant</w:t>
      </w:r>
      <w:r w:rsidRPr="008052F5">
        <w:t>. 2013;19(2):S235. doi:10.1016/j.bbmt.2012.11.297</w:t>
      </w:r>
    </w:p>
    <w:p w14:paraId="2CDC818B" w14:textId="77777777" w:rsidR="00753FE5" w:rsidRPr="008052F5" w:rsidRDefault="00753FE5" w:rsidP="00753FE5">
      <w:pPr>
        <w:pStyle w:val="Bibliography"/>
      </w:pPr>
      <w:r w:rsidRPr="008052F5">
        <w:t>38.</w:t>
      </w:r>
      <w:r w:rsidRPr="008052F5">
        <w:tab/>
        <w:t>Plasmacytoid dendritic cells gene expression markers | PanglaoDB. Accessed May 29, 2025. https://www.panglaodb.se/markers.html?cell_type=%27Plasmacytoid%20dendritic%20cells%27</w:t>
      </w:r>
    </w:p>
    <w:p w14:paraId="2262716A" w14:textId="77777777" w:rsidR="00753FE5" w:rsidRPr="008052F5" w:rsidRDefault="00753FE5" w:rsidP="00753FE5">
      <w:pPr>
        <w:pStyle w:val="Bibliography"/>
      </w:pPr>
      <w:r w:rsidRPr="008052F5">
        <w:t>39.</w:t>
      </w:r>
      <w:r w:rsidRPr="008052F5">
        <w:tab/>
        <w:t>LILRA4 leukocyte immunoglobulin like receptor A4 [Homo sapiens (human)] - Gene - NCBI. Accessed May 29, 2025. https://www.ncbi.nlm.nih.gov/gene/23547</w:t>
      </w:r>
    </w:p>
    <w:p w14:paraId="35A5B7AA" w14:textId="77777777" w:rsidR="00753FE5" w:rsidRPr="008052F5" w:rsidRDefault="00753FE5" w:rsidP="00753FE5">
      <w:pPr>
        <w:pStyle w:val="Bibliography"/>
      </w:pPr>
      <w:r w:rsidRPr="008052F5">
        <w:t>40.</w:t>
      </w:r>
      <w:r w:rsidRPr="008052F5">
        <w:tab/>
        <w:t>Yasaka K, Yamazaki T, Sato H, et al. Phospholipase D4 as a signature of toll-like receptor 7 or 9 signaling is expressed on blastic T-bet</w:t>
      </w:r>
      <w:r w:rsidRPr="008052F5">
        <w:rPr>
          <w:rFonts w:ascii="Arial" w:hAnsi="Arial" w:cs="Arial"/>
        </w:rPr>
        <w:t> </w:t>
      </w:r>
      <w:r w:rsidRPr="008052F5">
        <w:t>+</w:t>
      </w:r>
      <w:r w:rsidRPr="008052F5">
        <w:rPr>
          <w:rFonts w:ascii="Arial" w:hAnsi="Arial" w:cs="Arial"/>
        </w:rPr>
        <w:t> </w:t>
      </w:r>
      <w:r w:rsidRPr="008052F5">
        <w:t xml:space="preserve">B cells in systemic lupus erythematosus. </w:t>
      </w:r>
      <w:r w:rsidRPr="008052F5">
        <w:rPr>
          <w:i/>
        </w:rPr>
        <w:t>Arthritis Res Ther</w:t>
      </w:r>
      <w:r w:rsidRPr="008052F5">
        <w:t>. 2023;25:200. doi:10.1186/s13075-023-03186-5</w:t>
      </w:r>
    </w:p>
    <w:p w14:paraId="3183CB87" w14:textId="77777777" w:rsidR="00753FE5" w:rsidRPr="008052F5" w:rsidRDefault="00753FE5" w:rsidP="00753FE5">
      <w:pPr>
        <w:pStyle w:val="Bibliography"/>
      </w:pPr>
      <w:r w:rsidRPr="008052F5">
        <w:t>41.</w:t>
      </w:r>
      <w:r w:rsidRPr="008052F5">
        <w:tab/>
        <w:t>PLD4 protein expression summary - The Human Protein Atlas. Accessed May 29, 2025. https://www.proteinatlas.org/ENSG00000166428-PLD4?utm_source=chatgpt.com</w:t>
      </w:r>
    </w:p>
    <w:p w14:paraId="2823BA8F" w14:textId="77777777" w:rsidR="00753FE5" w:rsidRPr="008052F5" w:rsidRDefault="00753FE5" w:rsidP="00753FE5">
      <w:pPr>
        <w:pStyle w:val="Bibliography"/>
      </w:pPr>
      <w:r w:rsidRPr="008052F5">
        <w:t>42.</w:t>
      </w:r>
      <w:r w:rsidRPr="008052F5">
        <w:tab/>
        <w:t xml:space="preserve">Mullan KA, de Vrij N, Valkiers S, Meysman P. Current annotation strategies for T cell phenotyping of single-cell RNA-seq data. </w:t>
      </w:r>
      <w:r w:rsidRPr="008052F5">
        <w:rPr>
          <w:i/>
        </w:rPr>
        <w:t>Front Immunol</w:t>
      </w:r>
      <w:r w:rsidRPr="008052F5">
        <w:t>. 2023;14:1306169. doi:10.3389/fimmu.2023.1306169</w:t>
      </w:r>
    </w:p>
    <w:p w14:paraId="7DB8C27B" w14:textId="77777777" w:rsidR="00753FE5" w:rsidRPr="008052F5" w:rsidRDefault="00753FE5" w:rsidP="00753FE5">
      <w:pPr>
        <w:pStyle w:val="Bibliography"/>
      </w:pPr>
      <w:r w:rsidRPr="008052F5">
        <w:t>43.</w:t>
      </w:r>
      <w:r w:rsidRPr="008052F5">
        <w:tab/>
        <w:t xml:space="preserve">Fontenot JD, Gavin MA, Rudensky AY. Foxp3 programs the development and function of CD4+CD25+ regulatory T cells. </w:t>
      </w:r>
      <w:r w:rsidRPr="008052F5">
        <w:rPr>
          <w:i/>
        </w:rPr>
        <w:t>Nat Immunol</w:t>
      </w:r>
      <w:r w:rsidRPr="008052F5">
        <w:t>. 2003;4(4):330-336. doi:10.1038/ni904</w:t>
      </w:r>
    </w:p>
    <w:p w14:paraId="3409F447" w14:textId="77777777" w:rsidR="00753FE5" w:rsidRPr="008052F5" w:rsidRDefault="00753FE5" w:rsidP="00753FE5">
      <w:pPr>
        <w:pStyle w:val="Bibliography"/>
      </w:pPr>
      <w:r w:rsidRPr="008052F5">
        <w:t>44.</w:t>
      </w:r>
      <w:r w:rsidRPr="008052F5">
        <w:tab/>
        <w:t xml:space="preserve">Beltra JC, Manne S, Abdel-Hakeem MS, et al. Developmental Relationships of Four Exhausted CD8+ T Cell Subsets Reveals Underlying Transcriptional and Epigenetic Landscape Control Mechanisms. </w:t>
      </w:r>
      <w:r w:rsidRPr="008052F5">
        <w:rPr>
          <w:i/>
        </w:rPr>
        <w:t>Immunity</w:t>
      </w:r>
      <w:r w:rsidRPr="008052F5">
        <w:t>. 2020;52(5):825-841.e8. doi:10.1016/j.immuni.2020.04.014</w:t>
      </w:r>
    </w:p>
    <w:p w14:paraId="7CED0A8D" w14:textId="77777777" w:rsidR="00753FE5" w:rsidRPr="008052F5" w:rsidRDefault="00753FE5" w:rsidP="00753FE5">
      <w:pPr>
        <w:pStyle w:val="Bibliography"/>
      </w:pPr>
      <w:r w:rsidRPr="008052F5">
        <w:t>45.</w:t>
      </w:r>
      <w:r w:rsidRPr="008052F5">
        <w:tab/>
        <w:t xml:space="preserve">Khan O, Giles JR, McDonald S, et al. TOX transcriptionally and epigenetically programs CD8+ T cell exhaustion. </w:t>
      </w:r>
      <w:r w:rsidRPr="008052F5">
        <w:rPr>
          <w:i/>
        </w:rPr>
        <w:t>Nature</w:t>
      </w:r>
      <w:r w:rsidRPr="008052F5">
        <w:t>. 2019;571(7764):211-218. doi:10.1038/s41586-019-1325-x</w:t>
      </w:r>
    </w:p>
    <w:p w14:paraId="2CBABD5B" w14:textId="77777777" w:rsidR="00753FE5" w:rsidRPr="008052F5" w:rsidRDefault="00753FE5" w:rsidP="00753FE5">
      <w:pPr>
        <w:pStyle w:val="Bibliography"/>
      </w:pPr>
      <w:r w:rsidRPr="008052F5">
        <w:t>46.</w:t>
      </w:r>
      <w:r w:rsidRPr="008052F5">
        <w:tab/>
        <w:t xml:space="preserve">Szabo PA, Levitin HM, Miron M, et al. Single-cell transcriptomics of human T cells reveals tissue and activation signatures in health and disease. </w:t>
      </w:r>
      <w:r w:rsidRPr="008052F5">
        <w:rPr>
          <w:i/>
        </w:rPr>
        <w:t>Nat Commun</w:t>
      </w:r>
      <w:r w:rsidRPr="008052F5">
        <w:t>. 2019;10(1):4706. doi:10.1038/s41467-019-12464-3</w:t>
      </w:r>
    </w:p>
    <w:p w14:paraId="12FF28E6" w14:textId="77777777" w:rsidR="00753FE5" w:rsidRPr="008052F5" w:rsidRDefault="00753FE5" w:rsidP="00753FE5">
      <w:pPr>
        <w:pStyle w:val="Bibliography"/>
      </w:pPr>
      <w:r w:rsidRPr="008052F5">
        <w:t>47.</w:t>
      </w:r>
      <w:r w:rsidRPr="008052F5">
        <w:tab/>
        <w:t xml:space="preserve">Pappalardo JL, Zhang L, Pecsok MK, et al. Transcriptomic and clonal characterization of T cells in the human central nervous system. </w:t>
      </w:r>
      <w:r w:rsidRPr="008052F5">
        <w:rPr>
          <w:i/>
        </w:rPr>
        <w:t>Sci Immunol</w:t>
      </w:r>
      <w:r w:rsidRPr="008052F5">
        <w:t>. 2020;5(51):eabb8786. doi:10.1126/sciimmunol.abb8786</w:t>
      </w:r>
    </w:p>
    <w:p w14:paraId="61D0B50D" w14:textId="77777777" w:rsidR="00753FE5" w:rsidRPr="008052F5" w:rsidRDefault="00753FE5" w:rsidP="00753FE5">
      <w:pPr>
        <w:pStyle w:val="Bibliography"/>
      </w:pPr>
      <w:r w:rsidRPr="008052F5">
        <w:t>48.</w:t>
      </w:r>
      <w:r w:rsidRPr="008052F5">
        <w:tab/>
        <w:t xml:space="preserve">Hu Y, Hu Q, Li Y, et al. γδ T cells: origin and fate, subsets, diseases and immunotherapy. </w:t>
      </w:r>
      <w:r w:rsidRPr="008052F5">
        <w:rPr>
          <w:i/>
        </w:rPr>
        <w:t>Signal Transduct Target Ther</w:t>
      </w:r>
      <w:r w:rsidRPr="008052F5">
        <w:t>. 2023;8(1):434. doi:10.1038/s41392-023-01653-8</w:t>
      </w:r>
    </w:p>
    <w:p w14:paraId="1EBEA817" w14:textId="77777777" w:rsidR="00753FE5" w:rsidRPr="008052F5" w:rsidRDefault="00753FE5" w:rsidP="00753FE5">
      <w:pPr>
        <w:pStyle w:val="Bibliography"/>
      </w:pPr>
      <w:r w:rsidRPr="008052F5">
        <w:t>49.</w:t>
      </w:r>
      <w:r w:rsidRPr="008052F5">
        <w:tab/>
        <w:t xml:space="preserve">Wong EB, Gold MC, Meermeier EW, et al. TRAV1-2+ CD8+ T-cells including oligoconal expansions of MAIT cells are enriched in the airways in human tuberculosis. </w:t>
      </w:r>
      <w:r w:rsidRPr="008052F5">
        <w:rPr>
          <w:i/>
        </w:rPr>
        <w:t>Commun Biol</w:t>
      </w:r>
      <w:r w:rsidRPr="008052F5">
        <w:t>. 2019;2(1). doi:10.1038/s42003-019-0442-2</w:t>
      </w:r>
    </w:p>
    <w:p w14:paraId="13433135" w14:textId="77777777" w:rsidR="00753FE5" w:rsidRPr="008052F5" w:rsidRDefault="00753FE5" w:rsidP="00753FE5">
      <w:pPr>
        <w:pStyle w:val="Bibliography"/>
      </w:pPr>
      <w:r w:rsidRPr="008052F5">
        <w:t>50.</w:t>
      </w:r>
      <w:r w:rsidRPr="008052F5">
        <w:tab/>
        <w:t xml:space="preserve">Terpstra ML, Remmerswaal EBM, van der Bom-Baylon ND, et al. Tissue-resident mucosal-associated invariant T (MAIT) cells in the human kidney represent a functionally distinct subset. </w:t>
      </w:r>
      <w:r w:rsidRPr="008052F5">
        <w:rPr>
          <w:i/>
        </w:rPr>
        <w:t>Eur J Immunol</w:t>
      </w:r>
      <w:r w:rsidRPr="008052F5">
        <w:t>. 2020;50(11):1783-1797. doi:10.1002/eji.202048644</w:t>
      </w:r>
    </w:p>
    <w:p w14:paraId="13C3703C" w14:textId="77777777" w:rsidR="00753FE5" w:rsidRPr="008052F5" w:rsidRDefault="00753FE5" w:rsidP="00753FE5">
      <w:pPr>
        <w:pStyle w:val="Bibliography"/>
      </w:pPr>
      <w:r w:rsidRPr="008052F5">
        <w:t>51.</w:t>
      </w:r>
      <w:r w:rsidRPr="008052F5">
        <w:tab/>
        <w:t xml:space="preserve">Shan Q, Li X, Chen X, et al. Tcf1 and Lef1 provide constant supervision to mature CD8+ T cell identity and function by organizing genomic architecture. </w:t>
      </w:r>
      <w:r w:rsidRPr="008052F5">
        <w:rPr>
          <w:i/>
        </w:rPr>
        <w:t>Nat Commun</w:t>
      </w:r>
      <w:r w:rsidRPr="008052F5">
        <w:t>. 2021;12(1):5863. doi:10.1038/s41467-021-26159-1</w:t>
      </w:r>
    </w:p>
    <w:p w14:paraId="4BB56731" w14:textId="77777777" w:rsidR="00753FE5" w:rsidRPr="008052F5" w:rsidRDefault="00753FE5" w:rsidP="00753FE5">
      <w:pPr>
        <w:pStyle w:val="Bibliography"/>
      </w:pPr>
      <w:r w:rsidRPr="008052F5">
        <w:t>52.</w:t>
      </w:r>
      <w:r w:rsidRPr="008052F5">
        <w:tab/>
        <w:t xml:space="preserve">Steinke FC, Yu S, Zhou X, et al. TCF-1 and LEF-1 act upstream of Th-POK to promote the CD4(+) T cell fate and interact with Runx3 to silence Cd4 in CD8(+) T cells. </w:t>
      </w:r>
      <w:r w:rsidRPr="008052F5">
        <w:rPr>
          <w:i/>
        </w:rPr>
        <w:t>Nat Immunol</w:t>
      </w:r>
      <w:r w:rsidRPr="008052F5">
        <w:t>. 2014;15(7):646-656. doi:10.1038/ni.2897</w:t>
      </w:r>
    </w:p>
    <w:p w14:paraId="0944A1E3" w14:textId="77777777" w:rsidR="00753FE5" w:rsidRPr="008052F5" w:rsidRDefault="00753FE5" w:rsidP="00753FE5">
      <w:pPr>
        <w:pStyle w:val="Bibliography"/>
      </w:pPr>
      <w:r w:rsidRPr="008052F5">
        <w:t>53.</w:t>
      </w:r>
      <w:r w:rsidRPr="008052F5">
        <w:tab/>
        <w:t xml:space="preserve">Kaminskiy Y, Kuznetsova V, Kudriaeva A, Zmievskaya E, Bulatov E. Neglected, yet significant role of FOXP1 in T-cell quiescence, differentiation and exhaustion. </w:t>
      </w:r>
      <w:r w:rsidRPr="008052F5">
        <w:rPr>
          <w:i/>
        </w:rPr>
        <w:t>Front Immunol</w:t>
      </w:r>
      <w:r w:rsidRPr="008052F5">
        <w:t>. 2022;13:971045. doi:10.3389/fimmu.2022.971045</w:t>
      </w:r>
    </w:p>
    <w:p w14:paraId="29034833" w14:textId="77777777" w:rsidR="00753FE5" w:rsidRPr="008052F5" w:rsidRDefault="00753FE5" w:rsidP="00753FE5">
      <w:pPr>
        <w:pStyle w:val="Bibliography"/>
      </w:pPr>
      <w:r w:rsidRPr="008052F5">
        <w:t>54.</w:t>
      </w:r>
      <w:r w:rsidRPr="008052F5">
        <w:tab/>
        <w:t xml:space="preserve">Galletti G, De Simone G, Mazza EMC, et al. Two subsets of stem-like CD8+ memory T cell progenitors with distinct fate commitments in humans. </w:t>
      </w:r>
      <w:r w:rsidRPr="008052F5">
        <w:rPr>
          <w:i/>
        </w:rPr>
        <w:t>Nat Immunol</w:t>
      </w:r>
      <w:r w:rsidRPr="008052F5">
        <w:t>. 2020;21(12):1552-1562. doi:10.1038/s41590-020-0791-5</w:t>
      </w:r>
    </w:p>
    <w:p w14:paraId="7DF591FB" w14:textId="77777777" w:rsidR="00753FE5" w:rsidRPr="008052F5" w:rsidRDefault="00753FE5" w:rsidP="00753FE5">
      <w:pPr>
        <w:pStyle w:val="Bibliography"/>
      </w:pPr>
      <w:r w:rsidRPr="008052F5">
        <w:t>55.</w:t>
      </w:r>
      <w:r w:rsidRPr="008052F5">
        <w:tab/>
        <w:t xml:space="preserve">Spolski R, Leonard WJ. IL-21 and T follicular helper cells. </w:t>
      </w:r>
      <w:r w:rsidRPr="008052F5">
        <w:rPr>
          <w:i/>
        </w:rPr>
        <w:t>Int Immunol</w:t>
      </w:r>
      <w:r w:rsidRPr="008052F5">
        <w:t>. 2010;22(1):7-12. doi:10.1093/intimm/dxp112</w:t>
      </w:r>
    </w:p>
    <w:p w14:paraId="50EE58FF" w14:textId="77777777" w:rsidR="00753FE5" w:rsidRPr="008052F5" w:rsidRDefault="00753FE5" w:rsidP="00753FE5">
      <w:pPr>
        <w:pStyle w:val="Bibliography"/>
      </w:pPr>
      <w:r w:rsidRPr="008052F5">
        <w:t>56.</w:t>
      </w:r>
      <w:r w:rsidRPr="008052F5">
        <w:tab/>
        <w:t xml:space="preserve">Zhang J, Roberts AI, Liu C, et al. A novel subset of helper T cells promotes immune responses by secreting GM-CSF. </w:t>
      </w:r>
      <w:r w:rsidRPr="008052F5">
        <w:rPr>
          <w:i/>
        </w:rPr>
        <w:t>Cell Death Differ</w:t>
      </w:r>
      <w:r w:rsidRPr="008052F5">
        <w:t>. 2013;20(12):1731-1741. doi:10.1038/cdd.2013.130</w:t>
      </w:r>
    </w:p>
    <w:p w14:paraId="62D91091" w14:textId="77777777" w:rsidR="00753FE5" w:rsidRPr="008052F5" w:rsidRDefault="00753FE5" w:rsidP="00753FE5">
      <w:pPr>
        <w:pStyle w:val="Bibliography"/>
      </w:pPr>
      <w:r w:rsidRPr="008052F5">
        <w:t>57.</w:t>
      </w:r>
      <w:r w:rsidRPr="008052F5">
        <w:tab/>
        <w:t xml:space="preserve">Yi K, Jo S, Song W, et al. Analysis of Single-Cell Transcriptome and Surface Protein Expression in Ankylosing Spondylitis Identifies OX40-Positive and Glucocorticoid-Induced Tumor Necrosis Factor Receptor–Positive Pathogenic Th17 Cells. </w:t>
      </w:r>
      <w:r w:rsidRPr="008052F5">
        <w:rPr>
          <w:i/>
        </w:rPr>
        <w:t>Arthritis Rheumatol</w:t>
      </w:r>
      <w:r w:rsidRPr="008052F5">
        <w:t>. 2023;75(7):1176-1186. doi:10.1002/art.42476</w:t>
      </w:r>
    </w:p>
    <w:p w14:paraId="3C5D7407" w14:textId="77777777" w:rsidR="00753FE5" w:rsidRPr="008052F5" w:rsidRDefault="00753FE5" w:rsidP="00753FE5">
      <w:pPr>
        <w:pStyle w:val="Bibliography"/>
      </w:pPr>
      <w:r w:rsidRPr="008052F5">
        <w:t>58.</w:t>
      </w:r>
      <w:r w:rsidRPr="008052F5">
        <w:tab/>
        <w:t xml:space="preserve">Guimarães GR, Maklouf GR, Teixeira CE, et al. Single-cell resolution characterization of myeloid-derived cell states with implication in cancer outcome. </w:t>
      </w:r>
      <w:r w:rsidRPr="008052F5">
        <w:rPr>
          <w:i/>
        </w:rPr>
        <w:t>Nat Commun</w:t>
      </w:r>
      <w:r w:rsidRPr="008052F5">
        <w:t>. 2024;15(1):5694. doi:10.1038/s41467-024-49916-4</w:t>
      </w:r>
    </w:p>
    <w:p w14:paraId="6838F2DA" w14:textId="77777777" w:rsidR="00753FE5" w:rsidRPr="008052F5" w:rsidRDefault="00753FE5" w:rsidP="00753FE5">
      <w:pPr>
        <w:pStyle w:val="Bibliography"/>
      </w:pPr>
      <w:r w:rsidRPr="008052F5">
        <w:t>59.</w:t>
      </w:r>
      <w:r w:rsidRPr="008052F5">
        <w:tab/>
        <w:t xml:space="preserve">Cheng S, Li Z, Gao R, et al. A pan-cancer single-cell transcriptional atlas of tumor infiltrating myeloid cells. </w:t>
      </w:r>
      <w:r w:rsidRPr="008052F5">
        <w:rPr>
          <w:i/>
        </w:rPr>
        <w:t>Cell</w:t>
      </w:r>
      <w:r w:rsidRPr="008052F5">
        <w:t>. 2021;184(3):792-809.e23. doi:10.1016/j.cell.2021.01.010</w:t>
      </w:r>
    </w:p>
    <w:p w14:paraId="6BC98BE1" w14:textId="77777777" w:rsidR="007F4924" w:rsidRPr="008052F5" w:rsidRDefault="007F4924" w:rsidP="007F4924">
      <w:pPr>
        <w:pStyle w:val="Bibliography"/>
      </w:pPr>
      <w:r w:rsidRPr="008052F5">
        <w:t>60.</w:t>
      </w:r>
      <w:r w:rsidRPr="008052F5">
        <w:tab/>
      </w:r>
      <w:r w:rsidR="00F93D2D" w:rsidRPr="008052F5">
        <w:t xml:space="preserve">Wang J, Zhu N, Su X, Gao Y, Yang R. Novel tumor-associated macrophage populations and subpopulations by single cell RNA sequencing. </w:t>
      </w:r>
      <w:r w:rsidR="00F93D2D" w:rsidRPr="008052F5">
        <w:rPr>
          <w:i/>
          <w:iCs/>
        </w:rPr>
        <w:t>Front Immunol</w:t>
      </w:r>
      <w:r w:rsidR="00F93D2D" w:rsidRPr="008052F5">
        <w:t>. 2024;14:1264774. doi:10.3389/fimmu.2023.1264774</w:t>
      </w:r>
    </w:p>
    <w:p w14:paraId="2E082C27" w14:textId="77777777" w:rsidR="00F93D2D" w:rsidRPr="008052F5" w:rsidRDefault="00F93D2D" w:rsidP="00F93D2D">
      <w:pPr>
        <w:pStyle w:val="Bibliography"/>
      </w:pPr>
      <w:r w:rsidRPr="008052F5">
        <w:t>61.</w:t>
      </w:r>
      <w:r w:rsidRPr="008052F5">
        <w:tab/>
        <w:t xml:space="preserve">Revel M, Sautès-Fridman C, Fridman WH, Roumenina LT. C1q+ macrophages: passengers or drivers of cancer progression. </w:t>
      </w:r>
      <w:r w:rsidRPr="008052F5">
        <w:rPr>
          <w:i/>
          <w:iCs/>
        </w:rPr>
        <w:t>Trends Cancer</w:t>
      </w:r>
      <w:r w:rsidRPr="008052F5">
        <w:t>. 2022;8(7):517-526. doi:10.1016/j.trecan.2022.02.006</w:t>
      </w:r>
    </w:p>
    <w:p w14:paraId="0A929FED" w14:textId="77777777" w:rsidR="00F93D2D" w:rsidRPr="008052F5" w:rsidRDefault="00F93D2D" w:rsidP="00F93D2D">
      <w:pPr>
        <w:pStyle w:val="Bibliography"/>
      </w:pPr>
      <w:r w:rsidRPr="008052F5">
        <w:t>62.</w:t>
      </w:r>
      <w:r w:rsidRPr="008052F5">
        <w:tab/>
        <w:t xml:space="preserve">Dang MT, Gonzalez MV, Gaonkar KS, et al. Macrophages in SHH subgroup medulloblastoma display dynamic heterogeneity that varies with treatment modality. </w:t>
      </w:r>
      <w:r w:rsidRPr="008052F5">
        <w:rPr>
          <w:i/>
          <w:iCs/>
        </w:rPr>
        <w:t>Cell Rep</w:t>
      </w:r>
      <w:r w:rsidRPr="008052F5">
        <w:t>. 2021;34(13):108917. doi:10.1016/j.celrep.2021.108917</w:t>
      </w:r>
    </w:p>
    <w:p w14:paraId="360DECB6" w14:textId="77777777" w:rsidR="00F93D2D" w:rsidRPr="008052F5" w:rsidRDefault="00F93D2D" w:rsidP="00F93D2D">
      <w:pPr>
        <w:pStyle w:val="Bibliography"/>
      </w:pPr>
      <w:r w:rsidRPr="008052F5">
        <w:t>63.</w:t>
      </w:r>
      <w:r w:rsidRPr="008052F5">
        <w:tab/>
        <w:t xml:space="preserve">Zhang L, Li Z, Skrzypczynska KM, et al. Single-Cell Analyses Inform Mechanisms of Myeloid-Targeted Therapies in Colon Cancer. </w:t>
      </w:r>
      <w:r w:rsidRPr="008052F5">
        <w:rPr>
          <w:i/>
          <w:iCs/>
        </w:rPr>
        <w:t>Cell</w:t>
      </w:r>
      <w:r w:rsidRPr="008052F5">
        <w:t>. 2020;181(2):442-459.e29. doi:10.1016/j.cell.2020.03.048</w:t>
      </w:r>
    </w:p>
    <w:p w14:paraId="2991E773" w14:textId="593902F5" w:rsidR="0058224A" w:rsidRPr="008052F5" w:rsidRDefault="00753FE5">
      <w:pPr>
        <w:rPr>
          <w:rFonts w:ascii="Arial" w:hAnsi="Arial" w:cs="Arial"/>
          <w:b/>
        </w:rPr>
      </w:pPr>
      <w:r w:rsidRPr="008052F5">
        <w:rPr>
          <w:rFonts w:ascii="Arial" w:hAnsi="Arial" w:cs="Arial"/>
          <w:b/>
        </w:rPr>
        <w:fldChar w:fldCharType="end"/>
      </w:r>
      <w:bookmarkStart w:id="0" w:name="_GoBack"/>
      <w:bookmarkEnd w:id="0"/>
    </w:p>
    <w:p w14:paraId="1B229642" w14:textId="77777777" w:rsidR="0090184B" w:rsidRPr="008052F5" w:rsidRDefault="0090184B">
      <w:pPr>
        <w:rPr>
          <w:rFonts w:ascii="Arial" w:hAnsi="Arial" w:cs="Arial"/>
        </w:rPr>
      </w:pPr>
    </w:p>
    <w:p w14:paraId="6AC8F034" w14:textId="77777777" w:rsidR="00103BDD" w:rsidRPr="008052F5" w:rsidRDefault="00103BDD" w:rsidP="00103BDD">
      <w:pPr>
        <w:rPr>
          <w:rFonts w:ascii="Arial" w:hAnsi="Arial" w:cs="Arial"/>
        </w:rPr>
      </w:pPr>
    </w:p>
    <w:p w14:paraId="3E957E48" w14:textId="77777777" w:rsidR="00174581" w:rsidRPr="008052F5" w:rsidRDefault="00174581">
      <w:pPr>
        <w:rPr>
          <w:rFonts w:ascii="Arial" w:hAnsi="Arial" w:cs="Arial"/>
        </w:rPr>
      </w:pPr>
    </w:p>
    <w:sectPr w:rsidR="00174581" w:rsidRPr="008052F5" w:rsidSect="008052F5">
      <w:pgSz w:w="12240" w:h="15840"/>
      <w:pgMar w:top="972"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AB2455B"/>
    <w:multiLevelType w:val="hybridMultilevel"/>
    <w:tmpl w:val="E76EEF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98F"/>
    <w:rsid w:val="00002705"/>
    <w:rsid w:val="00002722"/>
    <w:rsid w:val="00002865"/>
    <w:rsid w:val="0000360D"/>
    <w:rsid w:val="000068B5"/>
    <w:rsid w:val="00012B7B"/>
    <w:rsid w:val="00014F98"/>
    <w:rsid w:val="00015CB0"/>
    <w:rsid w:val="00017AE8"/>
    <w:rsid w:val="00017B91"/>
    <w:rsid w:val="0002163D"/>
    <w:rsid w:val="00026848"/>
    <w:rsid w:val="00026E6E"/>
    <w:rsid w:val="000305E7"/>
    <w:rsid w:val="00034638"/>
    <w:rsid w:val="0003551A"/>
    <w:rsid w:val="0003717B"/>
    <w:rsid w:val="0004037E"/>
    <w:rsid w:val="00043493"/>
    <w:rsid w:val="00046CE3"/>
    <w:rsid w:val="00047F7F"/>
    <w:rsid w:val="00050906"/>
    <w:rsid w:val="000529BA"/>
    <w:rsid w:val="00053DDB"/>
    <w:rsid w:val="00054E54"/>
    <w:rsid w:val="0005636B"/>
    <w:rsid w:val="000602EB"/>
    <w:rsid w:val="00062D73"/>
    <w:rsid w:val="00063278"/>
    <w:rsid w:val="000647D1"/>
    <w:rsid w:val="00066CC4"/>
    <w:rsid w:val="00066ECD"/>
    <w:rsid w:val="000710FF"/>
    <w:rsid w:val="00075E87"/>
    <w:rsid w:val="00076C2F"/>
    <w:rsid w:val="0008007B"/>
    <w:rsid w:val="000814DC"/>
    <w:rsid w:val="000844A8"/>
    <w:rsid w:val="00085E4E"/>
    <w:rsid w:val="00087CB3"/>
    <w:rsid w:val="00094815"/>
    <w:rsid w:val="000974BF"/>
    <w:rsid w:val="000976AD"/>
    <w:rsid w:val="000A6300"/>
    <w:rsid w:val="000B29E5"/>
    <w:rsid w:val="000B4585"/>
    <w:rsid w:val="000B4C71"/>
    <w:rsid w:val="000B609A"/>
    <w:rsid w:val="000C1A12"/>
    <w:rsid w:val="000C45A8"/>
    <w:rsid w:val="000D049C"/>
    <w:rsid w:val="000D1F2B"/>
    <w:rsid w:val="000D616C"/>
    <w:rsid w:val="000D673C"/>
    <w:rsid w:val="000D7F88"/>
    <w:rsid w:val="000E23B0"/>
    <w:rsid w:val="000E6B2E"/>
    <w:rsid w:val="000E6D65"/>
    <w:rsid w:val="000E7B98"/>
    <w:rsid w:val="000F29D8"/>
    <w:rsid w:val="000F31ED"/>
    <w:rsid w:val="000F33BD"/>
    <w:rsid w:val="000F449F"/>
    <w:rsid w:val="001030D7"/>
    <w:rsid w:val="00103BDD"/>
    <w:rsid w:val="001049D0"/>
    <w:rsid w:val="001056B0"/>
    <w:rsid w:val="00105836"/>
    <w:rsid w:val="00106D25"/>
    <w:rsid w:val="00107373"/>
    <w:rsid w:val="001119A7"/>
    <w:rsid w:val="00111A5E"/>
    <w:rsid w:val="00114B34"/>
    <w:rsid w:val="00116093"/>
    <w:rsid w:val="00116B1E"/>
    <w:rsid w:val="00116C8D"/>
    <w:rsid w:val="00121DF8"/>
    <w:rsid w:val="00123AA2"/>
    <w:rsid w:val="001249C1"/>
    <w:rsid w:val="00126D71"/>
    <w:rsid w:val="001310BB"/>
    <w:rsid w:val="001319BE"/>
    <w:rsid w:val="00132B60"/>
    <w:rsid w:val="001335ED"/>
    <w:rsid w:val="00135FA5"/>
    <w:rsid w:val="001423B9"/>
    <w:rsid w:val="0014549D"/>
    <w:rsid w:val="0014608C"/>
    <w:rsid w:val="00146101"/>
    <w:rsid w:val="00146793"/>
    <w:rsid w:val="00147C83"/>
    <w:rsid w:val="00150CF7"/>
    <w:rsid w:val="00153E2F"/>
    <w:rsid w:val="00162D79"/>
    <w:rsid w:val="00171162"/>
    <w:rsid w:val="001719F9"/>
    <w:rsid w:val="00172209"/>
    <w:rsid w:val="00174581"/>
    <w:rsid w:val="00174EAF"/>
    <w:rsid w:val="00175585"/>
    <w:rsid w:val="00185E39"/>
    <w:rsid w:val="001928B1"/>
    <w:rsid w:val="0019569C"/>
    <w:rsid w:val="001961EF"/>
    <w:rsid w:val="00196A74"/>
    <w:rsid w:val="001A02E8"/>
    <w:rsid w:val="001A6571"/>
    <w:rsid w:val="001B40A2"/>
    <w:rsid w:val="001C0125"/>
    <w:rsid w:val="001C093D"/>
    <w:rsid w:val="001C260E"/>
    <w:rsid w:val="001C28B7"/>
    <w:rsid w:val="001C2F12"/>
    <w:rsid w:val="001C706C"/>
    <w:rsid w:val="001D0FBF"/>
    <w:rsid w:val="001D4772"/>
    <w:rsid w:val="001D7A7B"/>
    <w:rsid w:val="001E09A4"/>
    <w:rsid w:val="001E2015"/>
    <w:rsid w:val="001E2D52"/>
    <w:rsid w:val="001E2EB3"/>
    <w:rsid w:val="001E45B3"/>
    <w:rsid w:val="001E4FD7"/>
    <w:rsid w:val="001E5963"/>
    <w:rsid w:val="001E781E"/>
    <w:rsid w:val="001F252C"/>
    <w:rsid w:val="001F4C9F"/>
    <w:rsid w:val="001F5EAA"/>
    <w:rsid w:val="001F60A7"/>
    <w:rsid w:val="0020369D"/>
    <w:rsid w:val="00206E32"/>
    <w:rsid w:val="00213E32"/>
    <w:rsid w:val="0021621D"/>
    <w:rsid w:val="00216D73"/>
    <w:rsid w:val="00224C2A"/>
    <w:rsid w:val="002271D4"/>
    <w:rsid w:val="00227F2B"/>
    <w:rsid w:val="00230C87"/>
    <w:rsid w:val="00234A37"/>
    <w:rsid w:val="00235FF0"/>
    <w:rsid w:val="00236309"/>
    <w:rsid w:val="0023798F"/>
    <w:rsid w:val="00240CC9"/>
    <w:rsid w:val="00240F38"/>
    <w:rsid w:val="0024191D"/>
    <w:rsid w:val="0024408B"/>
    <w:rsid w:val="002449D8"/>
    <w:rsid w:val="002452AB"/>
    <w:rsid w:val="00250B03"/>
    <w:rsid w:val="00252B54"/>
    <w:rsid w:val="00253BEB"/>
    <w:rsid w:val="00255B93"/>
    <w:rsid w:val="002568C1"/>
    <w:rsid w:val="0025791D"/>
    <w:rsid w:val="002617F9"/>
    <w:rsid w:val="00264E71"/>
    <w:rsid w:val="00264F03"/>
    <w:rsid w:val="00273AE8"/>
    <w:rsid w:val="00274B12"/>
    <w:rsid w:val="00274C0C"/>
    <w:rsid w:val="00275090"/>
    <w:rsid w:val="00276E77"/>
    <w:rsid w:val="00280CF4"/>
    <w:rsid w:val="002826DC"/>
    <w:rsid w:val="00285329"/>
    <w:rsid w:val="00285B75"/>
    <w:rsid w:val="00286457"/>
    <w:rsid w:val="00287C6D"/>
    <w:rsid w:val="0029264A"/>
    <w:rsid w:val="0029298F"/>
    <w:rsid w:val="002A1913"/>
    <w:rsid w:val="002A1926"/>
    <w:rsid w:val="002A1C87"/>
    <w:rsid w:val="002A2E7B"/>
    <w:rsid w:val="002B09E5"/>
    <w:rsid w:val="002B1676"/>
    <w:rsid w:val="002B1934"/>
    <w:rsid w:val="002B1F4A"/>
    <w:rsid w:val="002B22A8"/>
    <w:rsid w:val="002B24DC"/>
    <w:rsid w:val="002B52C5"/>
    <w:rsid w:val="002C06B8"/>
    <w:rsid w:val="002C2F88"/>
    <w:rsid w:val="002C33E7"/>
    <w:rsid w:val="002C3E65"/>
    <w:rsid w:val="002C7A4E"/>
    <w:rsid w:val="002C7E96"/>
    <w:rsid w:val="002D69CD"/>
    <w:rsid w:val="002D7A97"/>
    <w:rsid w:val="002D7CD5"/>
    <w:rsid w:val="002E01CD"/>
    <w:rsid w:val="002E0A7D"/>
    <w:rsid w:val="002E1CA8"/>
    <w:rsid w:val="002E36D1"/>
    <w:rsid w:val="002E5446"/>
    <w:rsid w:val="002E5BDA"/>
    <w:rsid w:val="002E5F7C"/>
    <w:rsid w:val="00305681"/>
    <w:rsid w:val="00305783"/>
    <w:rsid w:val="00305D85"/>
    <w:rsid w:val="003110B4"/>
    <w:rsid w:val="00317E8E"/>
    <w:rsid w:val="00320283"/>
    <w:rsid w:val="0032382A"/>
    <w:rsid w:val="0032582A"/>
    <w:rsid w:val="00325F62"/>
    <w:rsid w:val="00330056"/>
    <w:rsid w:val="003303CA"/>
    <w:rsid w:val="00331710"/>
    <w:rsid w:val="00334BD1"/>
    <w:rsid w:val="0034018B"/>
    <w:rsid w:val="00341B24"/>
    <w:rsid w:val="00346877"/>
    <w:rsid w:val="00346E6D"/>
    <w:rsid w:val="003536E4"/>
    <w:rsid w:val="003609AB"/>
    <w:rsid w:val="003624F7"/>
    <w:rsid w:val="00363937"/>
    <w:rsid w:val="0036539F"/>
    <w:rsid w:val="0036654F"/>
    <w:rsid w:val="00371B11"/>
    <w:rsid w:val="00373D8D"/>
    <w:rsid w:val="00376452"/>
    <w:rsid w:val="00376EC8"/>
    <w:rsid w:val="00387726"/>
    <w:rsid w:val="00391315"/>
    <w:rsid w:val="003942A4"/>
    <w:rsid w:val="00396944"/>
    <w:rsid w:val="003A530C"/>
    <w:rsid w:val="003A6653"/>
    <w:rsid w:val="003A754A"/>
    <w:rsid w:val="003B5367"/>
    <w:rsid w:val="003B61FA"/>
    <w:rsid w:val="003C5313"/>
    <w:rsid w:val="003C7265"/>
    <w:rsid w:val="003C73D7"/>
    <w:rsid w:val="003D1F7B"/>
    <w:rsid w:val="003D2DB6"/>
    <w:rsid w:val="003D41A5"/>
    <w:rsid w:val="003D5E89"/>
    <w:rsid w:val="003D6B70"/>
    <w:rsid w:val="003D74BD"/>
    <w:rsid w:val="003E1E51"/>
    <w:rsid w:val="003E2298"/>
    <w:rsid w:val="003E4EFA"/>
    <w:rsid w:val="003E56A7"/>
    <w:rsid w:val="003E5A64"/>
    <w:rsid w:val="003E5D1C"/>
    <w:rsid w:val="003E7841"/>
    <w:rsid w:val="003F1328"/>
    <w:rsid w:val="003F2E66"/>
    <w:rsid w:val="003F4609"/>
    <w:rsid w:val="003F471C"/>
    <w:rsid w:val="00401B68"/>
    <w:rsid w:val="00401F53"/>
    <w:rsid w:val="00402972"/>
    <w:rsid w:val="00402BED"/>
    <w:rsid w:val="0040714D"/>
    <w:rsid w:val="00407B1D"/>
    <w:rsid w:val="00410673"/>
    <w:rsid w:val="00414645"/>
    <w:rsid w:val="004169DE"/>
    <w:rsid w:val="00416D73"/>
    <w:rsid w:val="00421F55"/>
    <w:rsid w:val="0042278D"/>
    <w:rsid w:val="00422D18"/>
    <w:rsid w:val="004276F4"/>
    <w:rsid w:val="00432496"/>
    <w:rsid w:val="0043443A"/>
    <w:rsid w:val="0043774A"/>
    <w:rsid w:val="004414B2"/>
    <w:rsid w:val="00441E07"/>
    <w:rsid w:val="00447BBA"/>
    <w:rsid w:val="00450160"/>
    <w:rsid w:val="00452169"/>
    <w:rsid w:val="00456732"/>
    <w:rsid w:val="00462D7F"/>
    <w:rsid w:val="00462EC6"/>
    <w:rsid w:val="00466AD5"/>
    <w:rsid w:val="004711F4"/>
    <w:rsid w:val="00471654"/>
    <w:rsid w:val="00471EA7"/>
    <w:rsid w:val="004732AB"/>
    <w:rsid w:val="004741E7"/>
    <w:rsid w:val="00475FBB"/>
    <w:rsid w:val="00486194"/>
    <w:rsid w:val="0049436C"/>
    <w:rsid w:val="004974A6"/>
    <w:rsid w:val="004975F5"/>
    <w:rsid w:val="00497C92"/>
    <w:rsid w:val="004A4615"/>
    <w:rsid w:val="004A51E3"/>
    <w:rsid w:val="004A5F12"/>
    <w:rsid w:val="004A7DD8"/>
    <w:rsid w:val="004B27BE"/>
    <w:rsid w:val="004B43C9"/>
    <w:rsid w:val="004B55EA"/>
    <w:rsid w:val="004B63C9"/>
    <w:rsid w:val="004C1434"/>
    <w:rsid w:val="004C4A52"/>
    <w:rsid w:val="004C50AA"/>
    <w:rsid w:val="004C619B"/>
    <w:rsid w:val="004C7B0E"/>
    <w:rsid w:val="004D0842"/>
    <w:rsid w:val="004D6C5E"/>
    <w:rsid w:val="004D7816"/>
    <w:rsid w:val="004E1317"/>
    <w:rsid w:val="004E4B56"/>
    <w:rsid w:val="004E5179"/>
    <w:rsid w:val="004E53FE"/>
    <w:rsid w:val="004E5A3E"/>
    <w:rsid w:val="004F068B"/>
    <w:rsid w:val="004F4759"/>
    <w:rsid w:val="004F4B18"/>
    <w:rsid w:val="004F79A1"/>
    <w:rsid w:val="00501CFE"/>
    <w:rsid w:val="00502419"/>
    <w:rsid w:val="005024DB"/>
    <w:rsid w:val="005031C1"/>
    <w:rsid w:val="0050688D"/>
    <w:rsid w:val="00506890"/>
    <w:rsid w:val="005115FE"/>
    <w:rsid w:val="0051408F"/>
    <w:rsid w:val="005151ED"/>
    <w:rsid w:val="005205A3"/>
    <w:rsid w:val="00523EEF"/>
    <w:rsid w:val="005255FD"/>
    <w:rsid w:val="00531DF2"/>
    <w:rsid w:val="00533C0C"/>
    <w:rsid w:val="00534111"/>
    <w:rsid w:val="0054188D"/>
    <w:rsid w:val="00541FF6"/>
    <w:rsid w:val="0054435C"/>
    <w:rsid w:val="005450FE"/>
    <w:rsid w:val="00545D0E"/>
    <w:rsid w:val="0055087A"/>
    <w:rsid w:val="00551325"/>
    <w:rsid w:val="00553739"/>
    <w:rsid w:val="005549AE"/>
    <w:rsid w:val="00557FEB"/>
    <w:rsid w:val="0056002B"/>
    <w:rsid w:val="005600BD"/>
    <w:rsid w:val="00560743"/>
    <w:rsid w:val="00560833"/>
    <w:rsid w:val="005611CD"/>
    <w:rsid w:val="0056144A"/>
    <w:rsid w:val="00562177"/>
    <w:rsid w:val="00563EE0"/>
    <w:rsid w:val="00563F6A"/>
    <w:rsid w:val="00564A08"/>
    <w:rsid w:val="005650C9"/>
    <w:rsid w:val="00566BB2"/>
    <w:rsid w:val="0057698A"/>
    <w:rsid w:val="0058224A"/>
    <w:rsid w:val="00583068"/>
    <w:rsid w:val="00583C5F"/>
    <w:rsid w:val="0058463A"/>
    <w:rsid w:val="0058499D"/>
    <w:rsid w:val="005864CA"/>
    <w:rsid w:val="005869B6"/>
    <w:rsid w:val="00591C67"/>
    <w:rsid w:val="0059373C"/>
    <w:rsid w:val="005A0540"/>
    <w:rsid w:val="005A19AB"/>
    <w:rsid w:val="005A3677"/>
    <w:rsid w:val="005A5944"/>
    <w:rsid w:val="005A7012"/>
    <w:rsid w:val="005B2954"/>
    <w:rsid w:val="005B30AF"/>
    <w:rsid w:val="005B3367"/>
    <w:rsid w:val="005B3AC7"/>
    <w:rsid w:val="005B5DE1"/>
    <w:rsid w:val="005C0DBF"/>
    <w:rsid w:val="005D1304"/>
    <w:rsid w:val="005D1AE8"/>
    <w:rsid w:val="005D4161"/>
    <w:rsid w:val="005D5C00"/>
    <w:rsid w:val="005D6119"/>
    <w:rsid w:val="005E3AF9"/>
    <w:rsid w:val="005E7FB2"/>
    <w:rsid w:val="005F2BA2"/>
    <w:rsid w:val="005F6F2C"/>
    <w:rsid w:val="005F73D3"/>
    <w:rsid w:val="00602F5F"/>
    <w:rsid w:val="00604D2C"/>
    <w:rsid w:val="00604F26"/>
    <w:rsid w:val="00605604"/>
    <w:rsid w:val="00605B64"/>
    <w:rsid w:val="00606E5C"/>
    <w:rsid w:val="00611274"/>
    <w:rsid w:val="0061173A"/>
    <w:rsid w:val="00611A27"/>
    <w:rsid w:val="006127BB"/>
    <w:rsid w:val="006158DA"/>
    <w:rsid w:val="00616EF9"/>
    <w:rsid w:val="00623C22"/>
    <w:rsid w:val="00626028"/>
    <w:rsid w:val="00626C22"/>
    <w:rsid w:val="00632618"/>
    <w:rsid w:val="00632D32"/>
    <w:rsid w:val="00632F7F"/>
    <w:rsid w:val="0063427E"/>
    <w:rsid w:val="006350A0"/>
    <w:rsid w:val="00636B4A"/>
    <w:rsid w:val="00642ECB"/>
    <w:rsid w:val="006454CF"/>
    <w:rsid w:val="00645B66"/>
    <w:rsid w:val="00647D3E"/>
    <w:rsid w:val="00650720"/>
    <w:rsid w:val="0065125A"/>
    <w:rsid w:val="006512BD"/>
    <w:rsid w:val="00651629"/>
    <w:rsid w:val="00654D81"/>
    <w:rsid w:val="00656A1B"/>
    <w:rsid w:val="00656DAD"/>
    <w:rsid w:val="00660F38"/>
    <w:rsid w:val="00661B71"/>
    <w:rsid w:val="0066321E"/>
    <w:rsid w:val="0066553F"/>
    <w:rsid w:val="00670B5F"/>
    <w:rsid w:val="00671386"/>
    <w:rsid w:val="00672FC6"/>
    <w:rsid w:val="00675D76"/>
    <w:rsid w:val="0067600E"/>
    <w:rsid w:val="00681E45"/>
    <w:rsid w:val="00683445"/>
    <w:rsid w:val="006864BF"/>
    <w:rsid w:val="00687AEE"/>
    <w:rsid w:val="0069068C"/>
    <w:rsid w:val="00690F76"/>
    <w:rsid w:val="00691DEC"/>
    <w:rsid w:val="00692A9E"/>
    <w:rsid w:val="006A0342"/>
    <w:rsid w:val="006A397F"/>
    <w:rsid w:val="006B203D"/>
    <w:rsid w:val="006B59AB"/>
    <w:rsid w:val="006B6EAF"/>
    <w:rsid w:val="006C2189"/>
    <w:rsid w:val="006C705F"/>
    <w:rsid w:val="006C7B07"/>
    <w:rsid w:val="006D0F41"/>
    <w:rsid w:val="006D49A7"/>
    <w:rsid w:val="006D5A67"/>
    <w:rsid w:val="006D5DE2"/>
    <w:rsid w:val="006E3899"/>
    <w:rsid w:val="006E3A82"/>
    <w:rsid w:val="006E6108"/>
    <w:rsid w:val="006F2AA2"/>
    <w:rsid w:val="006F3723"/>
    <w:rsid w:val="006F4DC0"/>
    <w:rsid w:val="006F4F19"/>
    <w:rsid w:val="006F54F6"/>
    <w:rsid w:val="006F659D"/>
    <w:rsid w:val="007019E2"/>
    <w:rsid w:val="0070373E"/>
    <w:rsid w:val="0070557D"/>
    <w:rsid w:val="007122BC"/>
    <w:rsid w:val="00712B5A"/>
    <w:rsid w:val="00716BB8"/>
    <w:rsid w:val="00724B71"/>
    <w:rsid w:val="007264E4"/>
    <w:rsid w:val="0073052E"/>
    <w:rsid w:val="0073059C"/>
    <w:rsid w:val="00730B4F"/>
    <w:rsid w:val="007345EE"/>
    <w:rsid w:val="00736E8B"/>
    <w:rsid w:val="00737D08"/>
    <w:rsid w:val="00741186"/>
    <w:rsid w:val="00747B41"/>
    <w:rsid w:val="00751A66"/>
    <w:rsid w:val="007522FF"/>
    <w:rsid w:val="00753FE5"/>
    <w:rsid w:val="00754383"/>
    <w:rsid w:val="00761455"/>
    <w:rsid w:val="00762FE3"/>
    <w:rsid w:val="00763471"/>
    <w:rsid w:val="00764E86"/>
    <w:rsid w:val="00767131"/>
    <w:rsid w:val="0077406C"/>
    <w:rsid w:val="007747D1"/>
    <w:rsid w:val="00781549"/>
    <w:rsid w:val="007829F1"/>
    <w:rsid w:val="007847C8"/>
    <w:rsid w:val="00785348"/>
    <w:rsid w:val="00786523"/>
    <w:rsid w:val="00791838"/>
    <w:rsid w:val="00792029"/>
    <w:rsid w:val="007928F7"/>
    <w:rsid w:val="007944B1"/>
    <w:rsid w:val="007A0ABE"/>
    <w:rsid w:val="007A1CBD"/>
    <w:rsid w:val="007A2F18"/>
    <w:rsid w:val="007A4016"/>
    <w:rsid w:val="007A6991"/>
    <w:rsid w:val="007A7B42"/>
    <w:rsid w:val="007A7E25"/>
    <w:rsid w:val="007B4AB7"/>
    <w:rsid w:val="007B52A1"/>
    <w:rsid w:val="007B52C1"/>
    <w:rsid w:val="007B534D"/>
    <w:rsid w:val="007B53D6"/>
    <w:rsid w:val="007C1696"/>
    <w:rsid w:val="007C46DE"/>
    <w:rsid w:val="007C60E8"/>
    <w:rsid w:val="007C623E"/>
    <w:rsid w:val="007C763E"/>
    <w:rsid w:val="007D3E84"/>
    <w:rsid w:val="007E0647"/>
    <w:rsid w:val="007E2CA9"/>
    <w:rsid w:val="007E4027"/>
    <w:rsid w:val="007E4CCE"/>
    <w:rsid w:val="007E63DD"/>
    <w:rsid w:val="007E6A29"/>
    <w:rsid w:val="007E7984"/>
    <w:rsid w:val="007E7B73"/>
    <w:rsid w:val="007F056D"/>
    <w:rsid w:val="007F2003"/>
    <w:rsid w:val="007F20E8"/>
    <w:rsid w:val="007F3FE2"/>
    <w:rsid w:val="007F4319"/>
    <w:rsid w:val="007F4924"/>
    <w:rsid w:val="007F5675"/>
    <w:rsid w:val="007F79DB"/>
    <w:rsid w:val="00801176"/>
    <w:rsid w:val="00801CE5"/>
    <w:rsid w:val="00804B72"/>
    <w:rsid w:val="008052F5"/>
    <w:rsid w:val="00806669"/>
    <w:rsid w:val="008102CE"/>
    <w:rsid w:val="00811EF6"/>
    <w:rsid w:val="0081292A"/>
    <w:rsid w:val="008134B2"/>
    <w:rsid w:val="00817D2A"/>
    <w:rsid w:val="00817E2A"/>
    <w:rsid w:val="00820560"/>
    <w:rsid w:val="00820A73"/>
    <w:rsid w:val="008245A1"/>
    <w:rsid w:val="00825214"/>
    <w:rsid w:val="008254B2"/>
    <w:rsid w:val="00831849"/>
    <w:rsid w:val="00833922"/>
    <w:rsid w:val="008351A4"/>
    <w:rsid w:val="00835658"/>
    <w:rsid w:val="00835CEC"/>
    <w:rsid w:val="00836FE8"/>
    <w:rsid w:val="00843DBB"/>
    <w:rsid w:val="008445EF"/>
    <w:rsid w:val="00853949"/>
    <w:rsid w:val="00855F6A"/>
    <w:rsid w:val="008565C9"/>
    <w:rsid w:val="0086082C"/>
    <w:rsid w:val="008619D9"/>
    <w:rsid w:val="00864864"/>
    <w:rsid w:val="00867396"/>
    <w:rsid w:val="008676EC"/>
    <w:rsid w:val="00873BDF"/>
    <w:rsid w:val="0087617E"/>
    <w:rsid w:val="00881E0A"/>
    <w:rsid w:val="00883008"/>
    <w:rsid w:val="00883917"/>
    <w:rsid w:val="00884294"/>
    <w:rsid w:val="00886957"/>
    <w:rsid w:val="00891C13"/>
    <w:rsid w:val="00891D63"/>
    <w:rsid w:val="00892DC7"/>
    <w:rsid w:val="008942E0"/>
    <w:rsid w:val="00894CA8"/>
    <w:rsid w:val="00896010"/>
    <w:rsid w:val="008A03ED"/>
    <w:rsid w:val="008A15D1"/>
    <w:rsid w:val="008A2E27"/>
    <w:rsid w:val="008A31DD"/>
    <w:rsid w:val="008A59FF"/>
    <w:rsid w:val="008B088B"/>
    <w:rsid w:val="008C2B63"/>
    <w:rsid w:val="008C5FC5"/>
    <w:rsid w:val="008C6036"/>
    <w:rsid w:val="008C72BD"/>
    <w:rsid w:val="008D0CDD"/>
    <w:rsid w:val="008D2398"/>
    <w:rsid w:val="008D3E37"/>
    <w:rsid w:val="008D422D"/>
    <w:rsid w:val="008E210B"/>
    <w:rsid w:val="008E26C3"/>
    <w:rsid w:val="008E29BE"/>
    <w:rsid w:val="008E54AC"/>
    <w:rsid w:val="008E6453"/>
    <w:rsid w:val="008F0998"/>
    <w:rsid w:val="008F4DD6"/>
    <w:rsid w:val="008F5299"/>
    <w:rsid w:val="0090184B"/>
    <w:rsid w:val="009031BA"/>
    <w:rsid w:val="009118C2"/>
    <w:rsid w:val="00911A93"/>
    <w:rsid w:val="0091755C"/>
    <w:rsid w:val="009200CF"/>
    <w:rsid w:val="0092102F"/>
    <w:rsid w:val="00924609"/>
    <w:rsid w:val="0093054A"/>
    <w:rsid w:val="00930E67"/>
    <w:rsid w:val="00931D47"/>
    <w:rsid w:val="009379FF"/>
    <w:rsid w:val="00943585"/>
    <w:rsid w:val="0094561D"/>
    <w:rsid w:val="00947825"/>
    <w:rsid w:val="00953639"/>
    <w:rsid w:val="00955049"/>
    <w:rsid w:val="00955C57"/>
    <w:rsid w:val="00956897"/>
    <w:rsid w:val="009600C6"/>
    <w:rsid w:val="009701FE"/>
    <w:rsid w:val="00972D6F"/>
    <w:rsid w:val="009732F4"/>
    <w:rsid w:val="00975891"/>
    <w:rsid w:val="00976B98"/>
    <w:rsid w:val="00976B9B"/>
    <w:rsid w:val="0097798F"/>
    <w:rsid w:val="00977A5D"/>
    <w:rsid w:val="00980698"/>
    <w:rsid w:val="009807A8"/>
    <w:rsid w:val="00980A63"/>
    <w:rsid w:val="00983B9A"/>
    <w:rsid w:val="0098494E"/>
    <w:rsid w:val="009850B8"/>
    <w:rsid w:val="00991897"/>
    <w:rsid w:val="00992649"/>
    <w:rsid w:val="009934D9"/>
    <w:rsid w:val="009B0F6A"/>
    <w:rsid w:val="009C3E28"/>
    <w:rsid w:val="009C3E8D"/>
    <w:rsid w:val="009C430A"/>
    <w:rsid w:val="009C4A09"/>
    <w:rsid w:val="009C5A61"/>
    <w:rsid w:val="009D3986"/>
    <w:rsid w:val="009D3A69"/>
    <w:rsid w:val="009F7744"/>
    <w:rsid w:val="00A03D66"/>
    <w:rsid w:val="00A05E0F"/>
    <w:rsid w:val="00A07254"/>
    <w:rsid w:val="00A07554"/>
    <w:rsid w:val="00A10E1B"/>
    <w:rsid w:val="00A12B0D"/>
    <w:rsid w:val="00A176EF"/>
    <w:rsid w:val="00A2111F"/>
    <w:rsid w:val="00A22036"/>
    <w:rsid w:val="00A23DB5"/>
    <w:rsid w:val="00A23F15"/>
    <w:rsid w:val="00A24BEF"/>
    <w:rsid w:val="00A26D1B"/>
    <w:rsid w:val="00A2728A"/>
    <w:rsid w:val="00A277EB"/>
    <w:rsid w:val="00A320F0"/>
    <w:rsid w:val="00A35E28"/>
    <w:rsid w:val="00A3682E"/>
    <w:rsid w:val="00A36DC8"/>
    <w:rsid w:val="00A40251"/>
    <w:rsid w:val="00A421EB"/>
    <w:rsid w:val="00A47552"/>
    <w:rsid w:val="00A538A5"/>
    <w:rsid w:val="00A55551"/>
    <w:rsid w:val="00A56B29"/>
    <w:rsid w:val="00A56EE4"/>
    <w:rsid w:val="00A64058"/>
    <w:rsid w:val="00A67546"/>
    <w:rsid w:val="00A675DD"/>
    <w:rsid w:val="00A73B9A"/>
    <w:rsid w:val="00A745AF"/>
    <w:rsid w:val="00A77549"/>
    <w:rsid w:val="00A8228D"/>
    <w:rsid w:val="00A9173A"/>
    <w:rsid w:val="00A924F5"/>
    <w:rsid w:val="00A925C7"/>
    <w:rsid w:val="00A9480D"/>
    <w:rsid w:val="00AA22DF"/>
    <w:rsid w:val="00AA4E27"/>
    <w:rsid w:val="00AB1F62"/>
    <w:rsid w:val="00AB26E5"/>
    <w:rsid w:val="00AB637A"/>
    <w:rsid w:val="00AC1854"/>
    <w:rsid w:val="00AC424A"/>
    <w:rsid w:val="00AD0D8D"/>
    <w:rsid w:val="00AD1274"/>
    <w:rsid w:val="00AD4884"/>
    <w:rsid w:val="00AE0C5A"/>
    <w:rsid w:val="00AE2589"/>
    <w:rsid w:val="00AE5A58"/>
    <w:rsid w:val="00AE6974"/>
    <w:rsid w:val="00AE750D"/>
    <w:rsid w:val="00AF3DD5"/>
    <w:rsid w:val="00AF5A55"/>
    <w:rsid w:val="00B00F14"/>
    <w:rsid w:val="00B043AC"/>
    <w:rsid w:val="00B04C4E"/>
    <w:rsid w:val="00B05E7D"/>
    <w:rsid w:val="00B11C8F"/>
    <w:rsid w:val="00B13821"/>
    <w:rsid w:val="00B15D77"/>
    <w:rsid w:val="00B20526"/>
    <w:rsid w:val="00B2083B"/>
    <w:rsid w:val="00B22656"/>
    <w:rsid w:val="00B24335"/>
    <w:rsid w:val="00B257D2"/>
    <w:rsid w:val="00B27F43"/>
    <w:rsid w:val="00B315D1"/>
    <w:rsid w:val="00B31DF2"/>
    <w:rsid w:val="00B33272"/>
    <w:rsid w:val="00B33CB6"/>
    <w:rsid w:val="00B43556"/>
    <w:rsid w:val="00B45E84"/>
    <w:rsid w:val="00B548A2"/>
    <w:rsid w:val="00B55A06"/>
    <w:rsid w:val="00B55B16"/>
    <w:rsid w:val="00B55E66"/>
    <w:rsid w:val="00B5719A"/>
    <w:rsid w:val="00B62D0C"/>
    <w:rsid w:val="00B71DAD"/>
    <w:rsid w:val="00B73219"/>
    <w:rsid w:val="00B73917"/>
    <w:rsid w:val="00B74CF6"/>
    <w:rsid w:val="00B76487"/>
    <w:rsid w:val="00B83B46"/>
    <w:rsid w:val="00B84016"/>
    <w:rsid w:val="00B917FF"/>
    <w:rsid w:val="00B9760E"/>
    <w:rsid w:val="00B97F34"/>
    <w:rsid w:val="00BA16A6"/>
    <w:rsid w:val="00BA186E"/>
    <w:rsid w:val="00BA6112"/>
    <w:rsid w:val="00BA7819"/>
    <w:rsid w:val="00BB1172"/>
    <w:rsid w:val="00BB1773"/>
    <w:rsid w:val="00BB2DA2"/>
    <w:rsid w:val="00BB353A"/>
    <w:rsid w:val="00BC28F0"/>
    <w:rsid w:val="00BC4ECB"/>
    <w:rsid w:val="00BD1FFB"/>
    <w:rsid w:val="00BD3663"/>
    <w:rsid w:val="00BD4067"/>
    <w:rsid w:val="00BD7369"/>
    <w:rsid w:val="00BE1853"/>
    <w:rsid w:val="00BE3E46"/>
    <w:rsid w:val="00BE4E9B"/>
    <w:rsid w:val="00BE565D"/>
    <w:rsid w:val="00BF1CBA"/>
    <w:rsid w:val="00BF3CCA"/>
    <w:rsid w:val="00BF6CF5"/>
    <w:rsid w:val="00BF7764"/>
    <w:rsid w:val="00C00EEA"/>
    <w:rsid w:val="00C015FA"/>
    <w:rsid w:val="00C0161A"/>
    <w:rsid w:val="00C061EE"/>
    <w:rsid w:val="00C116B1"/>
    <w:rsid w:val="00C11909"/>
    <w:rsid w:val="00C12A02"/>
    <w:rsid w:val="00C14D68"/>
    <w:rsid w:val="00C25A9F"/>
    <w:rsid w:val="00C300EC"/>
    <w:rsid w:val="00C31744"/>
    <w:rsid w:val="00C3560B"/>
    <w:rsid w:val="00C3599E"/>
    <w:rsid w:val="00C41DCB"/>
    <w:rsid w:val="00C4273C"/>
    <w:rsid w:val="00C52D01"/>
    <w:rsid w:val="00C52F59"/>
    <w:rsid w:val="00C65678"/>
    <w:rsid w:val="00C67AFB"/>
    <w:rsid w:val="00C70D7F"/>
    <w:rsid w:val="00C742B6"/>
    <w:rsid w:val="00C7540C"/>
    <w:rsid w:val="00C81563"/>
    <w:rsid w:val="00C8204B"/>
    <w:rsid w:val="00C8270F"/>
    <w:rsid w:val="00C87E28"/>
    <w:rsid w:val="00C90337"/>
    <w:rsid w:val="00C90525"/>
    <w:rsid w:val="00C90F15"/>
    <w:rsid w:val="00C91E6C"/>
    <w:rsid w:val="00C92FE6"/>
    <w:rsid w:val="00C96E70"/>
    <w:rsid w:val="00C975EB"/>
    <w:rsid w:val="00C97AAE"/>
    <w:rsid w:val="00C97AEA"/>
    <w:rsid w:val="00CA0E05"/>
    <w:rsid w:val="00CA20DA"/>
    <w:rsid w:val="00CA5405"/>
    <w:rsid w:val="00CA55AE"/>
    <w:rsid w:val="00CB0B07"/>
    <w:rsid w:val="00CB39E1"/>
    <w:rsid w:val="00CB434A"/>
    <w:rsid w:val="00CB5464"/>
    <w:rsid w:val="00CB5CA1"/>
    <w:rsid w:val="00CB77C7"/>
    <w:rsid w:val="00CB7850"/>
    <w:rsid w:val="00CC0249"/>
    <w:rsid w:val="00CC271F"/>
    <w:rsid w:val="00CC3ED5"/>
    <w:rsid w:val="00CC4024"/>
    <w:rsid w:val="00CC77E1"/>
    <w:rsid w:val="00CD0D68"/>
    <w:rsid w:val="00CD5DA4"/>
    <w:rsid w:val="00CD62CF"/>
    <w:rsid w:val="00CD7439"/>
    <w:rsid w:val="00CD7971"/>
    <w:rsid w:val="00CE11EA"/>
    <w:rsid w:val="00CE7DF9"/>
    <w:rsid w:val="00CF1F88"/>
    <w:rsid w:val="00CF64DC"/>
    <w:rsid w:val="00D02BC1"/>
    <w:rsid w:val="00D261F6"/>
    <w:rsid w:val="00D31004"/>
    <w:rsid w:val="00D31143"/>
    <w:rsid w:val="00D32AE7"/>
    <w:rsid w:val="00D37744"/>
    <w:rsid w:val="00D37903"/>
    <w:rsid w:val="00D379F9"/>
    <w:rsid w:val="00D37B85"/>
    <w:rsid w:val="00D41274"/>
    <w:rsid w:val="00D4261D"/>
    <w:rsid w:val="00D43BA0"/>
    <w:rsid w:val="00D55875"/>
    <w:rsid w:val="00D613AB"/>
    <w:rsid w:val="00D72B1D"/>
    <w:rsid w:val="00D75AD5"/>
    <w:rsid w:val="00D803C5"/>
    <w:rsid w:val="00D80481"/>
    <w:rsid w:val="00D81E5A"/>
    <w:rsid w:val="00D926EE"/>
    <w:rsid w:val="00D93538"/>
    <w:rsid w:val="00D93F6F"/>
    <w:rsid w:val="00D96B5D"/>
    <w:rsid w:val="00DA16EE"/>
    <w:rsid w:val="00DA4220"/>
    <w:rsid w:val="00DA58CF"/>
    <w:rsid w:val="00DA6FDF"/>
    <w:rsid w:val="00DB14F5"/>
    <w:rsid w:val="00DB29A3"/>
    <w:rsid w:val="00DB3A8A"/>
    <w:rsid w:val="00DB3F6D"/>
    <w:rsid w:val="00DB5613"/>
    <w:rsid w:val="00DB7DF9"/>
    <w:rsid w:val="00DC05FC"/>
    <w:rsid w:val="00DC196C"/>
    <w:rsid w:val="00DC4DA3"/>
    <w:rsid w:val="00DD08E9"/>
    <w:rsid w:val="00DD28D6"/>
    <w:rsid w:val="00DD4449"/>
    <w:rsid w:val="00DD4AC3"/>
    <w:rsid w:val="00DD6D56"/>
    <w:rsid w:val="00DE1D7A"/>
    <w:rsid w:val="00DF04C4"/>
    <w:rsid w:val="00DF1CAB"/>
    <w:rsid w:val="00DF2E26"/>
    <w:rsid w:val="00DF32FD"/>
    <w:rsid w:val="00DF41EA"/>
    <w:rsid w:val="00DF538C"/>
    <w:rsid w:val="00DF5E25"/>
    <w:rsid w:val="00E0135D"/>
    <w:rsid w:val="00E0321F"/>
    <w:rsid w:val="00E03E66"/>
    <w:rsid w:val="00E04A33"/>
    <w:rsid w:val="00E10655"/>
    <w:rsid w:val="00E115B8"/>
    <w:rsid w:val="00E1240C"/>
    <w:rsid w:val="00E13734"/>
    <w:rsid w:val="00E17E5C"/>
    <w:rsid w:val="00E17E60"/>
    <w:rsid w:val="00E21E78"/>
    <w:rsid w:val="00E23515"/>
    <w:rsid w:val="00E24F7D"/>
    <w:rsid w:val="00E30370"/>
    <w:rsid w:val="00E32175"/>
    <w:rsid w:val="00E32D71"/>
    <w:rsid w:val="00E354BF"/>
    <w:rsid w:val="00E356BB"/>
    <w:rsid w:val="00E41AFA"/>
    <w:rsid w:val="00E42DB7"/>
    <w:rsid w:val="00E45E6E"/>
    <w:rsid w:val="00E47304"/>
    <w:rsid w:val="00E5062C"/>
    <w:rsid w:val="00E50B42"/>
    <w:rsid w:val="00E50D42"/>
    <w:rsid w:val="00E56CEC"/>
    <w:rsid w:val="00E56D32"/>
    <w:rsid w:val="00E57640"/>
    <w:rsid w:val="00E66FDF"/>
    <w:rsid w:val="00E67595"/>
    <w:rsid w:val="00E72C2E"/>
    <w:rsid w:val="00E744D3"/>
    <w:rsid w:val="00E77CE0"/>
    <w:rsid w:val="00E8151D"/>
    <w:rsid w:val="00E81A3D"/>
    <w:rsid w:val="00E83151"/>
    <w:rsid w:val="00E8409E"/>
    <w:rsid w:val="00E853B7"/>
    <w:rsid w:val="00E8570E"/>
    <w:rsid w:val="00E85ACD"/>
    <w:rsid w:val="00E95088"/>
    <w:rsid w:val="00E9653D"/>
    <w:rsid w:val="00E966CE"/>
    <w:rsid w:val="00E96C6F"/>
    <w:rsid w:val="00EA02C8"/>
    <w:rsid w:val="00EA3509"/>
    <w:rsid w:val="00EA3B13"/>
    <w:rsid w:val="00EA5675"/>
    <w:rsid w:val="00EA5E39"/>
    <w:rsid w:val="00EB1115"/>
    <w:rsid w:val="00EB2D22"/>
    <w:rsid w:val="00EB3F64"/>
    <w:rsid w:val="00EC0214"/>
    <w:rsid w:val="00EC2BBC"/>
    <w:rsid w:val="00EC40FB"/>
    <w:rsid w:val="00EC4D5D"/>
    <w:rsid w:val="00ED06F5"/>
    <w:rsid w:val="00ED395D"/>
    <w:rsid w:val="00ED6637"/>
    <w:rsid w:val="00EE656A"/>
    <w:rsid w:val="00EE68A7"/>
    <w:rsid w:val="00EF0976"/>
    <w:rsid w:val="00EF4E23"/>
    <w:rsid w:val="00F023CC"/>
    <w:rsid w:val="00F061A1"/>
    <w:rsid w:val="00F06216"/>
    <w:rsid w:val="00F11CC4"/>
    <w:rsid w:val="00F11CCC"/>
    <w:rsid w:val="00F1208A"/>
    <w:rsid w:val="00F12BB5"/>
    <w:rsid w:val="00F17BCA"/>
    <w:rsid w:val="00F264A4"/>
    <w:rsid w:val="00F33D67"/>
    <w:rsid w:val="00F347FC"/>
    <w:rsid w:val="00F40EC6"/>
    <w:rsid w:val="00F43514"/>
    <w:rsid w:val="00F45821"/>
    <w:rsid w:val="00F46C82"/>
    <w:rsid w:val="00F532B3"/>
    <w:rsid w:val="00F551C7"/>
    <w:rsid w:val="00F552D0"/>
    <w:rsid w:val="00F56F5D"/>
    <w:rsid w:val="00F57096"/>
    <w:rsid w:val="00F60CCA"/>
    <w:rsid w:val="00F619FF"/>
    <w:rsid w:val="00F625C7"/>
    <w:rsid w:val="00F64600"/>
    <w:rsid w:val="00F6580C"/>
    <w:rsid w:val="00F65BB5"/>
    <w:rsid w:val="00F73391"/>
    <w:rsid w:val="00F73E58"/>
    <w:rsid w:val="00F74196"/>
    <w:rsid w:val="00F76E52"/>
    <w:rsid w:val="00F8136E"/>
    <w:rsid w:val="00F813DD"/>
    <w:rsid w:val="00F875F3"/>
    <w:rsid w:val="00F8794C"/>
    <w:rsid w:val="00F9097E"/>
    <w:rsid w:val="00F923B2"/>
    <w:rsid w:val="00F93D2D"/>
    <w:rsid w:val="00F953BD"/>
    <w:rsid w:val="00F95985"/>
    <w:rsid w:val="00F97E95"/>
    <w:rsid w:val="00FA1E98"/>
    <w:rsid w:val="00FA7CB1"/>
    <w:rsid w:val="00FB0D38"/>
    <w:rsid w:val="00FB1556"/>
    <w:rsid w:val="00FB4A86"/>
    <w:rsid w:val="00FB6E83"/>
    <w:rsid w:val="00FC262A"/>
    <w:rsid w:val="00FC37AF"/>
    <w:rsid w:val="00FC54F3"/>
    <w:rsid w:val="00FC6E83"/>
    <w:rsid w:val="00FD28E4"/>
    <w:rsid w:val="00FD4A9C"/>
    <w:rsid w:val="00FD7A45"/>
    <w:rsid w:val="00FE3C26"/>
    <w:rsid w:val="00FE3CD5"/>
    <w:rsid w:val="00FF101B"/>
    <w:rsid w:val="00FF6C9E"/>
    <w:rsid w:val="00FF7EB9"/>
    <w:rsid w:val="012F5DB4"/>
    <w:rsid w:val="066E9927"/>
    <w:rsid w:val="0919A720"/>
    <w:rsid w:val="09245E8C"/>
    <w:rsid w:val="0950A8B7"/>
    <w:rsid w:val="0AAA9261"/>
    <w:rsid w:val="0AD9286A"/>
    <w:rsid w:val="0AE15AFF"/>
    <w:rsid w:val="0D386EE0"/>
    <w:rsid w:val="0D460845"/>
    <w:rsid w:val="0D7973BE"/>
    <w:rsid w:val="0D86AE74"/>
    <w:rsid w:val="0D987C59"/>
    <w:rsid w:val="0E404E75"/>
    <w:rsid w:val="0E666BC0"/>
    <w:rsid w:val="0F1D4D6C"/>
    <w:rsid w:val="0F35E4D9"/>
    <w:rsid w:val="10135225"/>
    <w:rsid w:val="1095D869"/>
    <w:rsid w:val="10A7D3C0"/>
    <w:rsid w:val="11276A2E"/>
    <w:rsid w:val="138A7859"/>
    <w:rsid w:val="1399ABC1"/>
    <w:rsid w:val="13A7579B"/>
    <w:rsid w:val="13F0B90B"/>
    <w:rsid w:val="1575BDA0"/>
    <w:rsid w:val="15CB424F"/>
    <w:rsid w:val="15D23775"/>
    <w:rsid w:val="1769AB80"/>
    <w:rsid w:val="178416C6"/>
    <w:rsid w:val="18A6587A"/>
    <w:rsid w:val="1B6D79AE"/>
    <w:rsid w:val="1B7B0FDD"/>
    <w:rsid w:val="1C371BD0"/>
    <w:rsid w:val="1E56A6DB"/>
    <w:rsid w:val="1E7A967D"/>
    <w:rsid w:val="1F715E6E"/>
    <w:rsid w:val="1F93A34B"/>
    <w:rsid w:val="20D0BE5E"/>
    <w:rsid w:val="23E2F633"/>
    <w:rsid w:val="246F88A6"/>
    <w:rsid w:val="256AF5F3"/>
    <w:rsid w:val="25BA3D00"/>
    <w:rsid w:val="2673B491"/>
    <w:rsid w:val="284E580B"/>
    <w:rsid w:val="2A054880"/>
    <w:rsid w:val="2D4ADACB"/>
    <w:rsid w:val="2DD6FBC8"/>
    <w:rsid w:val="2FA7D015"/>
    <w:rsid w:val="311755C7"/>
    <w:rsid w:val="317A657B"/>
    <w:rsid w:val="3318A355"/>
    <w:rsid w:val="33E51DB0"/>
    <w:rsid w:val="3553481B"/>
    <w:rsid w:val="35737DB5"/>
    <w:rsid w:val="3599B49B"/>
    <w:rsid w:val="35BD3C8E"/>
    <w:rsid w:val="35FD4EA3"/>
    <w:rsid w:val="366AC07A"/>
    <w:rsid w:val="38B0D004"/>
    <w:rsid w:val="398FD3AB"/>
    <w:rsid w:val="39A41707"/>
    <w:rsid w:val="39DE36BC"/>
    <w:rsid w:val="3A4B2238"/>
    <w:rsid w:val="3A6D0E98"/>
    <w:rsid w:val="3AE732EE"/>
    <w:rsid w:val="3BCCB906"/>
    <w:rsid w:val="3BFDA099"/>
    <w:rsid w:val="3D4A08A8"/>
    <w:rsid w:val="3D805C7C"/>
    <w:rsid w:val="3E8565C1"/>
    <w:rsid w:val="3E9E9FCB"/>
    <w:rsid w:val="3EAF2F6C"/>
    <w:rsid w:val="40F4EFA9"/>
    <w:rsid w:val="414D352D"/>
    <w:rsid w:val="42C4461E"/>
    <w:rsid w:val="42CA4079"/>
    <w:rsid w:val="44311932"/>
    <w:rsid w:val="45C37C13"/>
    <w:rsid w:val="4620623D"/>
    <w:rsid w:val="46384509"/>
    <w:rsid w:val="46837172"/>
    <w:rsid w:val="48FFA5B2"/>
    <w:rsid w:val="49A5591B"/>
    <w:rsid w:val="4A7FB054"/>
    <w:rsid w:val="4BC6F748"/>
    <w:rsid w:val="4C94ADCA"/>
    <w:rsid w:val="4CE8598F"/>
    <w:rsid w:val="4CFE44A8"/>
    <w:rsid w:val="504032E0"/>
    <w:rsid w:val="516B9E87"/>
    <w:rsid w:val="51830EE9"/>
    <w:rsid w:val="539DD1D0"/>
    <w:rsid w:val="54BADC21"/>
    <w:rsid w:val="54F1A3B6"/>
    <w:rsid w:val="55F02398"/>
    <w:rsid w:val="583D7185"/>
    <w:rsid w:val="59261D03"/>
    <w:rsid w:val="5B18BF81"/>
    <w:rsid w:val="5C03B9E5"/>
    <w:rsid w:val="5C47D035"/>
    <w:rsid w:val="5CA057F3"/>
    <w:rsid w:val="5DFE72C1"/>
    <w:rsid w:val="5E702E7B"/>
    <w:rsid w:val="5F771275"/>
    <w:rsid w:val="5F8D6DAE"/>
    <w:rsid w:val="608FFBFB"/>
    <w:rsid w:val="638E558D"/>
    <w:rsid w:val="63C4E2DE"/>
    <w:rsid w:val="6439DD9E"/>
    <w:rsid w:val="66083F34"/>
    <w:rsid w:val="66498C60"/>
    <w:rsid w:val="6757BF4D"/>
    <w:rsid w:val="685CE9BE"/>
    <w:rsid w:val="68BA1707"/>
    <w:rsid w:val="696EC788"/>
    <w:rsid w:val="69903A27"/>
    <w:rsid w:val="6AB96FE5"/>
    <w:rsid w:val="6CFD8BA8"/>
    <w:rsid w:val="6D683C47"/>
    <w:rsid w:val="6DD62DFD"/>
    <w:rsid w:val="6DFE9654"/>
    <w:rsid w:val="6F1FBCD4"/>
    <w:rsid w:val="70479A83"/>
    <w:rsid w:val="7063B2E2"/>
    <w:rsid w:val="70FCF858"/>
    <w:rsid w:val="7187120D"/>
    <w:rsid w:val="71EFB36A"/>
    <w:rsid w:val="73E80D41"/>
    <w:rsid w:val="75705CCE"/>
    <w:rsid w:val="75A2A9DD"/>
    <w:rsid w:val="75CF2AA2"/>
    <w:rsid w:val="75DB0576"/>
    <w:rsid w:val="79BE9CF4"/>
    <w:rsid w:val="7A0E039A"/>
    <w:rsid w:val="7B36384F"/>
    <w:rsid w:val="7B690BBB"/>
    <w:rsid w:val="7D7C8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76B90"/>
  <w15:chartTrackingRefBased/>
  <w15:docId w15:val="{73AB6F78-404A-43F4-8845-9097161FC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379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9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9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9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9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9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9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9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9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9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9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9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9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9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9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9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9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98F"/>
    <w:rPr>
      <w:rFonts w:eastAsiaTheme="majorEastAsia" w:cstheme="majorBidi"/>
      <w:color w:val="272727" w:themeColor="text1" w:themeTint="D8"/>
    </w:rPr>
  </w:style>
  <w:style w:type="paragraph" w:styleId="Title">
    <w:name w:val="Title"/>
    <w:basedOn w:val="Normal"/>
    <w:next w:val="Normal"/>
    <w:link w:val="TitleChar"/>
    <w:uiPriority w:val="10"/>
    <w:qFormat/>
    <w:rsid w:val="002379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9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9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9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98F"/>
    <w:pPr>
      <w:spacing w:before="160"/>
      <w:jc w:val="center"/>
    </w:pPr>
    <w:rPr>
      <w:i/>
      <w:iCs/>
      <w:color w:val="404040" w:themeColor="text1" w:themeTint="BF"/>
    </w:rPr>
  </w:style>
  <w:style w:type="character" w:customStyle="1" w:styleId="QuoteChar">
    <w:name w:val="Quote Char"/>
    <w:basedOn w:val="DefaultParagraphFont"/>
    <w:link w:val="Quote"/>
    <w:uiPriority w:val="29"/>
    <w:rsid w:val="0023798F"/>
    <w:rPr>
      <w:i/>
      <w:iCs/>
      <w:color w:val="404040" w:themeColor="text1" w:themeTint="BF"/>
    </w:rPr>
  </w:style>
  <w:style w:type="paragraph" w:styleId="ListParagraph">
    <w:name w:val="List Paragraph"/>
    <w:basedOn w:val="Normal"/>
    <w:uiPriority w:val="34"/>
    <w:qFormat/>
    <w:rsid w:val="0023798F"/>
    <w:pPr>
      <w:ind w:left="720"/>
      <w:contextualSpacing/>
    </w:pPr>
  </w:style>
  <w:style w:type="character" w:styleId="IntenseEmphasis">
    <w:name w:val="Intense Emphasis"/>
    <w:basedOn w:val="DefaultParagraphFont"/>
    <w:uiPriority w:val="21"/>
    <w:qFormat/>
    <w:rsid w:val="0023798F"/>
    <w:rPr>
      <w:i/>
      <w:iCs/>
      <w:color w:val="0F4761" w:themeColor="accent1" w:themeShade="BF"/>
    </w:rPr>
  </w:style>
  <w:style w:type="paragraph" w:styleId="IntenseQuote">
    <w:name w:val="Intense Quote"/>
    <w:basedOn w:val="Normal"/>
    <w:next w:val="Normal"/>
    <w:link w:val="IntenseQuoteChar"/>
    <w:uiPriority w:val="30"/>
    <w:qFormat/>
    <w:rsid w:val="002379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98F"/>
    <w:rPr>
      <w:i/>
      <w:iCs/>
      <w:color w:val="0F4761" w:themeColor="accent1" w:themeShade="BF"/>
    </w:rPr>
  </w:style>
  <w:style w:type="character" w:styleId="IntenseReference">
    <w:name w:val="Intense Reference"/>
    <w:basedOn w:val="DefaultParagraphFont"/>
    <w:uiPriority w:val="32"/>
    <w:qFormat/>
    <w:rsid w:val="0023798F"/>
    <w:rPr>
      <w:b/>
      <w:bCs/>
      <w:smallCaps/>
      <w:color w:val="0F4761" w:themeColor="accent1" w:themeShade="BF"/>
      <w:spacing w:val="5"/>
    </w:rPr>
  </w:style>
  <w:style w:type="table" w:styleId="TableGrid">
    <w:name w:val="Table Grid"/>
    <w:basedOn w:val="TableNormal"/>
    <w:uiPriority w:val="39"/>
    <w:rsid w:val="009C3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72C2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E72C2E"/>
  </w:style>
  <w:style w:type="character" w:customStyle="1" w:styleId="normaltextrun">
    <w:name w:val="normaltextrun"/>
    <w:basedOn w:val="DefaultParagraphFont"/>
    <w:rsid w:val="00E72C2E"/>
  </w:style>
  <w:style w:type="character" w:styleId="CommentReference">
    <w:name w:val="annotation reference"/>
    <w:basedOn w:val="DefaultParagraphFont"/>
    <w:uiPriority w:val="99"/>
    <w:semiHidden/>
    <w:unhideWhenUsed/>
    <w:rsid w:val="009C5A61"/>
    <w:rPr>
      <w:sz w:val="16"/>
      <w:szCs w:val="16"/>
    </w:rPr>
  </w:style>
  <w:style w:type="paragraph" w:styleId="CommentText">
    <w:name w:val="annotation text"/>
    <w:basedOn w:val="Normal"/>
    <w:link w:val="CommentTextChar"/>
    <w:uiPriority w:val="99"/>
    <w:unhideWhenUsed/>
    <w:rsid w:val="009C5A61"/>
    <w:pPr>
      <w:spacing w:line="240" w:lineRule="auto"/>
    </w:pPr>
    <w:rPr>
      <w:sz w:val="20"/>
      <w:szCs w:val="20"/>
    </w:rPr>
  </w:style>
  <w:style w:type="character" w:customStyle="1" w:styleId="CommentTextChar">
    <w:name w:val="Comment Text Char"/>
    <w:basedOn w:val="DefaultParagraphFont"/>
    <w:link w:val="CommentText"/>
    <w:uiPriority w:val="99"/>
    <w:rsid w:val="009C5A61"/>
    <w:rPr>
      <w:sz w:val="20"/>
      <w:szCs w:val="20"/>
    </w:rPr>
  </w:style>
  <w:style w:type="paragraph" w:styleId="CommentSubject">
    <w:name w:val="annotation subject"/>
    <w:basedOn w:val="CommentText"/>
    <w:next w:val="CommentText"/>
    <w:link w:val="CommentSubjectChar"/>
    <w:uiPriority w:val="99"/>
    <w:semiHidden/>
    <w:unhideWhenUsed/>
    <w:rsid w:val="009C5A61"/>
    <w:rPr>
      <w:b/>
      <w:bCs/>
    </w:rPr>
  </w:style>
  <w:style w:type="character" w:customStyle="1" w:styleId="CommentSubjectChar">
    <w:name w:val="Comment Subject Char"/>
    <w:basedOn w:val="CommentTextChar"/>
    <w:link w:val="CommentSubject"/>
    <w:uiPriority w:val="99"/>
    <w:semiHidden/>
    <w:rsid w:val="009C5A61"/>
    <w:rPr>
      <w:b/>
      <w:bCs/>
      <w:sz w:val="20"/>
      <w:szCs w:val="20"/>
    </w:rPr>
  </w:style>
  <w:style w:type="character" w:customStyle="1" w:styleId="Mention">
    <w:name w:val="Mention"/>
    <w:basedOn w:val="DefaultParagraphFont"/>
    <w:uiPriority w:val="99"/>
    <w:unhideWhenUsed/>
    <w:rsid w:val="009C5A61"/>
    <w:rPr>
      <w:color w:val="2B579A"/>
      <w:shd w:val="clear" w:color="auto" w:fill="E1DFDD"/>
    </w:rPr>
  </w:style>
  <w:style w:type="paragraph" w:styleId="Revision">
    <w:name w:val="Revision"/>
    <w:hidden/>
    <w:uiPriority w:val="99"/>
    <w:semiHidden/>
    <w:rsid w:val="007F79DB"/>
    <w:pPr>
      <w:spacing w:after="0" w:line="240" w:lineRule="auto"/>
    </w:pPr>
  </w:style>
  <w:style w:type="character" w:styleId="Hyperlink">
    <w:name w:val="Hyperlink"/>
    <w:basedOn w:val="DefaultParagraphFont"/>
    <w:uiPriority w:val="99"/>
    <w:unhideWhenUsed/>
    <w:rsid w:val="00545D0E"/>
    <w:rPr>
      <w:color w:val="467886" w:themeColor="hyperlink"/>
      <w:u w:val="single"/>
    </w:rPr>
  </w:style>
  <w:style w:type="character" w:customStyle="1" w:styleId="UnresolvedMention">
    <w:name w:val="Unresolved Mention"/>
    <w:basedOn w:val="DefaultParagraphFont"/>
    <w:uiPriority w:val="99"/>
    <w:semiHidden/>
    <w:unhideWhenUsed/>
    <w:rsid w:val="00545D0E"/>
    <w:rPr>
      <w:color w:val="605E5C"/>
      <w:shd w:val="clear" w:color="auto" w:fill="E1DFDD"/>
    </w:rPr>
  </w:style>
  <w:style w:type="paragraph" w:styleId="Bibliography">
    <w:name w:val="Bibliography"/>
    <w:basedOn w:val="Normal"/>
    <w:next w:val="Normal"/>
    <w:uiPriority w:val="37"/>
    <w:unhideWhenUsed/>
    <w:rsid w:val="00681E45"/>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122136">
      <w:bodyDiv w:val="1"/>
      <w:marLeft w:val="0"/>
      <w:marRight w:val="0"/>
      <w:marTop w:val="0"/>
      <w:marBottom w:val="0"/>
      <w:divBdr>
        <w:top w:val="none" w:sz="0" w:space="0" w:color="auto"/>
        <w:left w:val="none" w:sz="0" w:space="0" w:color="auto"/>
        <w:bottom w:val="none" w:sz="0" w:space="0" w:color="auto"/>
        <w:right w:val="none" w:sz="0" w:space="0" w:color="auto"/>
      </w:divBdr>
      <w:divsChild>
        <w:div w:id="191695624">
          <w:marLeft w:val="0"/>
          <w:marRight w:val="0"/>
          <w:marTop w:val="0"/>
          <w:marBottom w:val="0"/>
          <w:divBdr>
            <w:top w:val="none" w:sz="0" w:space="0" w:color="auto"/>
            <w:left w:val="none" w:sz="0" w:space="0" w:color="auto"/>
            <w:bottom w:val="none" w:sz="0" w:space="0" w:color="auto"/>
            <w:right w:val="none" w:sz="0" w:space="0" w:color="auto"/>
          </w:divBdr>
        </w:div>
        <w:div w:id="392658725">
          <w:marLeft w:val="0"/>
          <w:marRight w:val="0"/>
          <w:marTop w:val="0"/>
          <w:marBottom w:val="0"/>
          <w:divBdr>
            <w:top w:val="none" w:sz="0" w:space="0" w:color="auto"/>
            <w:left w:val="none" w:sz="0" w:space="0" w:color="auto"/>
            <w:bottom w:val="none" w:sz="0" w:space="0" w:color="auto"/>
            <w:right w:val="none" w:sz="0" w:space="0" w:color="auto"/>
          </w:divBdr>
          <w:divsChild>
            <w:div w:id="1391224419">
              <w:marLeft w:val="-75"/>
              <w:marRight w:val="0"/>
              <w:marTop w:val="30"/>
              <w:marBottom w:val="30"/>
              <w:divBdr>
                <w:top w:val="none" w:sz="0" w:space="0" w:color="auto"/>
                <w:left w:val="none" w:sz="0" w:space="0" w:color="auto"/>
                <w:bottom w:val="none" w:sz="0" w:space="0" w:color="auto"/>
                <w:right w:val="none" w:sz="0" w:space="0" w:color="auto"/>
              </w:divBdr>
              <w:divsChild>
                <w:div w:id="111561153">
                  <w:marLeft w:val="0"/>
                  <w:marRight w:val="0"/>
                  <w:marTop w:val="0"/>
                  <w:marBottom w:val="0"/>
                  <w:divBdr>
                    <w:top w:val="none" w:sz="0" w:space="0" w:color="auto"/>
                    <w:left w:val="none" w:sz="0" w:space="0" w:color="auto"/>
                    <w:bottom w:val="none" w:sz="0" w:space="0" w:color="auto"/>
                    <w:right w:val="none" w:sz="0" w:space="0" w:color="auto"/>
                  </w:divBdr>
                  <w:divsChild>
                    <w:div w:id="258107403">
                      <w:marLeft w:val="0"/>
                      <w:marRight w:val="0"/>
                      <w:marTop w:val="0"/>
                      <w:marBottom w:val="0"/>
                      <w:divBdr>
                        <w:top w:val="none" w:sz="0" w:space="0" w:color="auto"/>
                        <w:left w:val="none" w:sz="0" w:space="0" w:color="auto"/>
                        <w:bottom w:val="none" w:sz="0" w:space="0" w:color="auto"/>
                        <w:right w:val="none" w:sz="0" w:space="0" w:color="auto"/>
                      </w:divBdr>
                    </w:div>
                  </w:divsChild>
                </w:div>
                <w:div w:id="217282294">
                  <w:marLeft w:val="0"/>
                  <w:marRight w:val="0"/>
                  <w:marTop w:val="0"/>
                  <w:marBottom w:val="0"/>
                  <w:divBdr>
                    <w:top w:val="none" w:sz="0" w:space="0" w:color="auto"/>
                    <w:left w:val="none" w:sz="0" w:space="0" w:color="auto"/>
                    <w:bottom w:val="none" w:sz="0" w:space="0" w:color="auto"/>
                    <w:right w:val="none" w:sz="0" w:space="0" w:color="auto"/>
                  </w:divBdr>
                  <w:divsChild>
                    <w:div w:id="291056189">
                      <w:marLeft w:val="0"/>
                      <w:marRight w:val="0"/>
                      <w:marTop w:val="0"/>
                      <w:marBottom w:val="0"/>
                      <w:divBdr>
                        <w:top w:val="none" w:sz="0" w:space="0" w:color="auto"/>
                        <w:left w:val="none" w:sz="0" w:space="0" w:color="auto"/>
                        <w:bottom w:val="none" w:sz="0" w:space="0" w:color="auto"/>
                        <w:right w:val="none" w:sz="0" w:space="0" w:color="auto"/>
                      </w:divBdr>
                    </w:div>
                  </w:divsChild>
                </w:div>
                <w:div w:id="429203865">
                  <w:marLeft w:val="0"/>
                  <w:marRight w:val="0"/>
                  <w:marTop w:val="0"/>
                  <w:marBottom w:val="0"/>
                  <w:divBdr>
                    <w:top w:val="none" w:sz="0" w:space="0" w:color="auto"/>
                    <w:left w:val="none" w:sz="0" w:space="0" w:color="auto"/>
                    <w:bottom w:val="none" w:sz="0" w:space="0" w:color="auto"/>
                    <w:right w:val="none" w:sz="0" w:space="0" w:color="auto"/>
                  </w:divBdr>
                  <w:divsChild>
                    <w:div w:id="1840535158">
                      <w:marLeft w:val="0"/>
                      <w:marRight w:val="0"/>
                      <w:marTop w:val="0"/>
                      <w:marBottom w:val="0"/>
                      <w:divBdr>
                        <w:top w:val="none" w:sz="0" w:space="0" w:color="auto"/>
                        <w:left w:val="none" w:sz="0" w:space="0" w:color="auto"/>
                        <w:bottom w:val="none" w:sz="0" w:space="0" w:color="auto"/>
                        <w:right w:val="none" w:sz="0" w:space="0" w:color="auto"/>
                      </w:divBdr>
                    </w:div>
                  </w:divsChild>
                </w:div>
                <w:div w:id="445390963">
                  <w:marLeft w:val="0"/>
                  <w:marRight w:val="0"/>
                  <w:marTop w:val="0"/>
                  <w:marBottom w:val="0"/>
                  <w:divBdr>
                    <w:top w:val="none" w:sz="0" w:space="0" w:color="auto"/>
                    <w:left w:val="none" w:sz="0" w:space="0" w:color="auto"/>
                    <w:bottom w:val="none" w:sz="0" w:space="0" w:color="auto"/>
                    <w:right w:val="none" w:sz="0" w:space="0" w:color="auto"/>
                  </w:divBdr>
                  <w:divsChild>
                    <w:div w:id="870530139">
                      <w:marLeft w:val="0"/>
                      <w:marRight w:val="0"/>
                      <w:marTop w:val="0"/>
                      <w:marBottom w:val="0"/>
                      <w:divBdr>
                        <w:top w:val="none" w:sz="0" w:space="0" w:color="auto"/>
                        <w:left w:val="none" w:sz="0" w:space="0" w:color="auto"/>
                        <w:bottom w:val="none" w:sz="0" w:space="0" w:color="auto"/>
                        <w:right w:val="none" w:sz="0" w:space="0" w:color="auto"/>
                      </w:divBdr>
                    </w:div>
                  </w:divsChild>
                </w:div>
                <w:div w:id="687025140">
                  <w:marLeft w:val="0"/>
                  <w:marRight w:val="0"/>
                  <w:marTop w:val="0"/>
                  <w:marBottom w:val="0"/>
                  <w:divBdr>
                    <w:top w:val="none" w:sz="0" w:space="0" w:color="auto"/>
                    <w:left w:val="none" w:sz="0" w:space="0" w:color="auto"/>
                    <w:bottom w:val="none" w:sz="0" w:space="0" w:color="auto"/>
                    <w:right w:val="none" w:sz="0" w:space="0" w:color="auto"/>
                  </w:divBdr>
                  <w:divsChild>
                    <w:div w:id="1926304767">
                      <w:marLeft w:val="0"/>
                      <w:marRight w:val="0"/>
                      <w:marTop w:val="0"/>
                      <w:marBottom w:val="0"/>
                      <w:divBdr>
                        <w:top w:val="none" w:sz="0" w:space="0" w:color="auto"/>
                        <w:left w:val="none" w:sz="0" w:space="0" w:color="auto"/>
                        <w:bottom w:val="none" w:sz="0" w:space="0" w:color="auto"/>
                        <w:right w:val="none" w:sz="0" w:space="0" w:color="auto"/>
                      </w:divBdr>
                    </w:div>
                  </w:divsChild>
                </w:div>
                <w:div w:id="711422897">
                  <w:marLeft w:val="0"/>
                  <w:marRight w:val="0"/>
                  <w:marTop w:val="0"/>
                  <w:marBottom w:val="0"/>
                  <w:divBdr>
                    <w:top w:val="none" w:sz="0" w:space="0" w:color="auto"/>
                    <w:left w:val="none" w:sz="0" w:space="0" w:color="auto"/>
                    <w:bottom w:val="none" w:sz="0" w:space="0" w:color="auto"/>
                    <w:right w:val="none" w:sz="0" w:space="0" w:color="auto"/>
                  </w:divBdr>
                  <w:divsChild>
                    <w:div w:id="2115856189">
                      <w:marLeft w:val="0"/>
                      <w:marRight w:val="0"/>
                      <w:marTop w:val="0"/>
                      <w:marBottom w:val="0"/>
                      <w:divBdr>
                        <w:top w:val="none" w:sz="0" w:space="0" w:color="auto"/>
                        <w:left w:val="none" w:sz="0" w:space="0" w:color="auto"/>
                        <w:bottom w:val="none" w:sz="0" w:space="0" w:color="auto"/>
                        <w:right w:val="none" w:sz="0" w:space="0" w:color="auto"/>
                      </w:divBdr>
                    </w:div>
                  </w:divsChild>
                </w:div>
                <w:div w:id="789935065">
                  <w:marLeft w:val="0"/>
                  <w:marRight w:val="0"/>
                  <w:marTop w:val="0"/>
                  <w:marBottom w:val="0"/>
                  <w:divBdr>
                    <w:top w:val="none" w:sz="0" w:space="0" w:color="auto"/>
                    <w:left w:val="none" w:sz="0" w:space="0" w:color="auto"/>
                    <w:bottom w:val="none" w:sz="0" w:space="0" w:color="auto"/>
                    <w:right w:val="none" w:sz="0" w:space="0" w:color="auto"/>
                  </w:divBdr>
                  <w:divsChild>
                    <w:div w:id="1465007760">
                      <w:marLeft w:val="0"/>
                      <w:marRight w:val="0"/>
                      <w:marTop w:val="0"/>
                      <w:marBottom w:val="0"/>
                      <w:divBdr>
                        <w:top w:val="none" w:sz="0" w:space="0" w:color="auto"/>
                        <w:left w:val="none" w:sz="0" w:space="0" w:color="auto"/>
                        <w:bottom w:val="none" w:sz="0" w:space="0" w:color="auto"/>
                        <w:right w:val="none" w:sz="0" w:space="0" w:color="auto"/>
                      </w:divBdr>
                    </w:div>
                  </w:divsChild>
                </w:div>
                <w:div w:id="838689214">
                  <w:marLeft w:val="0"/>
                  <w:marRight w:val="0"/>
                  <w:marTop w:val="0"/>
                  <w:marBottom w:val="0"/>
                  <w:divBdr>
                    <w:top w:val="none" w:sz="0" w:space="0" w:color="auto"/>
                    <w:left w:val="none" w:sz="0" w:space="0" w:color="auto"/>
                    <w:bottom w:val="none" w:sz="0" w:space="0" w:color="auto"/>
                    <w:right w:val="none" w:sz="0" w:space="0" w:color="auto"/>
                  </w:divBdr>
                  <w:divsChild>
                    <w:div w:id="104270456">
                      <w:marLeft w:val="0"/>
                      <w:marRight w:val="0"/>
                      <w:marTop w:val="0"/>
                      <w:marBottom w:val="0"/>
                      <w:divBdr>
                        <w:top w:val="none" w:sz="0" w:space="0" w:color="auto"/>
                        <w:left w:val="none" w:sz="0" w:space="0" w:color="auto"/>
                        <w:bottom w:val="none" w:sz="0" w:space="0" w:color="auto"/>
                        <w:right w:val="none" w:sz="0" w:space="0" w:color="auto"/>
                      </w:divBdr>
                    </w:div>
                  </w:divsChild>
                </w:div>
                <w:div w:id="959140757">
                  <w:marLeft w:val="0"/>
                  <w:marRight w:val="0"/>
                  <w:marTop w:val="0"/>
                  <w:marBottom w:val="0"/>
                  <w:divBdr>
                    <w:top w:val="none" w:sz="0" w:space="0" w:color="auto"/>
                    <w:left w:val="none" w:sz="0" w:space="0" w:color="auto"/>
                    <w:bottom w:val="none" w:sz="0" w:space="0" w:color="auto"/>
                    <w:right w:val="none" w:sz="0" w:space="0" w:color="auto"/>
                  </w:divBdr>
                  <w:divsChild>
                    <w:div w:id="1288854326">
                      <w:marLeft w:val="0"/>
                      <w:marRight w:val="0"/>
                      <w:marTop w:val="0"/>
                      <w:marBottom w:val="0"/>
                      <w:divBdr>
                        <w:top w:val="none" w:sz="0" w:space="0" w:color="auto"/>
                        <w:left w:val="none" w:sz="0" w:space="0" w:color="auto"/>
                        <w:bottom w:val="none" w:sz="0" w:space="0" w:color="auto"/>
                        <w:right w:val="none" w:sz="0" w:space="0" w:color="auto"/>
                      </w:divBdr>
                    </w:div>
                  </w:divsChild>
                </w:div>
                <w:div w:id="1064840702">
                  <w:marLeft w:val="0"/>
                  <w:marRight w:val="0"/>
                  <w:marTop w:val="0"/>
                  <w:marBottom w:val="0"/>
                  <w:divBdr>
                    <w:top w:val="none" w:sz="0" w:space="0" w:color="auto"/>
                    <w:left w:val="none" w:sz="0" w:space="0" w:color="auto"/>
                    <w:bottom w:val="none" w:sz="0" w:space="0" w:color="auto"/>
                    <w:right w:val="none" w:sz="0" w:space="0" w:color="auto"/>
                  </w:divBdr>
                  <w:divsChild>
                    <w:div w:id="2009864519">
                      <w:marLeft w:val="0"/>
                      <w:marRight w:val="0"/>
                      <w:marTop w:val="0"/>
                      <w:marBottom w:val="0"/>
                      <w:divBdr>
                        <w:top w:val="none" w:sz="0" w:space="0" w:color="auto"/>
                        <w:left w:val="none" w:sz="0" w:space="0" w:color="auto"/>
                        <w:bottom w:val="none" w:sz="0" w:space="0" w:color="auto"/>
                        <w:right w:val="none" w:sz="0" w:space="0" w:color="auto"/>
                      </w:divBdr>
                    </w:div>
                  </w:divsChild>
                </w:div>
                <w:div w:id="1215234129">
                  <w:marLeft w:val="0"/>
                  <w:marRight w:val="0"/>
                  <w:marTop w:val="0"/>
                  <w:marBottom w:val="0"/>
                  <w:divBdr>
                    <w:top w:val="none" w:sz="0" w:space="0" w:color="auto"/>
                    <w:left w:val="none" w:sz="0" w:space="0" w:color="auto"/>
                    <w:bottom w:val="none" w:sz="0" w:space="0" w:color="auto"/>
                    <w:right w:val="none" w:sz="0" w:space="0" w:color="auto"/>
                  </w:divBdr>
                  <w:divsChild>
                    <w:div w:id="1681195300">
                      <w:marLeft w:val="0"/>
                      <w:marRight w:val="0"/>
                      <w:marTop w:val="0"/>
                      <w:marBottom w:val="0"/>
                      <w:divBdr>
                        <w:top w:val="none" w:sz="0" w:space="0" w:color="auto"/>
                        <w:left w:val="none" w:sz="0" w:space="0" w:color="auto"/>
                        <w:bottom w:val="none" w:sz="0" w:space="0" w:color="auto"/>
                        <w:right w:val="none" w:sz="0" w:space="0" w:color="auto"/>
                      </w:divBdr>
                    </w:div>
                  </w:divsChild>
                </w:div>
                <w:div w:id="1369721900">
                  <w:marLeft w:val="0"/>
                  <w:marRight w:val="0"/>
                  <w:marTop w:val="0"/>
                  <w:marBottom w:val="0"/>
                  <w:divBdr>
                    <w:top w:val="none" w:sz="0" w:space="0" w:color="auto"/>
                    <w:left w:val="none" w:sz="0" w:space="0" w:color="auto"/>
                    <w:bottom w:val="none" w:sz="0" w:space="0" w:color="auto"/>
                    <w:right w:val="none" w:sz="0" w:space="0" w:color="auto"/>
                  </w:divBdr>
                  <w:divsChild>
                    <w:div w:id="1927298695">
                      <w:marLeft w:val="0"/>
                      <w:marRight w:val="0"/>
                      <w:marTop w:val="0"/>
                      <w:marBottom w:val="0"/>
                      <w:divBdr>
                        <w:top w:val="none" w:sz="0" w:space="0" w:color="auto"/>
                        <w:left w:val="none" w:sz="0" w:space="0" w:color="auto"/>
                        <w:bottom w:val="none" w:sz="0" w:space="0" w:color="auto"/>
                        <w:right w:val="none" w:sz="0" w:space="0" w:color="auto"/>
                      </w:divBdr>
                    </w:div>
                  </w:divsChild>
                </w:div>
                <w:div w:id="1379552521">
                  <w:marLeft w:val="0"/>
                  <w:marRight w:val="0"/>
                  <w:marTop w:val="0"/>
                  <w:marBottom w:val="0"/>
                  <w:divBdr>
                    <w:top w:val="none" w:sz="0" w:space="0" w:color="auto"/>
                    <w:left w:val="none" w:sz="0" w:space="0" w:color="auto"/>
                    <w:bottom w:val="none" w:sz="0" w:space="0" w:color="auto"/>
                    <w:right w:val="none" w:sz="0" w:space="0" w:color="auto"/>
                  </w:divBdr>
                  <w:divsChild>
                    <w:div w:id="1480876681">
                      <w:marLeft w:val="0"/>
                      <w:marRight w:val="0"/>
                      <w:marTop w:val="0"/>
                      <w:marBottom w:val="0"/>
                      <w:divBdr>
                        <w:top w:val="none" w:sz="0" w:space="0" w:color="auto"/>
                        <w:left w:val="none" w:sz="0" w:space="0" w:color="auto"/>
                        <w:bottom w:val="none" w:sz="0" w:space="0" w:color="auto"/>
                        <w:right w:val="none" w:sz="0" w:space="0" w:color="auto"/>
                      </w:divBdr>
                    </w:div>
                  </w:divsChild>
                </w:div>
                <w:div w:id="1681614420">
                  <w:marLeft w:val="0"/>
                  <w:marRight w:val="0"/>
                  <w:marTop w:val="0"/>
                  <w:marBottom w:val="0"/>
                  <w:divBdr>
                    <w:top w:val="none" w:sz="0" w:space="0" w:color="auto"/>
                    <w:left w:val="none" w:sz="0" w:space="0" w:color="auto"/>
                    <w:bottom w:val="none" w:sz="0" w:space="0" w:color="auto"/>
                    <w:right w:val="none" w:sz="0" w:space="0" w:color="auto"/>
                  </w:divBdr>
                  <w:divsChild>
                    <w:div w:id="1834563310">
                      <w:marLeft w:val="0"/>
                      <w:marRight w:val="0"/>
                      <w:marTop w:val="0"/>
                      <w:marBottom w:val="0"/>
                      <w:divBdr>
                        <w:top w:val="none" w:sz="0" w:space="0" w:color="auto"/>
                        <w:left w:val="none" w:sz="0" w:space="0" w:color="auto"/>
                        <w:bottom w:val="none" w:sz="0" w:space="0" w:color="auto"/>
                        <w:right w:val="none" w:sz="0" w:space="0" w:color="auto"/>
                      </w:divBdr>
                    </w:div>
                  </w:divsChild>
                </w:div>
                <w:div w:id="1682705951">
                  <w:marLeft w:val="0"/>
                  <w:marRight w:val="0"/>
                  <w:marTop w:val="0"/>
                  <w:marBottom w:val="0"/>
                  <w:divBdr>
                    <w:top w:val="none" w:sz="0" w:space="0" w:color="auto"/>
                    <w:left w:val="none" w:sz="0" w:space="0" w:color="auto"/>
                    <w:bottom w:val="none" w:sz="0" w:space="0" w:color="auto"/>
                    <w:right w:val="none" w:sz="0" w:space="0" w:color="auto"/>
                  </w:divBdr>
                  <w:divsChild>
                    <w:div w:id="2137988014">
                      <w:marLeft w:val="0"/>
                      <w:marRight w:val="0"/>
                      <w:marTop w:val="0"/>
                      <w:marBottom w:val="0"/>
                      <w:divBdr>
                        <w:top w:val="none" w:sz="0" w:space="0" w:color="auto"/>
                        <w:left w:val="none" w:sz="0" w:space="0" w:color="auto"/>
                        <w:bottom w:val="none" w:sz="0" w:space="0" w:color="auto"/>
                        <w:right w:val="none" w:sz="0" w:space="0" w:color="auto"/>
                      </w:divBdr>
                    </w:div>
                  </w:divsChild>
                </w:div>
                <w:div w:id="1729717842">
                  <w:marLeft w:val="0"/>
                  <w:marRight w:val="0"/>
                  <w:marTop w:val="0"/>
                  <w:marBottom w:val="0"/>
                  <w:divBdr>
                    <w:top w:val="none" w:sz="0" w:space="0" w:color="auto"/>
                    <w:left w:val="none" w:sz="0" w:space="0" w:color="auto"/>
                    <w:bottom w:val="none" w:sz="0" w:space="0" w:color="auto"/>
                    <w:right w:val="none" w:sz="0" w:space="0" w:color="auto"/>
                  </w:divBdr>
                  <w:divsChild>
                    <w:div w:id="1450659985">
                      <w:marLeft w:val="0"/>
                      <w:marRight w:val="0"/>
                      <w:marTop w:val="0"/>
                      <w:marBottom w:val="0"/>
                      <w:divBdr>
                        <w:top w:val="none" w:sz="0" w:space="0" w:color="auto"/>
                        <w:left w:val="none" w:sz="0" w:space="0" w:color="auto"/>
                        <w:bottom w:val="none" w:sz="0" w:space="0" w:color="auto"/>
                        <w:right w:val="none" w:sz="0" w:space="0" w:color="auto"/>
                      </w:divBdr>
                    </w:div>
                  </w:divsChild>
                </w:div>
                <w:div w:id="1789664991">
                  <w:marLeft w:val="0"/>
                  <w:marRight w:val="0"/>
                  <w:marTop w:val="0"/>
                  <w:marBottom w:val="0"/>
                  <w:divBdr>
                    <w:top w:val="none" w:sz="0" w:space="0" w:color="auto"/>
                    <w:left w:val="none" w:sz="0" w:space="0" w:color="auto"/>
                    <w:bottom w:val="none" w:sz="0" w:space="0" w:color="auto"/>
                    <w:right w:val="none" w:sz="0" w:space="0" w:color="auto"/>
                  </w:divBdr>
                  <w:divsChild>
                    <w:div w:id="1302425380">
                      <w:marLeft w:val="0"/>
                      <w:marRight w:val="0"/>
                      <w:marTop w:val="0"/>
                      <w:marBottom w:val="0"/>
                      <w:divBdr>
                        <w:top w:val="none" w:sz="0" w:space="0" w:color="auto"/>
                        <w:left w:val="none" w:sz="0" w:space="0" w:color="auto"/>
                        <w:bottom w:val="none" w:sz="0" w:space="0" w:color="auto"/>
                        <w:right w:val="none" w:sz="0" w:space="0" w:color="auto"/>
                      </w:divBdr>
                    </w:div>
                  </w:divsChild>
                </w:div>
                <w:div w:id="1823739481">
                  <w:marLeft w:val="0"/>
                  <w:marRight w:val="0"/>
                  <w:marTop w:val="0"/>
                  <w:marBottom w:val="0"/>
                  <w:divBdr>
                    <w:top w:val="none" w:sz="0" w:space="0" w:color="auto"/>
                    <w:left w:val="none" w:sz="0" w:space="0" w:color="auto"/>
                    <w:bottom w:val="none" w:sz="0" w:space="0" w:color="auto"/>
                    <w:right w:val="none" w:sz="0" w:space="0" w:color="auto"/>
                  </w:divBdr>
                  <w:divsChild>
                    <w:div w:id="1266038023">
                      <w:marLeft w:val="0"/>
                      <w:marRight w:val="0"/>
                      <w:marTop w:val="0"/>
                      <w:marBottom w:val="0"/>
                      <w:divBdr>
                        <w:top w:val="none" w:sz="0" w:space="0" w:color="auto"/>
                        <w:left w:val="none" w:sz="0" w:space="0" w:color="auto"/>
                        <w:bottom w:val="none" w:sz="0" w:space="0" w:color="auto"/>
                        <w:right w:val="none" w:sz="0" w:space="0" w:color="auto"/>
                      </w:divBdr>
                    </w:div>
                  </w:divsChild>
                </w:div>
                <w:div w:id="1885486760">
                  <w:marLeft w:val="0"/>
                  <w:marRight w:val="0"/>
                  <w:marTop w:val="0"/>
                  <w:marBottom w:val="0"/>
                  <w:divBdr>
                    <w:top w:val="none" w:sz="0" w:space="0" w:color="auto"/>
                    <w:left w:val="none" w:sz="0" w:space="0" w:color="auto"/>
                    <w:bottom w:val="none" w:sz="0" w:space="0" w:color="auto"/>
                    <w:right w:val="none" w:sz="0" w:space="0" w:color="auto"/>
                  </w:divBdr>
                  <w:divsChild>
                    <w:div w:id="1729181539">
                      <w:marLeft w:val="0"/>
                      <w:marRight w:val="0"/>
                      <w:marTop w:val="0"/>
                      <w:marBottom w:val="0"/>
                      <w:divBdr>
                        <w:top w:val="none" w:sz="0" w:space="0" w:color="auto"/>
                        <w:left w:val="none" w:sz="0" w:space="0" w:color="auto"/>
                        <w:bottom w:val="none" w:sz="0" w:space="0" w:color="auto"/>
                        <w:right w:val="none" w:sz="0" w:space="0" w:color="auto"/>
                      </w:divBdr>
                    </w:div>
                  </w:divsChild>
                </w:div>
                <w:div w:id="2141486996">
                  <w:marLeft w:val="0"/>
                  <w:marRight w:val="0"/>
                  <w:marTop w:val="0"/>
                  <w:marBottom w:val="0"/>
                  <w:divBdr>
                    <w:top w:val="none" w:sz="0" w:space="0" w:color="auto"/>
                    <w:left w:val="none" w:sz="0" w:space="0" w:color="auto"/>
                    <w:bottom w:val="none" w:sz="0" w:space="0" w:color="auto"/>
                    <w:right w:val="none" w:sz="0" w:space="0" w:color="auto"/>
                  </w:divBdr>
                  <w:divsChild>
                    <w:div w:id="3686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274669">
          <w:marLeft w:val="0"/>
          <w:marRight w:val="0"/>
          <w:marTop w:val="0"/>
          <w:marBottom w:val="0"/>
          <w:divBdr>
            <w:top w:val="none" w:sz="0" w:space="0" w:color="auto"/>
            <w:left w:val="none" w:sz="0" w:space="0" w:color="auto"/>
            <w:bottom w:val="none" w:sz="0" w:space="0" w:color="auto"/>
            <w:right w:val="none" w:sz="0" w:space="0" w:color="auto"/>
          </w:divBdr>
        </w:div>
        <w:div w:id="895311124">
          <w:marLeft w:val="0"/>
          <w:marRight w:val="0"/>
          <w:marTop w:val="0"/>
          <w:marBottom w:val="0"/>
          <w:divBdr>
            <w:top w:val="none" w:sz="0" w:space="0" w:color="auto"/>
            <w:left w:val="none" w:sz="0" w:space="0" w:color="auto"/>
            <w:bottom w:val="none" w:sz="0" w:space="0" w:color="auto"/>
            <w:right w:val="none" w:sz="0" w:space="0" w:color="auto"/>
          </w:divBdr>
        </w:div>
        <w:div w:id="1022317552">
          <w:marLeft w:val="0"/>
          <w:marRight w:val="0"/>
          <w:marTop w:val="0"/>
          <w:marBottom w:val="0"/>
          <w:divBdr>
            <w:top w:val="none" w:sz="0" w:space="0" w:color="auto"/>
            <w:left w:val="none" w:sz="0" w:space="0" w:color="auto"/>
            <w:bottom w:val="none" w:sz="0" w:space="0" w:color="auto"/>
            <w:right w:val="none" w:sz="0" w:space="0" w:color="auto"/>
          </w:divBdr>
        </w:div>
        <w:div w:id="1045911806">
          <w:marLeft w:val="0"/>
          <w:marRight w:val="0"/>
          <w:marTop w:val="0"/>
          <w:marBottom w:val="0"/>
          <w:divBdr>
            <w:top w:val="none" w:sz="0" w:space="0" w:color="auto"/>
            <w:left w:val="none" w:sz="0" w:space="0" w:color="auto"/>
            <w:bottom w:val="none" w:sz="0" w:space="0" w:color="auto"/>
            <w:right w:val="none" w:sz="0" w:space="0" w:color="auto"/>
          </w:divBdr>
        </w:div>
        <w:div w:id="1110274810">
          <w:marLeft w:val="0"/>
          <w:marRight w:val="0"/>
          <w:marTop w:val="0"/>
          <w:marBottom w:val="0"/>
          <w:divBdr>
            <w:top w:val="none" w:sz="0" w:space="0" w:color="auto"/>
            <w:left w:val="none" w:sz="0" w:space="0" w:color="auto"/>
            <w:bottom w:val="none" w:sz="0" w:space="0" w:color="auto"/>
            <w:right w:val="none" w:sz="0" w:space="0" w:color="auto"/>
          </w:divBdr>
        </w:div>
        <w:div w:id="1277328277">
          <w:marLeft w:val="0"/>
          <w:marRight w:val="0"/>
          <w:marTop w:val="0"/>
          <w:marBottom w:val="0"/>
          <w:divBdr>
            <w:top w:val="none" w:sz="0" w:space="0" w:color="auto"/>
            <w:left w:val="none" w:sz="0" w:space="0" w:color="auto"/>
            <w:bottom w:val="none" w:sz="0" w:space="0" w:color="auto"/>
            <w:right w:val="none" w:sz="0" w:space="0" w:color="auto"/>
          </w:divBdr>
        </w:div>
        <w:div w:id="1933657385">
          <w:marLeft w:val="0"/>
          <w:marRight w:val="0"/>
          <w:marTop w:val="0"/>
          <w:marBottom w:val="0"/>
          <w:divBdr>
            <w:top w:val="none" w:sz="0" w:space="0" w:color="auto"/>
            <w:left w:val="none" w:sz="0" w:space="0" w:color="auto"/>
            <w:bottom w:val="none" w:sz="0" w:space="0" w:color="auto"/>
            <w:right w:val="none" w:sz="0" w:space="0" w:color="auto"/>
          </w:divBdr>
        </w:div>
      </w:divsChild>
    </w:div>
    <w:div w:id="1040664445">
      <w:bodyDiv w:val="1"/>
      <w:marLeft w:val="0"/>
      <w:marRight w:val="0"/>
      <w:marTop w:val="0"/>
      <w:marBottom w:val="0"/>
      <w:divBdr>
        <w:top w:val="none" w:sz="0" w:space="0" w:color="auto"/>
        <w:left w:val="none" w:sz="0" w:space="0" w:color="auto"/>
        <w:bottom w:val="none" w:sz="0" w:space="0" w:color="auto"/>
        <w:right w:val="none" w:sz="0" w:space="0" w:color="auto"/>
      </w:divBdr>
    </w:div>
    <w:div w:id="1148936515">
      <w:bodyDiv w:val="1"/>
      <w:marLeft w:val="0"/>
      <w:marRight w:val="0"/>
      <w:marTop w:val="0"/>
      <w:marBottom w:val="0"/>
      <w:divBdr>
        <w:top w:val="none" w:sz="0" w:space="0" w:color="auto"/>
        <w:left w:val="none" w:sz="0" w:space="0" w:color="auto"/>
        <w:bottom w:val="none" w:sz="0" w:space="0" w:color="auto"/>
        <w:right w:val="none" w:sz="0" w:space="0" w:color="auto"/>
      </w:divBdr>
    </w:div>
    <w:div w:id="12545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65E194E076BA941A4B15960136536BA" ma:contentTypeVersion="18" ma:contentTypeDescription="Create a new document." ma:contentTypeScope="" ma:versionID="33a37aedc0b1eabd6407485fa7b578dc">
  <xsd:schema xmlns:xsd="http://www.w3.org/2001/XMLSchema" xmlns:xs="http://www.w3.org/2001/XMLSchema" xmlns:p="http://schemas.microsoft.com/office/2006/metadata/properties" xmlns:ns2="b825f418-b324-4dbb-9fee-7f163fdc3100" xmlns:ns3="76ae2c1d-740f-4a72-a5f5-3ce591431bd5" targetNamespace="http://schemas.microsoft.com/office/2006/metadata/properties" ma:root="true" ma:fieldsID="2ce1461eb8beceb5526304d8d1af9582" ns2:_="" ns3:_="">
    <xsd:import namespace="b825f418-b324-4dbb-9fee-7f163fdc3100"/>
    <xsd:import namespace="76ae2c1d-740f-4a72-a5f5-3ce591431b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25f418-b324-4dbb-9fee-7f163fdc3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d038b50-52dc-447d-ac2e-a29bd036c4b1"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Description" ma:index="25" nillable="true" ma:displayName="Description " ma:description="Shared from Garrett as a way to automatically fill in all the worktags for either a) individual tag or b) cost allocation tags that involve splitting across multiple grants etc." ma:format="Dropdown" ma:internalName="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ae2c1d-740f-4a72-a5f5-3ce591431bd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e33f60-cfdf-4cc2-956f-5702b38e7585}" ma:internalName="TaxCatchAll" ma:showField="CatchAllData" ma:web="76ae2c1d-740f-4a72-a5f5-3ce591431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825f418-b324-4dbb-9fee-7f163fdc3100">
      <Terms xmlns="http://schemas.microsoft.com/office/infopath/2007/PartnerControls"/>
    </lcf76f155ced4ddcb4097134ff3c332f>
    <TaxCatchAll xmlns="76ae2c1d-740f-4a72-a5f5-3ce591431bd5" xsi:nil="true"/>
    <Description xmlns="b825f418-b324-4dbb-9fee-7f163fdc3100" xsi:nil="true"/>
  </documentManagement>
</p:properties>
</file>

<file path=customXml/itemProps1.xml><?xml version="1.0" encoding="utf-8"?>
<ds:datastoreItem xmlns:ds="http://schemas.openxmlformats.org/officeDocument/2006/customXml" ds:itemID="{ADBA4544-42D3-4197-9A45-53833226C243}">
  <ds:schemaRefs>
    <ds:schemaRef ds:uri="http://schemas.microsoft.com/sharepoint/v3/contenttype/forms"/>
  </ds:schemaRefs>
</ds:datastoreItem>
</file>

<file path=customXml/itemProps2.xml><?xml version="1.0" encoding="utf-8"?>
<ds:datastoreItem xmlns:ds="http://schemas.openxmlformats.org/officeDocument/2006/customXml" ds:itemID="{877CCCD4-AD2B-4085-A449-6B61AEAAC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25f418-b324-4dbb-9fee-7f163fdc3100"/>
    <ds:schemaRef ds:uri="76ae2c1d-740f-4a72-a5f5-3ce591431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0DE0D7-BA66-4E5F-815F-D0DD95A9F8C0}">
  <ds:schemaRefs>
    <ds:schemaRef ds:uri="http://schemas.microsoft.com/office/2006/metadata/properties"/>
    <ds:schemaRef ds:uri="http://schemas.microsoft.com/office/infopath/2007/PartnerControls"/>
    <ds:schemaRef ds:uri="b825f418-b324-4dbb-9fee-7f163fdc3100"/>
    <ds:schemaRef ds:uri="76ae2c1d-740f-4a72-a5f5-3ce591431bd5"/>
  </ds:schemaRefs>
</ds:datastoreItem>
</file>

<file path=docProps/app.xml><?xml version="1.0" encoding="utf-8"?>
<Properties xmlns="http://schemas.openxmlformats.org/officeDocument/2006/extended-properties" xmlns:vt="http://schemas.openxmlformats.org/officeDocument/2006/docPropsVTypes">
  <Template>Normal.dotm</Template>
  <TotalTime>1662</TotalTime>
  <Pages>24</Pages>
  <Words>41969</Words>
  <Characters>239224</Characters>
  <Application>Microsoft Office Word</Application>
  <DocSecurity>0</DocSecurity>
  <Lines>1993</Lines>
  <Paragraphs>561</Paragraphs>
  <ScaleCrop>false</ScaleCrop>
  <Company/>
  <LinksUpToDate>false</LinksUpToDate>
  <CharactersWithSpaces>280632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Dolatshahi, Sepideh (sd8us)</dc:creator>
  <cp:keywords/>
  <dc:description/>
  <cp:lastModifiedBy>Dinesh Ravic</cp:lastModifiedBy>
  <cp:revision>480</cp:revision>
  <dcterms:created xsi:type="dcterms:W3CDTF">2025-03-05T13:20:00Z</dcterms:created>
  <dcterms:modified xsi:type="dcterms:W3CDTF">2025-08-10T02:43:00Z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0x010100F65E194E076BA941A4B15960136536BA</vt:lpwstr>
  </property>
  <property fmtid="{D5CDD505-2E9C-101B-9397-08002B2CF9AE}" pid="3" name="MediaServiceImageTags">
    <vt:lpwstr/>
  </property>
  <property fmtid="{D5CDD505-2E9C-101B-9397-08002B2CF9AE}" pid="4" name="ZOTERO_PREF_2">
    <vt:lpwstr>maticJournalAbbreviations" value="true"/&gt;&lt;pref name="dontAskDelayCitationUpdates" value="true"/&gt;&lt;/prefs&gt;&lt;/data&gt;</vt:lpwstr>
  </property>
  <property fmtid="{D5CDD505-2E9C-101B-9397-08002B2CF9AE}" pid="5" name="ZOTERO_PREF_1">
    <vt:lpwstr>&lt;data data-version="3" zotero-version="6.0.36"&gt;&lt;session id="uHbMH9j4"/&gt;&lt;style id="http://www.zotero.org/styles/american-medical-association" hasBibliography="1" bibliographyStyleHasBeenSet="1"/&gt;&lt;prefs&gt;&lt;pref name="fieldType" value="Field"/&gt;&lt;pref name="auto</vt:lpwstr>
  </property>
</Properties>
</file>