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6C729" w14:textId="77777777" w:rsidR="00756194" w:rsidRDefault="00B52496">
      <w:pPr>
        <w:pBdr>
          <w:top w:val="nil"/>
          <w:left w:val="nil"/>
          <w:bottom w:val="nil"/>
          <w:right w:val="nil"/>
          <w:between w:val="nil"/>
        </w:pBdr>
        <w:spacing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ELECTRONIC SUPPLEMENTAL MATERIAL # 2</w:t>
      </w:r>
    </w:p>
    <w:p w14:paraId="57C346BC" w14:textId="77777777" w:rsidR="00756194" w:rsidRDefault="00B52496">
      <w:pPr>
        <w:pBdr>
          <w:top w:val="nil"/>
          <w:left w:val="nil"/>
          <w:bottom w:val="nil"/>
          <w:right w:val="nil"/>
          <w:between w:val="nil"/>
        </w:pBdr>
        <w:spacing w:line="240" w:lineRule="auto"/>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Estuaries and Coasts</w:t>
      </w:r>
    </w:p>
    <w:p w14:paraId="797D8823" w14:textId="77777777" w:rsidR="00756194" w:rsidRDefault="00B52496">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12 October</w:t>
      </w:r>
      <w:r>
        <w:rPr>
          <w:rFonts w:ascii="Times New Roman" w:eastAsia="Times New Roman" w:hAnsi="Times New Roman" w:cs="Times New Roman"/>
          <w:color w:val="000000"/>
          <w:sz w:val="24"/>
          <w:szCs w:val="24"/>
        </w:rPr>
        <w:t xml:space="preserve"> 2021</w:t>
      </w:r>
    </w:p>
    <w:p w14:paraId="5FDCB1DB" w14:textId="77777777" w:rsidR="00756194" w:rsidRDefault="00B5249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Spatiotemporal Variability in Environmental Conditions Influences the Performance and Behavior of Juvenile Steelhead in a Coastal California Lagoon</w:t>
      </w:r>
    </w:p>
    <w:p w14:paraId="30A0043D" w14:textId="77777777" w:rsidR="00756194" w:rsidRDefault="00756194">
      <w:pPr>
        <w:spacing w:line="240" w:lineRule="auto"/>
        <w:rPr>
          <w:rFonts w:ascii="Times New Roman" w:eastAsia="Times New Roman" w:hAnsi="Times New Roman" w:cs="Times New Roman"/>
          <w:sz w:val="24"/>
          <w:szCs w:val="24"/>
        </w:rPr>
      </w:pPr>
    </w:p>
    <w:p w14:paraId="05CF5E4C"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Rosealea M. Bond</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Joseph D. Kiernan</w:t>
      </w:r>
      <w:r>
        <w:rPr>
          <w:rFonts w:ascii="Times New Roman" w:eastAsia="Times New Roman" w:hAnsi="Times New Roman" w:cs="Times New Roman"/>
          <w:sz w:val="24"/>
          <w:szCs w:val="24"/>
          <w:vertAlign w:val="superscript"/>
        </w:rPr>
        <w:t>2,3</w:t>
      </w:r>
      <w:r>
        <w:rPr>
          <w:rFonts w:ascii="Times New Roman" w:eastAsia="Times New Roman" w:hAnsi="Times New Roman" w:cs="Times New Roman"/>
          <w:sz w:val="24"/>
          <w:szCs w:val="24"/>
        </w:rPr>
        <w:t>, Ann-Marie K. Osterback</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Cynthia H. Kern</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Alexander E. Hay</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Joshua M. Meko</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Miles E. Daniels</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and Jeffrey M. Perez</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t>
      </w:r>
    </w:p>
    <w:p w14:paraId="7F613DAE" w14:textId="77777777" w:rsidR="00756194" w:rsidRDefault="00756194">
      <w:pPr>
        <w:spacing w:line="240" w:lineRule="auto"/>
        <w:rPr>
          <w:rFonts w:ascii="Times New Roman" w:eastAsia="Times New Roman" w:hAnsi="Times New Roman" w:cs="Times New Roman"/>
          <w:sz w:val="24"/>
          <w:szCs w:val="24"/>
        </w:rPr>
      </w:pPr>
    </w:p>
    <w:p w14:paraId="508845A1" w14:textId="77777777" w:rsidR="00756194" w:rsidRDefault="00B5249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Author affiliations: </w:t>
      </w:r>
    </w:p>
    <w:p w14:paraId="16E4106D"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Fisheries Collaborative Program, Institute of Marine Sciences, University of California, Santa Cruz, </w:t>
      </w:r>
      <w:r>
        <w:rPr>
          <w:rFonts w:ascii="Times New Roman" w:eastAsia="Times New Roman" w:hAnsi="Times New Roman" w:cs="Times New Roman"/>
          <w:i/>
          <w:sz w:val="24"/>
          <w:szCs w:val="24"/>
        </w:rPr>
        <w:t>affiliated with</w:t>
      </w:r>
      <w:r>
        <w:rPr>
          <w:rFonts w:ascii="Times New Roman" w:eastAsia="Times New Roman" w:hAnsi="Times New Roman" w:cs="Times New Roman"/>
          <w:sz w:val="24"/>
          <w:szCs w:val="24"/>
        </w:rPr>
        <w:t xml:space="preserve"> Southwest Fisheries Science Cente</w:t>
      </w:r>
      <w:r>
        <w:rPr>
          <w:rFonts w:ascii="Times New Roman" w:eastAsia="Times New Roman" w:hAnsi="Times New Roman" w:cs="Times New Roman"/>
          <w:sz w:val="24"/>
          <w:szCs w:val="24"/>
        </w:rPr>
        <w:t>r, National Marine Fisheries Service, National Oceanic and Atmospheric Administration, 110 McAllister Way, Santa Cruz, California 95060, USA</w:t>
      </w:r>
    </w:p>
    <w:p w14:paraId="4656DE65" w14:textId="77777777" w:rsidR="00756194" w:rsidRDefault="00756194">
      <w:pPr>
        <w:spacing w:line="240" w:lineRule="auto"/>
        <w:rPr>
          <w:rFonts w:ascii="Times New Roman" w:eastAsia="Times New Roman" w:hAnsi="Times New Roman" w:cs="Times New Roman"/>
          <w:sz w:val="24"/>
          <w:szCs w:val="24"/>
        </w:rPr>
      </w:pPr>
    </w:p>
    <w:p w14:paraId="0D9E9665"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Fisheries Ecology Division, Southwest Fisheries Science Center, National Marine Fisheries Service, National Ocea</w:t>
      </w:r>
      <w:r>
        <w:rPr>
          <w:rFonts w:ascii="Times New Roman" w:eastAsia="Times New Roman" w:hAnsi="Times New Roman" w:cs="Times New Roman"/>
          <w:sz w:val="24"/>
          <w:szCs w:val="24"/>
        </w:rPr>
        <w:t>nic and Atmospheric Administration, 110 McAllister Way, Santa Cruz, California 95060, USA</w:t>
      </w:r>
    </w:p>
    <w:p w14:paraId="17FC6208" w14:textId="77777777" w:rsidR="00756194" w:rsidRDefault="00756194">
      <w:pPr>
        <w:spacing w:line="240" w:lineRule="auto"/>
        <w:rPr>
          <w:rFonts w:ascii="Times New Roman" w:eastAsia="Times New Roman" w:hAnsi="Times New Roman" w:cs="Times New Roman"/>
          <w:sz w:val="24"/>
          <w:szCs w:val="24"/>
        </w:rPr>
      </w:pPr>
    </w:p>
    <w:p w14:paraId="48498F5E"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 xml:space="preserve">3 </w:t>
      </w:r>
      <w:r>
        <w:rPr>
          <w:rFonts w:ascii="Times New Roman" w:eastAsia="Times New Roman" w:hAnsi="Times New Roman" w:cs="Times New Roman"/>
          <w:sz w:val="24"/>
          <w:szCs w:val="24"/>
        </w:rPr>
        <w:t>Institute of Marine Sciences, University of California, Santa Cruz, 1156 High Street, Santa Cruz, California 95064, USA</w:t>
      </w:r>
    </w:p>
    <w:p w14:paraId="490DE768" w14:textId="77777777" w:rsidR="00756194" w:rsidRDefault="00756194">
      <w:pPr>
        <w:spacing w:line="240" w:lineRule="auto"/>
        <w:rPr>
          <w:rFonts w:ascii="Times New Roman" w:eastAsia="Times New Roman" w:hAnsi="Times New Roman" w:cs="Times New Roman"/>
          <w:sz w:val="24"/>
          <w:szCs w:val="24"/>
        </w:rPr>
      </w:pPr>
    </w:p>
    <w:p w14:paraId="35736DF4"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*Corresponding author:</w:t>
      </w:r>
      <w:r>
        <w:rPr>
          <w:rFonts w:ascii="Times New Roman" w:eastAsia="Times New Roman" w:hAnsi="Times New Roman" w:cs="Times New Roman"/>
          <w:sz w:val="24"/>
          <w:szCs w:val="24"/>
        </w:rPr>
        <w:t xml:space="preserve"> Rosealea M. Bond, E</w:t>
      </w:r>
      <w:r>
        <w:rPr>
          <w:rFonts w:ascii="Times New Roman" w:eastAsia="Times New Roman" w:hAnsi="Times New Roman" w:cs="Times New Roman"/>
          <w:sz w:val="24"/>
          <w:szCs w:val="24"/>
        </w:rPr>
        <w:t xml:space="preserve">mail: lea.bond@noaa.gov, </w:t>
      </w:r>
    </w:p>
    <w:p w14:paraId="284DF612" w14:textId="77777777" w:rsidR="00756194" w:rsidRDefault="00B5249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Phone: 1-831-420-3918, Address: 110 McAllister Way, Santa Cruz, California 95060, USA.</w:t>
      </w:r>
    </w:p>
    <w:p w14:paraId="51E5CE81" w14:textId="77777777" w:rsidR="00756194" w:rsidRDefault="00B52496">
      <w:pPr>
        <w:spacing w:line="480" w:lineRule="auto"/>
        <w:rPr>
          <w:rFonts w:ascii="Times New Roman" w:eastAsia="Times New Roman" w:hAnsi="Times New Roman" w:cs="Times New Roman"/>
          <w:sz w:val="24"/>
          <w:szCs w:val="24"/>
        </w:rPr>
      </w:pPr>
      <w:r>
        <w:br w:type="page"/>
      </w:r>
    </w:p>
    <w:p w14:paraId="78300D04" w14:textId="77777777" w:rsidR="00756194" w:rsidRDefault="00B52496">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Antenna detection efficiency </w:t>
      </w:r>
    </w:p>
    <w:p w14:paraId="667050B5" w14:textId="77777777" w:rsidR="00756194" w:rsidRDefault="00B52496">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Autonomous passive integrated transponder (PIT) tag antenna arrays have been used extensively in aquatic systems to passively monitor fish behavior and performance. Robust interpretation of PIT antenna data requires an understanding of how effectively a gi</w:t>
      </w:r>
      <w:r>
        <w:rPr>
          <w:rFonts w:ascii="Times New Roman" w:eastAsia="Times New Roman" w:hAnsi="Times New Roman" w:cs="Times New Roman"/>
          <w:sz w:val="24"/>
          <w:szCs w:val="24"/>
        </w:rPr>
        <w:t>ven antenna array (i.e., station) detects PIT-tagged fish when they are present within the detection field, known as antenna detection efficiency (DE). DE is influenced by myriad factors including: (1) the size, shape, and number of loops constituting an a</w:t>
      </w:r>
      <w:r>
        <w:rPr>
          <w:rFonts w:ascii="Times New Roman" w:eastAsia="Times New Roman" w:hAnsi="Times New Roman" w:cs="Times New Roman"/>
          <w:sz w:val="24"/>
          <w:szCs w:val="24"/>
        </w:rPr>
        <w:t xml:space="preserve">rray; (2) local electromagnetic and water quality conditions; and (3) the swim path, velocity, and orientation of each PIT-tagged fish (Connolly et al. 2008; </w:t>
      </w:r>
      <w:proofErr w:type="spellStart"/>
      <w:r>
        <w:rPr>
          <w:rFonts w:ascii="Times New Roman" w:eastAsia="Times New Roman" w:hAnsi="Times New Roman" w:cs="Times New Roman"/>
          <w:sz w:val="24"/>
          <w:szCs w:val="24"/>
        </w:rPr>
        <w:t>Aymes</w:t>
      </w:r>
      <w:proofErr w:type="spellEnd"/>
      <w:r>
        <w:rPr>
          <w:rFonts w:ascii="Times New Roman" w:eastAsia="Times New Roman" w:hAnsi="Times New Roman" w:cs="Times New Roman"/>
          <w:sz w:val="24"/>
          <w:szCs w:val="24"/>
        </w:rPr>
        <w:t xml:space="preserve"> and Rives 2009; Connolly 2010). In lotic (riverine) ecosystems, DE is routinely calculated b</w:t>
      </w:r>
      <w:r>
        <w:rPr>
          <w:rFonts w:ascii="Times New Roman" w:eastAsia="Times New Roman" w:hAnsi="Times New Roman" w:cs="Times New Roman"/>
          <w:sz w:val="24"/>
          <w:szCs w:val="24"/>
        </w:rPr>
        <w:t>y comparing the proportion of serial (i.e., sequential upstream-downstream, or vice versa) PIT tag detections among multiple loops of an antenna array (</w:t>
      </w:r>
      <w:proofErr w:type="spellStart"/>
      <w:r>
        <w:rPr>
          <w:rFonts w:ascii="Times New Roman" w:eastAsia="Times New Roman" w:hAnsi="Times New Roman" w:cs="Times New Roman"/>
          <w:sz w:val="24"/>
          <w:szCs w:val="24"/>
        </w:rPr>
        <w:t>Zydlewski</w:t>
      </w:r>
      <w:proofErr w:type="spellEnd"/>
      <w:r>
        <w:rPr>
          <w:rFonts w:ascii="Times New Roman" w:eastAsia="Times New Roman" w:hAnsi="Times New Roman" w:cs="Times New Roman"/>
          <w:sz w:val="24"/>
          <w:szCs w:val="24"/>
        </w:rPr>
        <w:t xml:space="preserve"> et al. 2006). This method is effective when fish movement is predominantly unidirectional and </w:t>
      </w:r>
      <w:r>
        <w:rPr>
          <w:rFonts w:ascii="Times New Roman" w:eastAsia="Times New Roman" w:hAnsi="Times New Roman" w:cs="Times New Roman"/>
          <w:sz w:val="24"/>
          <w:szCs w:val="24"/>
        </w:rPr>
        <w:t>produces serial detections (e.g., during downriver migration events), or when the number of PIT-tagged fish moving past the array is known (e.g., large-scale fish release events; Connolly 2010).</w:t>
      </w:r>
    </w:p>
    <w:p w14:paraId="7DD50C23" w14:textId="77777777" w:rsidR="00756194" w:rsidRDefault="00B52496">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contrast, there are unique challenges associated with the </w:t>
      </w:r>
      <w:r>
        <w:rPr>
          <w:rFonts w:ascii="Times New Roman" w:eastAsia="Times New Roman" w:hAnsi="Times New Roman" w:cs="Times New Roman"/>
          <w:sz w:val="24"/>
          <w:szCs w:val="24"/>
        </w:rPr>
        <w:t>operation and maintenance of PIT tag antenna systems in lentic and brackish environments, which compromise antenna performance and hinder robust assessment of DE. Non-migratory fish behaviors (e.g., milling, holding, or residency; hereafter collectively re</w:t>
      </w:r>
      <w:r>
        <w:rPr>
          <w:rFonts w:ascii="Times New Roman" w:eastAsia="Times New Roman" w:hAnsi="Times New Roman" w:cs="Times New Roman"/>
          <w:sz w:val="24"/>
          <w:szCs w:val="24"/>
        </w:rPr>
        <w:t xml:space="preserve">ferred to as “milling events”) are especially problematic in lentic habitats and often yield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single loop (i.e., non-serial) detections (</w:t>
      </w:r>
      <w:proofErr w:type="spellStart"/>
      <w:r>
        <w:rPr>
          <w:rFonts w:ascii="Times New Roman" w:eastAsia="Times New Roman" w:hAnsi="Times New Roman" w:cs="Times New Roman"/>
          <w:sz w:val="24"/>
          <w:szCs w:val="24"/>
        </w:rPr>
        <w:t>Meynecke</w:t>
      </w:r>
      <w:proofErr w:type="spellEnd"/>
      <w:r>
        <w:rPr>
          <w:rFonts w:ascii="Times New Roman" w:eastAsia="Times New Roman" w:hAnsi="Times New Roman" w:cs="Times New Roman"/>
          <w:sz w:val="24"/>
          <w:szCs w:val="24"/>
        </w:rPr>
        <w:t xml:space="preserve"> et al. 2008; McNatt et al. 2016; Osterback et al. 2018). Furthermore, non-migratory behaviors</w:t>
      </w:r>
      <w:r>
        <w:rPr>
          <w:rFonts w:ascii="Times New Roman" w:eastAsia="Times New Roman" w:hAnsi="Times New Roman" w:cs="Times New Roman"/>
          <w:sz w:val="24"/>
          <w:szCs w:val="24"/>
        </w:rPr>
        <w:t xml:space="preserve"> routinely place multiple fish in the detection field simultaneously, creating interference (all PIT tags operate at the same radio frequency, 134.2-kHz) that results in missed </w:t>
      </w:r>
      <w:r>
        <w:rPr>
          <w:rFonts w:ascii="Times New Roman" w:eastAsia="Times New Roman" w:hAnsi="Times New Roman" w:cs="Times New Roman"/>
          <w:sz w:val="24"/>
          <w:szCs w:val="24"/>
        </w:rPr>
        <w:lastRenderedPageBreak/>
        <w:t>detections or incorrectly decoded tag information (termed PIT tag collision; O’</w:t>
      </w:r>
      <w:r>
        <w:rPr>
          <w:rFonts w:ascii="Times New Roman" w:eastAsia="Times New Roman" w:hAnsi="Times New Roman" w:cs="Times New Roman"/>
          <w:sz w:val="24"/>
          <w:szCs w:val="24"/>
        </w:rPr>
        <w:t>Donnell et al. 2010; Schmidt et al. 2016). Of special concern for our study is the knowledge that fluctuating water quality—particularly temperature and salinity—can strongly influence the electrical properties of each loop’s detection field, temporarily r</w:t>
      </w:r>
      <w:r>
        <w:rPr>
          <w:rFonts w:ascii="Times New Roman" w:eastAsia="Times New Roman" w:hAnsi="Times New Roman" w:cs="Times New Roman"/>
          <w:sz w:val="24"/>
          <w:szCs w:val="24"/>
        </w:rPr>
        <w:t xml:space="preserve">educing read range or inhibiting detections altogether (Barbour et al. 2010). Based on more than a decade of operating PIT tag antenna arrays in the Scott Creek estuary/lagoon (e.g., Bond et al. 2007; Hayes et al. 2011; Frechette et al. 2016; Osterback et </w:t>
      </w:r>
      <w:r>
        <w:rPr>
          <w:rFonts w:ascii="Times New Roman" w:eastAsia="Times New Roman" w:hAnsi="Times New Roman" w:cs="Times New Roman"/>
          <w:sz w:val="24"/>
          <w:szCs w:val="24"/>
        </w:rPr>
        <w:t>al. 2018) we have found that non-serial tag detections predominate during the period of lagoon formation (Osterback et al. 2018), chiefly for the reasons outlined above. Consequently, DE at the Lagoon Array can rarely be assessed using methods applied in l</w:t>
      </w:r>
      <w:r>
        <w:rPr>
          <w:rFonts w:ascii="Times New Roman" w:eastAsia="Times New Roman" w:hAnsi="Times New Roman" w:cs="Times New Roman"/>
          <w:sz w:val="24"/>
          <w:szCs w:val="24"/>
        </w:rPr>
        <w:t xml:space="preserve">otic ecosystems. </w:t>
      </w:r>
    </w:p>
    <w:p w14:paraId="713F997E" w14:textId="77777777" w:rsidR="00756194" w:rsidRDefault="00B52496">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a measure of system performance during our study, field personnel visited each antenna array approximately every nine days during the five-month study period to document antenna functionality and to quantify the strength and ex</w:t>
      </w:r>
      <w:r>
        <w:rPr>
          <w:rFonts w:ascii="Times New Roman" w:eastAsia="Times New Roman" w:hAnsi="Times New Roman" w:cs="Times New Roman"/>
          <w:sz w:val="24"/>
          <w:szCs w:val="24"/>
        </w:rPr>
        <w:t>tent of the detection field for each loop using a test tag analog (</w:t>
      </w:r>
      <w:proofErr w:type="spellStart"/>
      <w:r>
        <w:rPr>
          <w:rFonts w:ascii="Times New Roman" w:eastAsia="Times New Roman" w:hAnsi="Times New Roman" w:cs="Times New Roman"/>
          <w:sz w:val="24"/>
          <w:szCs w:val="24"/>
        </w:rPr>
        <w:t>Zydlewski</w:t>
      </w:r>
      <w:proofErr w:type="spellEnd"/>
      <w:r>
        <w:rPr>
          <w:rFonts w:ascii="Times New Roman" w:eastAsia="Times New Roman" w:hAnsi="Times New Roman" w:cs="Times New Roman"/>
          <w:sz w:val="24"/>
          <w:szCs w:val="24"/>
        </w:rPr>
        <w:t xml:space="preserve"> et al. 2006). We classified the operational status of each antenna array as: (1) “fully functional,” when all loops had 100% detection coverage (i.e., full read range with no dead</w:t>
      </w:r>
      <w:r>
        <w:rPr>
          <w:rFonts w:ascii="Times New Roman" w:eastAsia="Times New Roman" w:hAnsi="Times New Roman" w:cs="Times New Roman"/>
          <w:sz w:val="24"/>
          <w:szCs w:val="24"/>
        </w:rPr>
        <w:t xml:space="preserve"> zones); (2) “partially functional,” when one or more loops had reduced read range and dead zones were present; or (3) “non-functional,” when the instrument’s power was turned off. For the Riverine and Interface arrays, we calculated DE (e.g., </w:t>
      </w:r>
      <w:proofErr w:type="spellStart"/>
      <w:r>
        <w:rPr>
          <w:rFonts w:ascii="Times New Roman" w:eastAsia="Times New Roman" w:hAnsi="Times New Roman" w:cs="Times New Roman"/>
          <w:sz w:val="24"/>
          <w:szCs w:val="24"/>
        </w:rPr>
        <w:t>Zydlewski</w:t>
      </w:r>
      <w:proofErr w:type="spellEnd"/>
      <w:r>
        <w:rPr>
          <w:rFonts w:ascii="Times New Roman" w:eastAsia="Times New Roman" w:hAnsi="Times New Roman" w:cs="Times New Roman"/>
          <w:sz w:val="24"/>
          <w:szCs w:val="24"/>
        </w:rPr>
        <w:t xml:space="preserve"> et</w:t>
      </w:r>
      <w:r>
        <w:rPr>
          <w:rFonts w:ascii="Times New Roman" w:eastAsia="Times New Roman" w:hAnsi="Times New Roman" w:cs="Times New Roman"/>
          <w:sz w:val="24"/>
          <w:szCs w:val="24"/>
        </w:rPr>
        <w:t xml:space="preserve"> al. 2006; Connolly 2010) over the entire 154-day study period using all PIT tag detection data at each station. For each antenna array we included salmonids tagged outside the temporal and (or) spatial scope of our study (i.e., in support of other researc</w:t>
      </w:r>
      <w:r>
        <w:rPr>
          <w:rFonts w:ascii="Times New Roman" w:eastAsia="Times New Roman" w:hAnsi="Times New Roman" w:cs="Times New Roman"/>
          <w:sz w:val="24"/>
          <w:szCs w:val="24"/>
        </w:rPr>
        <w:t>h and monitoring efforts in the basin).</w:t>
      </w:r>
    </w:p>
    <w:p w14:paraId="2FF05D80" w14:textId="77777777" w:rsidR="00756194" w:rsidRDefault="00B52496">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Riverine Array was fully functional the majority (87.7%) of the study period and had a high overall DE estimate (80.3%; Table S1). The Interface Array was fully functional 59.7% of the time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had a high DE</w:t>
      </w:r>
      <w:r>
        <w:rPr>
          <w:rFonts w:ascii="Times New Roman" w:eastAsia="Times New Roman" w:hAnsi="Times New Roman" w:cs="Times New Roman"/>
          <w:sz w:val="24"/>
          <w:szCs w:val="24"/>
        </w:rPr>
        <w:t xml:space="preserve"> estimate (99.4%; Table S1). Lastly, the Lagoon Array was fully functional 53.2% of the time, with unknown DE, and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PIT tag detections at this station were classified as ambiguous movement (i.e., single loop detections; Table S1, Fig. S2). R</w:t>
      </w:r>
      <w:r>
        <w:rPr>
          <w:rFonts w:ascii="Times New Roman" w:eastAsia="Times New Roman" w:hAnsi="Times New Roman" w:cs="Times New Roman"/>
          <w:sz w:val="24"/>
          <w:szCs w:val="24"/>
        </w:rPr>
        <w:t>educed functionality at the Lagoon Array was a result of changes in antenna loop geometry, fish behavior, and episodic changes in salinity. Whereas channel width at the Lagoon Array was relatively wide (17.7 m), the system consisted of four independent ant</w:t>
      </w:r>
      <w:r>
        <w:rPr>
          <w:rFonts w:ascii="Times New Roman" w:eastAsia="Times New Roman" w:hAnsi="Times New Roman" w:cs="Times New Roman"/>
          <w:sz w:val="24"/>
          <w:szCs w:val="24"/>
        </w:rPr>
        <w:t>enna loops; two adjacent loops downstream to effectively span the entire channel and two more upstream for the same purpose. On several occasions, we documented reduced read range on one or more of the four antenna loops associated with changes in water le</w:t>
      </w:r>
      <w:r>
        <w:rPr>
          <w:rFonts w:ascii="Times New Roman" w:eastAsia="Times New Roman" w:hAnsi="Times New Roman" w:cs="Times New Roman"/>
          <w:sz w:val="24"/>
          <w:szCs w:val="24"/>
        </w:rPr>
        <w:t>vel and (or) macroalgal/detrital accumulation that altered loop geometry, generated dead spots, and likely resulted in missed detections. Additionally, wave overtopping events delivered large amounts of saltwater to the lagoon during Phase 2 (13 July–8 Aug</w:t>
      </w:r>
      <w:r>
        <w:rPr>
          <w:rFonts w:ascii="Times New Roman" w:eastAsia="Times New Roman" w:hAnsi="Times New Roman" w:cs="Times New Roman"/>
          <w:sz w:val="24"/>
          <w:szCs w:val="24"/>
        </w:rPr>
        <w:t>ust 2018), substantially attenuating each loop’s detection field (reduced detection field to 5–15 cm around each loop). Consequently, there were a relatively low number of total detections during this period (Fig. S2).</w:t>
      </w:r>
    </w:p>
    <w:p w14:paraId="333FD28A" w14:textId="77777777" w:rsidR="00756194" w:rsidRDefault="00B52496">
      <w:pPr>
        <w:spacing w:line="480" w:lineRule="auto"/>
        <w:ind w:firstLine="720"/>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Despite these shortcomings, we are co</w:t>
      </w:r>
      <w:r>
        <w:rPr>
          <w:rFonts w:ascii="Times New Roman" w:eastAsia="Times New Roman" w:hAnsi="Times New Roman" w:cs="Times New Roman"/>
          <w:sz w:val="24"/>
          <w:szCs w:val="24"/>
        </w:rPr>
        <w:t>nfident that our data allow us to draw robust inferences about juvenile steelhead movement. It is instructive to note that the Lagoon Array detected 1,521 (78.8%) of the 1,930 PIT-tagged juvenile steelhead handled during monthly sampling events over the co</w:t>
      </w:r>
      <w:r>
        <w:rPr>
          <w:rFonts w:ascii="Times New Roman" w:eastAsia="Times New Roman" w:hAnsi="Times New Roman" w:cs="Times New Roman"/>
          <w:sz w:val="24"/>
          <w:szCs w:val="24"/>
        </w:rPr>
        <w:t xml:space="preserve">urse of the study (e.g., “recapture rate” discussed in Adams et al. 2006; </w:t>
      </w:r>
      <w:proofErr w:type="spellStart"/>
      <w:r>
        <w:rPr>
          <w:rFonts w:ascii="Times New Roman" w:eastAsia="Times New Roman" w:hAnsi="Times New Roman" w:cs="Times New Roman"/>
          <w:sz w:val="24"/>
          <w:szCs w:val="24"/>
        </w:rPr>
        <w:t>Meynecke</w:t>
      </w:r>
      <w:proofErr w:type="spellEnd"/>
      <w:r>
        <w:rPr>
          <w:rFonts w:ascii="Times New Roman" w:eastAsia="Times New Roman" w:hAnsi="Times New Roman" w:cs="Times New Roman"/>
          <w:sz w:val="24"/>
          <w:szCs w:val="24"/>
        </w:rPr>
        <w:t xml:space="preserve"> et al. 2008), indicating the system </w:t>
      </w:r>
      <w:proofErr w:type="gramStart"/>
      <w:r>
        <w:rPr>
          <w:rFonts w:ascii="Times New Roman" w:eastAsia="Times New Roman" w:hAnsi="Times New Roman" w:cs="Times New Roman"/>
          <w:sz w:val="24"/>
          <w:szCs w:val="24"/>
        </w:rPr>
        <w:t>as a whole functioned</w:t>
      </w:r>
      <w:proofErr w:type="gramEnd"/>
      <w:r>
        <w:rPr>
          <w:rFonts w:ascii="Times New Roman" w:eastAsia="Times New Roman" w:hAnsi="Times New Roman" w:cs="Times New Roman"/>
          <w:sz w:val="24"/>
          <w:szCs w:val="24"/>
        </w:rPr>
        <w:t xml:space="preserve"> well even with variable DE. Moreover, the timing of single loop detections at the Lagoon Array peaked at dawn and d</w:t>
      </w:r>
      <w:r>
        <w:rPr>
          <w:rFonts w:ascii="Times New Roman" w:eastAsia="Times New Roman" w:hAnsi="Times New Roman" w:cs="Times New Roman"/>
          <w:sz w:val="24"/>
          <w:szCs w:val="24"/>
        </w:rPr>
        <w:t xml:space="preserve">usk, mirroring the patterns seen in the directional movement detections (Fig. S3). Since we </w:t>
      </w:r>
      <w:r>
        <w:rPr>
          <w:rFonts w:ascii="Times New Roman" w:eastAsia="Times New Roman" w:hAnsi="Times New Roman" w:cs="Times New Roman"/>
          <w:sz w:val="24"/>
          <w:szCs w:val="24"/>
        </w:rPr>
        <w:lastRenderedPageBreak/>
        <w:t>could not explicitly take daily DE into account, our inferences were conservatively limited to directional movement patterns within each environmental phase—not bet</w:t>
      </w:r>
      <w:r>
        <w:rPr>
          <w:rFonts w:ascii="Times New Roman" w:eastAsia="Times New Roman" w:hAnsi="Times New Roman" w:cs="Times New Roman"/>
          <w:sz w:val="24"/>
          <w:szCs w:val="24"/>
        </w:rPr>
        <w:t>ween phases—as the latter could have been influenced by a combination of DE, fish behavior, environmental drivers, and (or) other variables not considered in our study. We also focused our efforts on peak movements rather than individual fish to illustrate</w:t>
      </w:r>
      <w:r>
        <w:rPr>
          <w:rFonts w:ascii="Times New Roman" w:eastAsia="Times New Roman" w:hAnsi="Times New Roman" w:cs="Times New Roman"/>
          <w:sz w:val="24"/>
          <w:szCs w:val="24"/>
        </w:rPr>
        <w:t xml:space="preserve"> the importance of movement timing as a population response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our monthly performance metrics from seining events. </w:t>
      </w:r>
    </w:p>
    <w:p w14:paraId="327CC636" w14:textId="77777777" w:rsidR="00756194" w:rsidRDefault="00756194">
      <w:pPr>
        <w:spacing w:line="240" w:lineRule="auto"/>
        <w:rPr>
          <w:rFonts w:ascii="Times New Roman" w:eastAsia="Times New Roman" w:hAnsi="Times New Roman" w:cs="Times New Roman"/>
          <w:b/>
          <w:sz w:val="24"/>
          <w:szCs w:val="24"/>
        </w:rPr>
      </w:pPr>
    </w:p>
    <w:p w14:paraId="77CCC36E" w14:textId="77777777" w:rsidR="00756194" w:rsidRDefault="00B52496">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Supplemental Table:</w:t>
      </w:r>
    </w:p>
    <w:p w14:paraId="05724D8C"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S1</w:t>
      </w:r>
      <w:r>
        <w:rPr>
          <w:rFonts w:ascii="Times New Roman" w:eastAsia="Times New Roman" w:hAnsi="Times New Roman" w:cs="Times New Roman"/>
          <w:sz w:val="24"/>
          <w:szCs w:val="24"/>
        </w:rPr>
        <w:t xml:space="preserve">. Daily operational status and overall antenna detection efficiency (DE) of the three PIT tag antenna </w:t>
      </w:r>
      <w:r>
        <w:rPr>
          <w:rFonts w:ascii="Times New Roman" w:eastAsia="Times New Roman" w:hAnsi="Times New Roman" w:cs="Times New Roman"/>
          <w:sz w:val="24"/>
          <w:szCs w:val="24"/>
        </w:rPr>
        <w:t>arrays operated in Scott Creek (CA, USA) during our 154-day study (20 June–20 November 2018). Data are presented as the number of days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and percentage (%) of the total study period each system was classified as fully functional, partially functional, or</w:t>
      </w:r>
      <w:r>
        <w:rPr>
          <w:rFonts w:ascii="Times New Roman" w:eastAsia="Times New Roman" w:hAnsi="Times New Roman" w:cs="Times New Roman"/>
          <w:sz w:val="24"/>
          <w:szCs w:val="24"/>
        </w:rPr>
        <w:t xml:space="preserve"> non-functional.</w:t>
      </w:r>
    </w:p>
    <w:p w14:paraId="0D15ADA2" w14:textId="77777777" w:rsidR="00756194" w:rsidRDefault="00756194">
      <w:pPr>
        <w:spacing w:line="480" w:lineRule="auto"/>
        <w:rPr>
          <w:rFonts w:ascii="Times New Roman" w:eastAsia="Times New Roman" w:hAnsi="Times New Roman" w:cs="Times New Roman"/>
          <w:sz w:val="24"/>
          <w:szCs w:val="24"/>
        </w:rPr>
      </w:pPr>
    </w:p>
    <w:tbl>
      <w:tblPr>
        <w:tblStyle w:val="a0"/>
        <w:tblW w:w="9322" w:type="dxa"/>
        <w:tblLayout w:type="fixed"/>
        <w:tblLook w:val="0400" w:firstRow="0" w:lastRow="0" w:firstColumn="0" w:lastColumn="0" w:noHBand="0" w:noVBand="1"/>
      </w:tblPr>
      <w:tblGrid>
        <w:gridCol w:w="1715"/>
        <w:gridCol w:w="905"/>
        <w:gridCol w:w="996"/>
        <w:gridCol w:w="1086"/>
        <w:gridCol w:w="1087"/>
        <w:gridCol w:w="905"/>
        <w:gridCol w:w="908"/>
        <w:gridCol w:w="1720"/>
      </w:tblGrid>
      <w:tr w:rsidR="00756194" w14:paraId="57DC30E7" w14:textId="77777777">
        <w:trPr>
          <w:trHeight w:val="319"/>
        </w:trPr>
        <w:tc>
          <w:tcPr>
            <w:tcW w:w="1715" w:type="dxa"/>
            <w:tcBorders>
              <w:top w:val="single" w:sz="4" w:space="0" w:color="000000"/>
              <w:left w:val="single" w:sz="4" w:space="0" w:color="000000"/>
              <w:bottom w:val="nil"/>
              <w:right w:val="single" w:sz="4" w:space="0" w:color="000000"/>
            </w:tcBorders>
            <w:shd w:val="clear" w:color="auto" w:fill="FFFFFF"/>
          </w:tcPr>
          <w:p w14:paraId="13B2D50E"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PIT tag antenna</w:t>
            </w:r>
          </w:p>
        </w:tc>
        <w:tc>
          <w:tcPr>
            <w:tcW w:w="5887" w:type="dxa"/>
            <w:gridSpan w:val="6"/>
            <w:tcBorders>
              <w:top w:val="single" w:sz="4" w:space="0" w:color="000000"/>
              <w:left w:val="nil"/>
              <w:bottom w:val="nil"/>
              <w:right w:val="nil"/>
            </w:tcBorders>
            <w:shd w:val="clear" w:color="auto" w:fill="FFFFFF"/>
          </w:tcPr>
          <w:p w14:paraId="4EA42C36"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Daily operational status</w:t>
            </w:r>
          </w:p>
        </w:tc>
        <w:tc>
          <w:tcPr>
            <w:tcW w:w="1720" w:type="dxa"/>
            <w:tcBorders>
              <w:top w:val="single" w:sz="4" w:space="0" w:color="000000"/>
              <w:left w:val="single" w:sz="4" w:space="0" w:color="000000"/>
              <w:bottom w:val="nil"/>
              <w:right w:val="single" w:sz="4" w:space="0" w:color="000000"/>
            </w:tcBorders>
            <w:shd w:val="clear" w:color="auto" w:fill="FFFFFF"/>
            <w:vAlign w:val="bottom"/>
          </w:tcPr>
          <w:p w14:paraId="0B410151"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756194" w14:paraId="7A44C3A0" w14:textId="77777777">
        <w:trPr>
          <w:trHeight w:val="319"/>
        </w:trPr>
        <w:tc>
          <w:tcPr>
            <w:tcW w:w="1715" w:type="dxa"/>
            <w:tcBorders>
              <w:top w:val="nil"/>
              <w:left w:val="single" w:sz="4" w:space="0" w:color="000000"/>
              <w:bottom w:val="nil"/>
              <w:right w:val="single" w:sz="4" w:space="0" w:color="000000"/>
            </w:tcBorders>
            <w:shd w:val="clear" w:color="auto" w:fill="FFFFFF"/>
          </w:tcPr>
          <w:p w14:paraId="354CFBC4"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array</w:t>
            </w:r>
          </w:p>
        </w:tc>
        <w:tc>
          <w:tcPr>
            <w:tcW w:w="1901" w:type="dxa"/>
            <w:gridSpan w:val="2"/>
            <w:tcBorders>
              <w:top w:val="single" w:sz="4" w:space="0" w:color="000000"/>
              <w:left w:val="nil"/>
              <w:bottom w:val="single" w:sz="4" w:space="0" w:color="000000"/>
              <w:right w:val="single" w:sz="4" w:space="0" w:color="000000"/>
            </w:tcBorders>
            <w:shd w:val="clear" w:color="auto" w:fill="FFFFFF"/>
          </w:tcPr>
          <w:p w14:paraId="65634C9E"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Fully functional</w:t>
            </w:r>
          </w:p>
        </w:tc>
        <w:tc>
          <w:tcPr>
            <w:tcW w:w="2173" w:type="dxa"/>
            <w:gridSpan w:val="2"/>
            <w:tcBorders>
              <w:top w:val="single" w:sz="4" w:space="0" w:color="000000"/>
              <w:left w:val="nil"/>
              <w:bottom w:val="single" w:sz="4" w:space="0" w:color="000000"/>
              <w:right w:val="single" w:sz="4" w:space="0" w:color="000000"/>
            </w:tcBorders>
            <w:shd w:val="clear" w:color="auto" w:fill="FFFFFF"/>
          </w:tcPr>
          <w:p w14:paraId="2D7F2F01"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Partially functional</w:t>
            </w:r>
          </w:p>
        </w:tc>
        <w:tc>
          <w:tcPr>
            <w:tcW w:w="1813" w:type="dxa"/>
            <w:gridSpan w:val="2"/>
            <w:tcBorders>
              <w:top w:val="single" w:sz="4" w:space="0" w:color="000000"/>
              <w:left w:val="nil"/>
              <w:bottom w:val="single" w:sz="4" w:space="0" w:color="000000"/>
              <w:right w:val="single" w:sz="4" w:space="0" w:color="000000"/>
            </w:tcBorders>
            <w:shd w:val="clear" w:color="auto" w:fill="FFFFFF"/>
          </w:tcPr>
          <w:p w14:paraId="033AF888"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Non-functional</w:t>
            </w:r>
          </w:p>
        </w:tc>
        <w:tc>
          <w:tcPr>
            <w:tcW w:w="1720" w:type="dxa"/>
            <w:tcBorders>
              <w:top w:val="nil"/>
              <w:left w:val="single" w:sz="4" w:space="0" w:color="000000"/>
              <w:bottom w:val="nil"/>
              <w:right w:val="single" w:sz="4" w:space="0" w:color="000000"/>
            </w:tcBorders>
            <w:shd w:val="clear" w:color="auto" w:fill="FFFFFF"/>
          </w:tcPr>
          <w:p w14:paraId="085D319B"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Overall DE</w:t>
            </w:r>
          </w:p>
        </w:tc>
      </w:tr>
      <w:tr w:rsidR="00756194" w14:paraId="43D16B44" w14:textId="77777777">
        <w:trPr>
          <w:trHeight w:val="319"/>
        </w:trPr>
        <w:tc>
          <w:tcPr>
            <w:tcW w:w="1715" w:type="dxa"/>
            <w:tcBorders>
              <w:top w:val="nil"/>
              <w:left w:val="single" w:sz="4" w:space="0" w:color="000000"/>
              <w:bottom w:val="single" w:sz="4" w:space="0" w:color="000000"/>
              <w:right w:val="single" w:sz="4" w:space="0" w:color="000000"/>
            </w:tcBorders>
            <w:shd w:val="clear" w:color="auto" w:fill="FFFFFF"/>
          </w:tcPr>
          <w:p w14:paraId="3B11CA6D"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(Station ID)</w:t>
            </w:r>
          </w:p>
        </w:tc>
        <w:tc>
          <w:tcPr>
            <w:tcW w:w="905" w:type="dxa"/>
            <w:tcBorders>
              <w:top w:val="nil"/>
              <w:left w:val="nil"/>
              <w:bottom w:val="single" w:sz="4" w:space="0" w:color="000000"/>
              <w:right w:val="single" w:sz="4" w:space="0" w:color="000000"/>
            </w:tcBorders>
            <w:shd w:val="clear" w:color="auto" w:fill="FFFFFF"/>
          </w:tcPr>
          <w:p w14:paraId="348F8526" w14:textId="77777777" w:rsidR="00756194" w:rsidRDefault="00B52496">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w:t>
            </w:r>
          </w:p>
        </w:tc>
        <w:tc>
          <w:tcPr>
            <w:tcW w:w="996" w:type="dxa"/>
            <w:tcBorders>
              <w:top w:val="nil"/>
              <w:left w:val="nil"/>
              <w:bottom w:val="single" w:sz="4" w:space="0" w:color="000000"/>
              <w:right w:val="single" w:sz="4" w:space="0" w:color="000000"/>
            </w:tcBorders>
            <w:shd w:val="clear" w:color="auto" w:fill="FFFFFF"/>
          </w:tcPr>
          <w:p w14:paraId="00F3DC93"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86" w:type="dxa"/>
            <w:tcBorders>
              <w:top w:val="nil"/>
              <w:left w:val="nil"/>
              <w:bottom w:val="single" w:sz="4" w:space="0" w:color="000000"/>
              <w:right w:val="single" w:sz="4" w:space="0" w:color="000000"/>
            </w:tcBorders>
            <w:shd w:val="clear" w:color="auto" w:fill="FFFFFF"/>
          </w:tcPr>
          <w:p w14:paraId="266197BF" w14:textId="77777777" w:rsidR="00756194" w:rsidRDefault="00B52496">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w:t>
            </w:r>
          </w:p>
        </w:tc>
        <w:tc>
          <w:tcPr>
            <w:tcW w:w="1087" w:type="dxa"/>
            <w:tcBorders>
              <w:top w:val="nil"/>
              <w:left w:val="nil"/>
              <w:bottom w:val="single" w:sz="4" w:space="0" w:color="000000"/>
              <w:right w:val="single" w:sz="4" w:space="0" w:color="000000"/>
            </w:tcBorders>
            <w:shd w:val="clear" w:color="auto" w:fill="FFFFFF"/>
          </w:tcPr>
          <w:p w14:paraId="0907318A"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05" w:type="dxa"/>
            <w:tcBorders>
              <w:top w:val="nil"/>
              <w:left w:val="nil"/>
              <w:bottom w:val="single" w:sz="4" w:space="0" w:color="000000"/>
              <w:right w:val="single" w:sz="4" w:space="0" w:color="000000"/>
            </w:tcBorders>
            <w:shd w:val="clear" w:color="auto" w:fill="FFFFFF"/>
          </w:tcPr>
          <w:p w14:paraId="74042E1E" w14:textId="77777777" w:rsidR="00756194" w:rsidRDefault="00B52496">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w:t>
            </w:r>
          </w:p>
        </w:tc>
        <w:tc>
          <w:tcPr>
            <w:tcW w:w="908" w:type="dxa"/>
            <w:tcBorders>
              <w:top w:val="nil"/>
              <w:left w:val="nil"/>
              <w:bottom w:val="single" w:sz="4" w:space="0" w:color="000000"/>
              <w:right w:val="nil"/>
            </w:tcBorders>
            <w:shd w:val="clear" w:color="auto" w:fill="FFFFFF"/>
          </w:tcPr>
          <w:p w14:paraId="5F6A392F"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720" w:type="dxa"/>
            <w:tcBorders>
              <w:top w:val="nil"/>
              <w:left w:val="single" w:sz="4" w:space="0" w:color="000000"/>
              <w:bottom w:val="single" w:sz="4" w:space="0" w:color="000000"/>
              <w:right w:val="single" w:sz="4" w:space="0" w:color="000000"/>
            </w:tcBorders>
            <w:shd w:val="clear" w:color="auto" w:fill="auto"/>
          </w:tcPr>
          <w:p w14:paraId="0920A11C"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756194" w14:paraId="6C993A9A" w14:textId="77777777">
        <w:trPr>
          <w:trHeight w:val="319"/>
        </w:trPr>
        <w:tc>
          <w:tcPr>
            <w:tcW w:w="1715" w:type="dxa"/>
            <w:tcBorders>
              <w:top w:val="nil"/>
              <w:left w:val="single" w:sz="4" w:space="0" w:color="000000"/>
              <w:bottom w:val="single" w:sz="4" w:space="0" w:color="000000"/>
              <w:right w:val="single" w:sz="4" w:space="0" w:color="000000"/>
            </w:tcBorders>
            <w:shd w:val="clear" w:color="auto" w:fill="FFFFFF"/>
          </w:tcPr>
          <w:p w14:paraId="540CDD1A"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Riverine</w:t>
            </w:r>
          </w:p>
        </w:tc>
        <w:tc>
          <w:tcPr>
            <w:tcW w:w="905" w:type="dxa"/>
            <w:tcBorders>
              <w:top w:val="nil"/>
              <w:left w:val="nil"/>
              <w:bottom w:val="single" w:sz="4" w:space="0" w:color="000000"/>
              <w:right w:val="single" w:sz="4" w:space="0" w:color="000000"/>
            </w:tcBorders>
            <w:shd w:val="clear" w:color="auto" w:fill="FFFFFF"/>
          </w:tcPr>
          <w:p w14:paraId="0C8B20A4"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135</w:t>
            </w:r>
          </w:p>
        </w:tc>
        <w:tc>
          <w:tcPr>
            <w:tcW w:w="996" w:type="dxa"/>
            <w:tcBorders>
              <w:top w:val="nil"/>
              <w:left w:val="nil"/>
              <w:bottom w:val="single" w:sz="4" w:space="0" w:color="000000"/>
              <w:right w:val="single" w:sz="4" w:space="0" w:color="000000"/>
            </w:tcBorders>
            <w:shd w:val="clear" w:color="auto" w:fill="FFFFFF"/>
          </w:tcPr>
          <w:p w14:paraId="506FE029"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87.7</w:t>
            </w:r>
          </w:p>
        </w:tc>
        <w:tc>
          <w:tcPr>
            <w:tcW w:w="1086" w:type="dxa"/>
            <w:tcBorders>
              <w:top w:val="nil"/>
              <w:left w:val="nil"/>
              <w:bottom w:val="single" w:sz="4" w:space="0" w:color="000000"/>
              <w:right w:val="single" w:sz="4" w:space="0" w:color="000000"/>
            </w:tcBorders>
            <w:shd w:val="clear" w:color="auto" w:fill="FFFFFF"/>
          </w:tcPr>
          <w:p w14:paraId="6EF761A7"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087" w:type="dxa"/>
            <w:tcBorders>
              <w:top w:val="nil"/>
              <w:left w:val="nil"/>
              <w:bottom w:val="single" w:sz="4" w:space="0" w:color="000000"/>
              <w:right w:val="single" w:sz="4" w:space="0" w:color="000000"/>
            </w:tcBorders>
            <w:shd w:val="clear" w:color="auto" w:fill="FFFFFF"/>
          </w:tcPr>
          <w:p w14:paraId="236A3EED"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11.7</w:t>
            </w:r>
          </w:p>
        </w:tc>
        <w:tc>
          <w:tcPr>
            <w:tcW w:w="905" w:type="dxa"/>
            <w:tcBorders>
              <w:top w:val="nil"/>
              <w:left w:val="nil"/>
              <w:bottom w:val="single" w:sz="4" w:space="0" w:color="000000"/>
              <w:right w:val="single" w:sz="4" w:space="0" w:color="000000"/>
            </w:tcBorders>
            <w:shd w:val="clear" w:color="auto" w:fill="FFFFFF"/>
          </w:tcPr>
          <w:p w14:paraId="3DFCDC4B"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08" w:type="dxa"/>
            <w:tcBorders>
              <w:top w:val="nil"/>
              <w:left w:val="nil"/>
              <w:bottom w:val="single" w:sz="4" w:space="0" w:color="000000"/>
              <w:right w:val="single" w:sz="4" w:space="0" w:color="000000"/>
            </w:tcBorders>
            <w:shd w:val="clear" w:color="auto" w:fill="FFFFFF"/>
          </w:tcPr>
          <w:p w14:paraId="289C0D0D"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0.6</w:t>
            </w:r>
          </w:p>
        </w:tc>
        <w:tc>
          <w:tcPr>
            <w:tcW w:w="1720" w:type="dxa"/>
            <w:tcBorders>
              <w:top w:val="nil"/>
              <w:left w:val="nil"/>
              <w:bottom w:val="single" w:sz="4" w:space="0" w:color="000000"/>
              <w:right w:val="single" w:sz="4" w:space="0" w:color="000000"/>
            </w:tcBorders>
            <w:shd w:val="clear" w:color="auto" w:fill="FFFFFF"/>
          </w:tcPr>
          <w:p w14:paraId="05AD8378"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80.3</w:t>
            </w:r>
          </w:p>
        </w:tc>
      </w:tr>
      <w:tr w:rsidR="00756194" w14:paraId="2588B3A7" w14:textId="77777777">
        <w:trPr>
          <w:trHeight w:val="319"/>
        </w:trPr>
        <w:tc>
          <w:tcPr>
            <w:tcW w:w="1715" w:type="dxa"/>
            <w:tcBorders>
              <w:top w:val="nil"/>
              <w:left w:val="single" w:sz="4" w:space="0" w:color="000000"/>
              <w:bottom w:val="single" w:sz="4" w:space="0" w:color="000000"/>
              <w:right w:val="single" w:sz="4" w:space="0" w:color="000000"/>
            </w:tcBorders>
            <w:shd w:val="clear" w:color="auto" w:fill="FFFFFF"/>
          </w:tcPr>
          <w:p w14:paraId="4D6A25FF"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Interface</w:t>
            </w:r>
          </w:p>
        </w:tc>
        <w:tc>
          <w:tcPr>
            <w:tcW w:w="905" w:type="dxa"/>
            <w:tcBorders>
              <w:top w:val="nil"/>
              <w:left w:val="nil"/>
              <w:bottom w:val="single" w:sz="4" w:space="0" w:color="000000"/>
              <w:right w:val="single" w:sz="4" w:space="0" w:color="000000"/>
            </w:tcBorders>
            <w:shd w:val="clear" w:color="auto" w:fill="FFFFFF"/>
          </w:tcPr>
          <w:p w14:paraId="7C4091CF"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92</w:t>
            </w:r>
          </w:p>
        </w:tc>
        <w:tc>
          <w:tcPr>
            <w:tcW w:w="996" w:type="dxa"/>
            <w:tcBorders>
              <w:top w:val="nil"/>
              <w:left w:val="nil"/>
              <w:bottom w:val="single" w:sz="4" w:space="0" w:color="000000"/>
              <w:right w:val="single" w:sz="4" w:space="0" w:color="000000"/>
            </w:tcBorders>
            <w:shd w:val="clear" w:color="auto" w:fill="FFFFFF"/>
          </w:tcPr>
          <w:p w14:paraId="54269ACC"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59.7</w:t>
            </w:r>
          </w:p>
        </w:tc>
        <w:tc>
          <w:tcPr>
            <w:tcW w:w="1086" w:type="dxa"/>
            <w:tcBorders>
              <w:top w:val="nil"/>
              <w:left w:val="nil"/>
              <w:bottom w:val="single" w:sz="4" w:space="0" w:color="000000"/>
              <w:right w:val="single" w:sz="4" w:space="0" w:color="000000"/>
            </w:tcBorders>
            <w:shd w:val="clear" w:color="auto" w:fill="FFFFFF"/>
          </w:tcPr>
          <w:p w14:paraId="680D73D3"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c>
          <w:tcPr>
            <w:tcW w:w="1087" w:type="dxa"/>
            <w:tcBorders>
              <w:top w:val="nil"/>
              <w:left w:val="nil"/>
              <w:bottom w:val="single" w:sz="4" w:space="0" w:color="000000"/>
              <w:right w:val="single" w:sz="4" w:space="0" w:color="000000"/>
            </w:tcBorders>
            <w:shd w:val="clear" w:color="auto" w:fill="FFFFFF"/>
          </w:tcPr>
          <w:p w14:paraId="67215F2F"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38.3</w:t>
            </w:r>
          </w:p>
        </w:tc>
        <w:tc>
          <w:tcPr>
            <w:tcW w:w="905" w:type="dxa"/>
            <w:tcBorders>
              <w:top w:val="nil"/>
              <w:left w:val="nil"/>
              <w:bottom w:val="single" w:sz="4" w:space="0" w:color="000000"/>
              <w:right w:val="single" w:sz="4" w:space="0" w:color="000000"/>
            </w:tcBorders>
            <w:shd w:val="clear" w:color="auto" w:fill="FFFFFF"/>
          </w:tcPr>
          <w:p w14:paraId="064D7FBF"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08" w:type="dxa"/>
            <w:tcBorders>
              <w:top w:val="nil"/>
              <w:left w:val="nil"/>
              <w:bottom w:val="single" w:sz="4" w:space="0" w:color="000000"/>
              <w:right w:val="single" w:sz="4" w:space="0" w:color="000000"/>
            </w:tcBorders>
            <w:shd w:val="clear" w:color="auto" w:fill="FFFFFF"/>
          </w:tcPr>
          <w:p w14:paraId="662A648D"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720" w:type="dxa"/>
            <w:tcBorders>
              <w:top w:val="nil"/>
              <w:left w:val="nil"/>
              <w:bottom w:val="single" w:sz="4" w:space="0" w:color="000000"/>
              <w:right w:val="single" w:sz="4" w:space="0" w:color="000000"/>
            </w:tcBorders>
            <w:shd w:val="clear" w:color="auto" w:fill="FFFFFF"/>
          </w:tcPr>
          <w:p w14:paraId="03606ED6"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99.4</w:t>
            </w:r>
          </w:p>
        </w:tc>
      </w:tr>
      <w:tr w:rsidR="00756194" w14:paraId="6A4E0D18" w14:textId="77777777">
        <w:trPr>
          <w:trHeight w:val="319"/>
        </w:trPr>
        <w:tc>
          <w:tcPr>
            <w:tcW w:w="1715" w:type="dxa"/>
            <w:tcBorders>
              <w:top w:val="nil"/>
              <w:left w:val="single" w:sz="4" w:space="0" w:color="000000"/>
              <w:bottom w:val="single" w:sz="4" w:space="0" w:color="000000"/>
              <w:right w:val="single" w:sz="4" w:space="0" w:color="000000"/>
            </w:tcBorders>
            <w:shd w:val="clear" w:color="auto" w:fill="FFFFFF"/>
          </w:tcPr>
          <w:p w14:paraId="0860D215"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Lagoon</w:t>
            </w:r>
          </w:p>
        </w:tc>
        <w:tc>
          <w:tcPr>
            <w:tcW w:w="905" w:type="dxa"/>
            <w:tcBorders>
              <w:top w:val="nil"/>
              <w:left w:val="nil"/>
              <w:bottom w:val="single" w:sz="4" w:space="0" w:color="000000"/>
              <w:right w:val="single" w:sz="4" w:space="0" w:color="000000"/>
            </w:tcBorders>
            <w:shd w:val="clear" w:color="auto" w:fill="FFFFFF"/>
          </w:tcPr>
          <w:p w14:paraId="05681CE4"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82</w:t>
            </w:r>
          </w:p>
        </w:tc>
        <w:tc>
          <w:tcPr>
            <w:tcW w:w="996" w:type="dxa"/>
            <w:tcBorders>
              <w:top w:val="nil"/>
              <w:left w:val="nil"/>
              <w:bottom w:val="single" w:sz="4" w:space="0" w:color="000000"/>
              <w:right w:val="single" w:sz="4" w:space="0" w:color="000000"/>
            </w:tcBorders>
            <w:shd w:val="clear" w:color="auto" w:fill="FFFFFF"/>
          </w:tcPr>
          <w:p w14:paraId="0628FF38"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53.2</w:t>
            </w:r>
          </w:p>
        </w:tc>
        <w:tc>
          <w:tcPr>
            <w:tcW w:w="1086" w:type="dxa"/>
            <w:tcBorders>
              <w:top w:val="nil"/>
              <w:left w:val="nil"/>
              <w:bottom w:val="single" w:sz="4" w:space="0" w:color="000000"/>
              <w:right w:val="single" w:sz="4" w:space="0" w:color="000000"/>
            </w:tcBorders>
            <w:shd w:val="clear" w:color="auto" w:fill="FFFFFF"/>
          </w:tcPr>
          <w:p w14:paraId="6DD3B725"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65</w:t>
            </w:r>
          </w:p>
        </w:tc>
        <w:tc>
          <w:tcPr>
            <w:tcW w:w="1087" w:type="dxa"/>
            <w:tcBorders>
              <w:top w:val="nil"/>
              <w:left w:val="nil"/>
              <w:bottom w:val="single" w:sz="4" w:space="0" w:color="000000"/>
              <w:right w:val="single" w:sz="4" w:space="0" w:color="000000"/>
            </w:tcBorders>
            <w:shd w:val="clear" w:color="auto" w:fill="FFFFFF"/>
          </w:tcPr>
          <w:p w14:paraId="6E26024C"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p>
        </w:tc>
        <w:tc>
          <w:tcPr>
            <w:tcW w:w="905" w:type="dxa"/>
            <w:tcBorders>
              <w:top w:val="nil"/>
              <w:left w:val="nil"/>
              <w:bottom w:val="single" w:sz="4" w:space="0" w:color="000000"/>
              <w:right w:val="single" w:sz="4" w:space="0" w:color="000000"/>
            </w:tcBorders>
            <w:shd w:val="clear" w:color="auto" w:fill="FFFFFF"/>
          </w:tcPr>
          <w:p w14:paraId="43330130"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08" w:type="dxa"/>
            <w:tcBorders>
              <w:top w:val="nil"/>
              <w:left w:val="nil"/>
              <w:bottom w:val="single" w:sz="4" w:space="0" w:color="000000"/>
              <w:right w:val="single" w:sz="4" w:space="0" w:color="000000"/>
            </w:tcBorders>
            <w:shd w:val="clear" w:color="auto" w:fill="FFFFFF"/>
          </w:tcPr>
          <w:p w14:paraId="16C177B7"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1720" w:type="dxa"/>
            <w:tcBorders>
              <w:top w:val="nil"/>
              <w:left w:val="nil"/>
              <w:bottom w:val="single" w:sz="4" w:space="0" w:color="000000"/>
              <w:right w:val="single" w:sz="4" w:space="0" w:color="000000"/>
            </w:tcBorders>
            <w:shd w:val="clear" w:color="auto" w:fill="FFFFFF"/>
          </w:tcPr>
          <w:p w14:paraId="171A62D4"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bl>
    <w:p w14:paraId="4F5946C2" w14:textId="77777777" w:rsidR="00756194" w:rsidRDefault="00B52496">
      <w:pPr>
        <w:rPr>
          <w:rFonts w:ascii="Times New Roman" w:eastAsia="Times New Roman" w:hAnsi="Times New Roman" w:cs="Times New Roman"/>
          <w:b/>
          <w:sz w:val="24"/>
          <w:szCs w:val="24"/>
        </w:rPr>
      </w:pPr>
      <w:r>
        <w:br w:type="page"/>
      </w:r>
    </w:p>
    <w:p w14:paraId="2EFC4FAD" w14:textId="77777777" w:rsidR="00756194" w:rsidRDefault="00B52496">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Supplemental Figures: </w:t>
      </w:r>
    </w:p>
    <w:p w14:paraId="20897977" w14:textId="77777777" w:rsidR="00756194" w:rsidRDefault="00B52496">
      <w:pPr>
        <w:spacing w:line="480" w:lineRule="auto"/>
        <w:jc w:val="center"/>
        <w:rPr>
          <w:rFonts w:ascii="Times New Roman" w:eastAsia="Times New Roman" w:hAnsi="Times New Roman" w:cs="Times New Roman"/>
          <w:b/>
          <w:sz w:val="24"/>
          <w:szCs w:val="24"/>
        </w:rPr>
      </w:pPr>
      <w:r>
        <w:rPr>
          <w:noProof/>
        </w:rPr>
        <w:drawing>
          <wp:inline distT="0" distB="0" distL="0" distR="0" wp14:anchorId="5687A5F2" wp14:editId="2CF619C5">
            <wp:extent cx="3780707" cy="6043613"/>
            <wp:effectExtent l="0" t="0" r="0" b="0"/>
            <wp:docPr id="4" name="image1.jpg" descr="Diagram&#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jpg" descr="Diagram&#10;&#10;Description automatically generated with low confidence"/>
                    <pic:cNvPicPr preferRelativeResize="0"/>
                  </pic:nvPicPr>
                  <pic:blipFill>
                    <a:blip r:embed="rId7"/>
                    <a:srcRect/>
                    <a:stretch>
                      <a:fillRect/>
                    </a:stretch>
                  </pic:blipFill>
                  <pic:spPr>
                    <a:xfrm>
                      <a:off x="0" y="0"/>
                      <a:ext cx="3780707" cy="6043613"/>
                    </a:xfrm>
                    <a:prstGeom prst="rect">
                      <a:avLst/>
                    </a:prstGeom>
                    <a:ln/>
                  </pic:spPr>
                </pic:pic>
              </a:graphicData>
            </a:graphic>
          </wp:inline>
        </w:drawing>
      </w:r>
    </w:p>
    <w:p w14:paraId="550586FF" w14:textId="77777777" w:rsidR="00756194" w:rsidRDefault="00B52496">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Fig. S2</w:t>
      </w:r>
      <w:r>
        <w:rPr>
          <w:rFonts w:ascii="Times New Roman" w:eastAsia="Times New Roman" w:hAnsi="Times New Roman" w:cs="Times New Roman"/>
          <w:sz w:val="24"/>
          <w:szCs w:val="24"/>
        </w:rPr>
        <w:t xml:space="preserve"> Number of distinct juvenile steelhead movement events detected each day at the Riverine (a), Interface (b), and Lagoon PIT tag antenna arrays (c) operated in the Scott Creek (CA, USA) estuary/lagoon and lower mainstem creek, across the four environmental </w:t>
      </w:r>
      <w:r>
        <w:rPr>
          <w:rFonts w:ascii="Times New Roman" w:eastAsia="Times New Roman" w:hAnsi="Times New Roman" w:cs="Times New Roman"/>
          <w:sz w:val="24"/>
          <w:szCs w:val="24"/>
        </w:rPr>
        <w:t xml:space="preserve">phases identified during the study period. Blue bars denote upstream movement, orange bars denote downstream movement, and black bars denote ambiguous movement (bin width = 1 day). Environmental phase dates (2018) were 20 June–12 July (Phase 1), 13 July–8 </w:t>
      </w:r>
      <w:r>
        <w:rPr>
          <w:rFonts w:ascii="Times New Roman" w:eastAsia="Times New Roman" w:hAnsi="Times New Roman" w:cs="Times New Roman"/>
          <w:sz w:val="24"/>
          <w:szCs w:val="24"/>
        </w:rPr>
        <w:t xml:space="preserve">August (Phase 2), 9 August–7 September (Phase 3), 8 September–20 November (Phase 4). Note bars are stacked </w:t>
      </w:r>
      <w:proofErr w:type="spellStart"/>
      <w:r>
        <w:rPr>
          <w:rFonts w:ascii="Times New Roman" w:eastAsia="Times New Roman" w:hAnsi="Times New Roman" w:cs="Times New Roman"/>
          <w:sz w:val="24"/>
          <w:szCs w:val="24"/>
        </w:rPr>
        <w:t>ontop</w:t>
      </w:r>
      <w:proofErr w:type="spellEnd"/>
      <w:r>
        <w:rPr>
          <w:rFonts w:ascii="Times New Roman" w:eastAsia="Times New Roman" w:hAnsi="Times New Roman" w:cs="Times New Roman"/>
          <w:sz w:val="24"/>
          <w:szCs w:val="24"/>
        </w:rPr>
        <w:t xml:space="preserve"> of each other and there are different </w:t>
      </w:r>
      <w:r>
        <w:rPr>
          <w:rFonts w:ascii="Times New Roman" w:eastAsia="Times New Roman" w:hAnsi="Times New Roman" w:cs="Times New Roman"/>
          <w:i/>
          <w:sz w:val="24"/>
          <w:szCs w:val="24"/>
        </w:rPr>
        <w:t>y</w:t>
      </w:r>
      <w:r>
        <w:rPr>
          <w:rFonts w:ascii="Times New Roman" w:eastAsia="Times New Roman" w:hAnsi="Times New Roman" w:cs="Times New Roman"/>
          <w:sz w:val="24"/>
          <w:szCs w:val="24"/>
        </w:rPr>
        <w:t xml:space="preserve">-axis scales in each panel. </w:t>
      </w:r>
    </w:p>
    <w:p w14:paraId="5018CA64" w14:textId="77777777" w:rsidR="00756194" w:rsidRDefault="00B52496">
      <w:pPr>
        <w:spacing w:line="480" w:lineRule="auto"/>
        <w:jc w:val="center"/>
        <w:rPr>
          <w:rFonts w:ascii="Times New Roman" w:eastAsia="Times New Roman" w:hAnsi="Times New Roman" w:cs="Times New Roman"/>
          <w:sz w:val="24"/>
          <w:szCs w:val="24"/>
        </w:rPr>
      </w:pPr>
      <w:r>
        <w:rPr>
          <w:noProof/>
        </w:rPr>
        <w:lastRenderedPageBreak/>
        <w:drawing>
          <wp:inline distT="0" distB="0" distL="0" distR="0" wp14:anchorId="784760C5" wp14:editId="65586D56">
            <wp:extent cx="4946770" cy="4946770"/>
            <wp:effectExtent l="0" t="0" r="0" b="0"/>
            <wp:docPr id="5" name="image2.jpg" descr="Diagram, engineer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Diagram, engineering drawing&#10;&#10;Description automatically generated"/>
                    <pic:cNvPicPr preferRelativeResize="0"/>
                  </pic:nvPicPr>
                  <pic:blipFill>
                    <a:blip r:embed="rId8"/>
                    <a:srcRect/>
                    <a:stretch>
                      <a:fillRect/>
                    </a:stretch>
                  </pic:blipFill>
                  <pic:spPr>
                    <a:xfrm>
                      <a:off x="0" y="0"/>
                      <a:ext cx="4946770" cy="4946770"/>
                    </a:xfrm>
                    <a:prstGeom prst="rect">
                      <a:avLst/>
                    </a:prstGeom>
                    <a:ln/>
                  </pic:spPr>
                </pic:pic>
              </a:graphicData>
            </a:graphic>
          </wp:inline>
        </w:drawing>
      </w:r>
    </w:p>
    <w:p w14:paraId="62192B6D" w14:textId="77777777" w:rsidR="00756194" w:rsidRDefault="00B52496">
      <w:pPr>
        <w:spacing w:line="240" w:lineRule="auto"/>
        <w:rPr>
          <w:rFonts w:ascii="Times New Roman" w:eastAsia="Times New Roman" w:hAnsi="Times New Roman" w:cs="Times New Roman"/>
          <w:sz w:val="24"/>
          <w:szCs w:val="24"/>
        </w:rPr>
      </w:pPr>
      <w:bookmarkStart w:id="1" w:name="_heading=h.30j0zll" w:colFirst="0" w:colLast="0"/>
      <w:bookmarkEnd w:id="1"/>
      <w:r>
        <w:rPr>
          <w:rFonts w:ascii="Times New Roman" w:eastAsia="Times New Roman" w:hAnsi="Times New Roman" w:cs="Times New Roman"/>
          <w:b/>
          <w:sz w:val="24"/>
          <w:szCs w:val="24"/>
        </w:rPr>
        <w:t>Fig. S3</w:t>
      </w:r>
      <w:r>
        <w:rPr>
          <w:rFonts w:ascii="Times New Roman" w:eastAsia="Times New Roman" w:hAnsi="Times New Roman" w:cs="Times New Roman"/>
          <w:sz w:val="24"/>
          <w:szCs w:val="24"/>
        </w:rPr>
        <w:t xml:space="preserve"> Histograms of ambiguous juvenile steelhead movement events (i.e., single loop detections) at the Scott Creek (CA, USA) Lagoon PIT tag antenna array (Lagoon Array) relative to sunrise (left panels; a, c, e, g,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and sunset (right panels; b, d, f, h,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du</w:t>
      </w:r>
      <w:r>
        <w:rPr>
          <w:rFonts w:ascii="Times New Roman" w:eastAsia="Times New Roman" w:hAnsi="Times New Roman" w:cs="Times New Roman"/>
          <w:sz w:val="24"/>
          <w:szCs w:val="24"/>
        </w:rPr>
        <w:t>ring each environmental phase (panel rows). Bin width = 0.25 hour. Dark background shading in each panel denotes nighttime, light shading represents dawn or dusk, and the unshaded region indicates daylight hours. Environmental phase dates (2018) were 20 Ju</w:t>
      </w:r>
      <w:r>
        <w:rPr>
          <w:rFonts w:ascii="Times New Roman" w:eastAsia="Times New Roman" w:hAnsi="Times New Roman" w:cs="Times New Roman"/>
          <w:sz w:val="24"/>
          <w:szCs w:val="24"/>
        </w:rPr>
        <w:t>ne–12 July (Phase 1), 13 July–8 August (Phase 2), 9 August–7 September (Phase 3), 8 September–20 November (Phase 4)</w:t>
      </w:r>
    </w:p>
    <w:p w14:paraId="7AA3F146" w14:textId="77777777" w:rsidR="00756194" w:rsidRDefault="00756194">
      <w:pPr>
        <w:spacing w:line="240" w:lineRule="auto"/>
        <w:rPr>
          <w:rFonts w:ascii="Times New Roman" w:eastAsia="Times New Roman" w:hAnsi="Times New Roman" w:cs="Times New Roman"/>
          <w:b/>
          <w:sz w:val="24"/>
          <w:szCs w:val="24"/>
        </w:rPr>
      </w:pPr>
    </w:p>
    <w:p w14:paraId="7E6C1438" w14:textId="77777777" w:rsidR="00756194" w:rsidRDefault="00B52496">
      <w:pPr>
        <w:rPr>
          <w:rFonts w:ascii="Times New Roman" w:eastAsia="Times New Roman" w:hAnsi="Times New Roman" w:cs="Times New Roman"/>
          <w:b/>
          <w:sz w:val="24"/>
          <w:szCs w:val="24"/>
        </w:rPr>
      </w:pPr>
      <w:r>
        <w:br w:type="page"/>
      </w:r>
    </w:p>
    <w:p w14:paraId="1350AA0C" w14:textId="77777777" w:rsidR="00756194" w:rsidRDefault="00B5249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Supplemental References:</w:t>
      </w:r>
    </w:p>
    <w:p w14:paraId="18985206"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Adams, A. J., R. K. Wolfe, W. E. Pine, and B. L. Thornton. 2006. Efficacy of PIT tags and an autonomous antenna </w:t>
      </w:r>
      <w:r>
        <w:rPr>
          <w:rFonts w:ascii="Times New Roman" w:eastAsia="Times New Roman" w:hAnsi="Times New Roman" w:cs="Times New Roman"/>
          <w:sz w:val="21"/>
          <w:szCs w:val="21"/>
        </w:rPr>
        <w:t xml:space="preserve">system to study the juvenile life stage of an estuarine-dependent fish. </w:t>
      </w:r>
      <w:r>
        <w:rPr>
          <w:rFonts w:ascii="Times New Roman" w:eastAsia="Times New Roman" w:hAnsi="Times New Roman" w:cs="Times New Roman"/>
          <w:i/>
          <w:sz w:val="21"/>
          <w:szCs w:val="21"/>
        </w:rPr>
        <w:t>Estuaries and Coasts</w:t>
      </w:r>
      <w:r>
        <w:rPr>
          <w:rFonts w:ascii="Times New Roman" w:eastAsia="Times New Roman" w:hAnsi="Times New Roman" w:cs="Times New Roman"/>
          <w:sz w:val="21"/>
          <w:szCs w:val="21"/>
        </w:rPr>
        <w:t xml:space="preserve"> 29:311–317. </w:t>
      </w:r>
    </w:p>
    <w:p w14:paraId="268F647B" w14:textId="77777777" w:rsidR="00756194" w:rsidRDefault="00B52496">
      <w:pPr>
        <w:widowControl w:val="0"/>
        <w:spacing w:line="240" w:lineRule="auto"/>
        <w:ind w:left="480" w:hanging="480"/>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Aymes</w:t>
      </w:r>
      <w:proofErr w:type="spellEnd"/>
      <w:r>
        <w:rPr>
          <w:rFonts w:ascii="Times New Roman" w:eastAsia="Times New Roman" w:hAnsi="Times New Roman" w:cs="Times New Roman"/>
          <w:sz w:val="21"/>
          <w:szCs w:val="21"/>
        </w:rPr>
        <w:t>, J. C. and J. Rives. 2009. Detection efficiency of multiplexed passive integrated transponder antennas is influenced by environmental conditions</w:t>
      </w:r>
      <w:r>
        <w:rPr>
          <w:rFonts w:ascii="Times New Roman" w:eastAsia="Times New Roman" w:hAnsi="Times New Roman" w:cs="Times New Roman"/>
          <w:sz w:val="21"/>
          <w:szCs w:val="21"/>
        </w:rPr>
        <w:t xml:space="preserve"> and fish swimming </w:t>
      </w:r>
      <w:proofErr w:type="spellStart"/>
      <w:r>
        <w:rPr>
          <w:rFonts w:ascii="Times New Roman" w:eastAsia="Times New Roman" w:hAnsi="Times New Roman" w:cs="Times New Roman"/>
          <w:sz w:val="21"/>
          <w:szCs w:val="21"/>
        </w:rPr>
        <w:t>behaviour</w:t>
      </w:r>
      <w:proofErr w:type="spellEnd"/>
      <w:r>
        <w:rPr>
          <w:rFonts w:ascii="Times New Roman" w:eastAsia="Times New Roman" w:hAnsi="Times New Roman" w:cs="Times New Roman"/>
          <w:sz w:val="21"/>
          <w:szCs w:val="21"/>
        </w:rPr>
        <w:t xml:space="preserve">. </w:t>
      </w:r>
      <w:r>
        <w:rPr>
          <w:rFonts w:ascii="Times New Roman" w:eastAsia="Times New Roman" w:hAnsi="Times New Roman" w:cs="Times New Roman"/>
          <w:i/>
          <w:sz w:val="21"/>
          <w:szCs w:val="21"/>
        </w:rPr>
        <w:t>Ecology of Freshwater Fish</w:t>
      </w:r>
      <w:r>
        <w:rPr>
          <w:rFonts w:ascii="Times New Roman" w:eastAsia="Times New Roman" w:hAnsi="Times New Roman" w:cs="Times New Roman"/>
          <w:sz w:val="21"/>
          <w:szCs w:val="21"/>
        </w:rPr>
        <w:t xml:space="preserve"> 18:507–513. </w:t>
      </w:r>
    </w:p>
    <w:p w14:paraId="660E9447"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Barbour, A. B., A. J. Adams, D. C. Behringer, T. </w:t>
      </w:r>
      <w:proofErr w:type="spellStart"/>
      <w:r>
        <w:rPr>
          <w:rFonts w:ascii="Times New Roman" w:eastAsia="Times New Roman" w:hAnsi="Times New Roman" w:cs="Times New Roman"/>
          <w:sz w:val="21"/>
          <w:szCs w:val="21"/>
        </w:rPr>
        <w:t>Yess</w:t>
      </w:r>
      <w:proofErr w:type="spellEnd"/>
      <w:r>
        <w:rPr>
          <w:rFonts w:ascii="Times New Roman" w:eastAsia="Times New Roman" w:hAnsi="Times New Roman" w:cs="Times New Roman"/>
          <w:sz w:val="21"/>
          <w:szCs w:val="21"/>
        </w:rPr>
        <w:t xml:space="preserve">, and R.K. Wolfe. 2010. PIT tag antenna arrays as fishery monitoring tools in tropical environments. </w:t>
      </w:r>
      <w:r>
        <w:rPr>
          <w:rFonts w:ascii="Times New Roman" w:eastAsia="Times New Roman" w:hAnsi="Times New Roman" w:cs="Times New Roman"/>
          <w:i/>
          <w:sz w:val="21"/>
          <w:szCs w:val="21"/>
        </w:rPr>
        <w:t>Proceedings of the 63rd Gulf and</w:t>
      </w:r>
      <w:r>
        <w:rPr>
          <w:rFonts w:ascii="Times New Roman" w:eastAsia="Times New Roman" w:hAnsi="Times New Roman" w:cs="Times New Roman"/>
          <w:i/>
          <w:sz w:val="21"/>
          <w:szCs w:val="21"/>
        </w:rPr>
        <w:t xml:space="preserve"> Caribbean Fisheries Institute</w:t>
      </w:r>
      <w:r>
        <w:rPr>
          <w:rFonts w:ascii="Times New Roman" w:eastAsia="Times New Roman" w:hAnsi="Times New Roman" w:cs="Times New Roman"/>
          <w:sz w:val="21"/>
          <w:szCs w:val="21"/>
        </w:rPr>
        <w:t xml:space="preserve"> 63:118–124.</w:t>
      </w:r>
    </w:p>
    <w:p w14:paraId="585B6094"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Bond, M. H., C. V. Hanson, R. </w:t>
      </w:r>
      <w:proofErr w:type="spellStart"/>
      <w:r>
        <w:rPr>
          <w:rFonts w:ascii="Times New Roman" w:eastAsia="Times New Roman" w:hAnsi="Times New Roman" w:cs="Times New Roman"/>
          <w:sz w:val="21"/>
          <w:szCs w:val="21"/>
        </w:rPr>
        <w:t>Baertsch</w:t>
      </w:r>
      <w:proofErr w:type="spellEnd"/>
      <w:r>
        <w:rPr>
          <w:rFonts w:ascii="Times New Roman" w:eastAsia="Times New Roman" w:hAnsi="Times New Roman" w:cs="Times New Roman"/>
          <w:sz w:val="21"/>
          <w:szCs w:val="21"/>
        </w:rPr>
        <w:t xml:space="preserve">, S. A. Hayes, and R. B. MacFarlane. 2007. A new low cost in-stream antenna system for tracking passive integrated transponder (PIT) tagged fish in small streams. </w:t>
      </w:r>
      <w:r>
        <w:rPr>
          <w:rFonts w:ascii="Times New Roman" w:eastAsia="Times New Roman" w:hAnsi="Times New Roman" w:cs="Times New Roman"/>
          <w:i/>
          <w:sz w:val="21"/>
          <w:szCs w:val="21"/>
        </w:rPr>
        <w:t>Transactions</w:t>
      </w:r>
      <w:r>
        <w:rPr>
          <w:rFonts w:ascii="Times New Roman" w:eastAsia="Times New Roman" w:hAnsi="Times New Roman" w:cs="Times New Roman"/>
          <w:i/>
          <w:sz w:val="21"/>
          <w:szCs w:val="21"/>
        </w:rPr>
        <w:t xml:space="preserve"> of the American Fisheries Society</w:t>
      </w:r>
      <w:r>
        <w:rPr>
          <w:rFonts w:ascii="Times New Roman" w:eastAsia="Times New Roman" w:hAnsi="Times New Roman" w:cs="Times New Roman"/>
          <w:sz w:val="21"/>
          <w:szCs w:val="21"/>
        </w:rPr>
        <w:t xml:space="preserve"> 136:562–566. </w:t>
      </w:r>
    </w:p>
    <w:p w14:paraId="4494E01D"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Connolly, P. J. 2010. Guidelines for calculating and enhancing detection efficiency of PIT tag interrogation systems. Chapter 7. In: Tagging, telemetry and marking measures for monitoring fish populations—A compendium of new and recent science for use in i</w:t>
      </w:r>
      <w:r>
        <w:rPr>
          <w:rFonts w:ascii="Times New Roman" w:eastAsia="Times New Roman" w:hAnsi="Times New Roman" w:cs="Times New Roman"/>
          <w:sz w:val="21"/>
          <w:szCs w:val="21"/>
        </w:rPr>
        <w:t>nforming technique and decision modalities: Pacific Northwest Aquatic Monitoring Partnership Special Publication 2010-002. (Eds K.S. Wolf &amp; J.S. O’Neal). Available at https://www.usbr.gov/pn/fcrps/rme/reports/uppercolumbia/Connolly_2010_Guidelines%20to%20i</w:t>
      </w:r>
      <w:r>
        <w:rPr>
          <w:rFonts w:ascii="Times New Roman" w:eastAsia="Times New Roman" w:hAnsi="Times New Roman" w:cs="Times New Roman"/>
          <w:sz w:val="21"/>
          <w:szCs w:val="21"/>
        </w:rPr>
        <w:t>ndirectly%20measure%20and%20enhance%20detection%20efficiency%20of%20PIT%20tag%20interrogation.pdf. Last accessed 1 October 2021.</w:t>
      </w:r>
    </w:p>
    <w:p w14:paraId="1E6683EA"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Connolly, P. J., I. G. </w:t>
      </w:r>
      <w:proofErr w:type="spellStart"/>
      <w:r>
        <w:rPr>
          <w:rFonts w:ascii="Times New Roman" w:eastAsia="Times New Roman" w:hAnsi="Times New Roman" w:cs="Times New Roman"/>
          <w:sz w:val="21"/>
          <w:szCs w:val="21"/>
        </w:rPr>
        <w:t>Jezorek</w:t>
      </w:r>
      <w:proofErr w:type="spellEnd"/>
      <w:r>
        <w:rPr>
          <w:rFonts w:ascii="Times New Roman" w:eastAsia="Times New Roman" w:hAnsi="Times New Roman" w:cs="Times New Roman"/>
          <w:sz w:val="21"/>
          <w:szCs w:val="21"/>
        </w:rPr>
        <w:t>, K. D. Martens, and E. F. Prentice. 2008. Measuring the performance of two stationary interrogat</w:t>
      </w:r>
      <w:r>
        <w:rPr>
          <w:rFonts w:ascii="Times New Roman" w:eastAsia="Times New Roman" w:hAnsi="Times New Roman" w:cs="Times New Roman"/>
          <w:sz w:val="21"/>
          <w:szCs w:val="21"/>
        </w:rPr>
        <w:t xml:space="preserve">ion systems for detecting downstream and upstream movement of PIT-tagged salmonids. </w:t>
      </w:r>
      <w:r>
        <w:rPr>
          <w:rFonts w:ascii="Times New Roman" w:eastAsia="Times New Roman" w:hAnsi="Times New Roman" w:cs="Times New Roman"/>
          <w:i/>
          <w:sz w:val="21"/>
          <w:szCs w:val="21"/>
        </w:rPr>
        <w:t>North American Journal of Fisheries Management</w:t>
      </w:r>
      <w:r>
        <w:rPr>
          <w:rFonts w:ascii="Times New Roman" w:eastAsia="Times New Roman" w:hAnsi="Times New Roman" w:cs="Times New Roman"/>
          <w:sz w:val="21"/>
          <w:szCs w:val="21"/>
        </w:rPr>
        <w:t xml:space="preserve"> 28:402–417.</w:t>
      </w:r>
    </w:p>
    <w:p w14:paraId="5DDF7781" w14:textId="77777777" w:rsidR="00756194" w:rsidRDefault="00B52496">
      <w:pPr>
        <w:widowControl w:val="0"/>
        <w:spacing w:line="240" w:lineRule="auto"/>
        <w:ind w:left="450" w:hanging="45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Frechette, D., W. H. Satterthwaite, A.-M. K. Osterback, and S. A. Hayes. 2016. Steelhead abundance in seasonally </w:t>
      </w:r>
      <w:r>
        <w:rPr>
          <w:rFonts w:ascii="Times New Roman" w:eastAsia="Times New Roman" w:hAnsi="Times New Roman" w:cs="Times New Roman"/>
          <w:sz w:val="21"/>
          <w:szCs w:val="21"/>
        </w:rPr>
        <w:t xml:space="preserve">closed estuaries estimated using mark recapture methods. U.S. Dept. Commerce. </w:t>
      </w:r>
      <w:r>
        <w:rPr>
          <w:rFonts w:ascii="Times New Roman" w:eastAsia="Times New Roman" w:hAnsi="Times New Roman" w:cs="Times New Roman"/>
          <w:i/>
          <w:sz w:val="21"/>
          <w:szCs w:val="21"/>
        </w:rPr>
        <w:t>NOAA Technical Memorandum</w:t>
      </w:r>
      <w:r>
        <w:rPr>
          <w:rFonts w:ascii="Times New Roman" w:eastAsia="Times New Roman" w:hAnsi="Times New Roman" w:cs="Times New Roman"/>
          <w:sz w:val="21"/>
          <w:szCs w:val="21"/>
        </w:rPr>
        <w:t xml:space="preserve"> NOAA-TM-NMFS-SWFSC-555.</w:t>
      </w:r>
    </w:p>
    <w:p w14:paraId="60F88559" w14:textId="77777777" w:rsidR="00756194" w:rsidRDefault="00B52496">
      <w:pPr>
        <w:widowControl w:val="0"/>
        <w:spacing w:line="240" w:lineRule="auto"/>
        <w:ind w:left="450" w:hanging="450"/>
        <w:rPr>
          <w:rFonts w:ascii="Times New Roman" w:eastAsia="Times New Roman" w:hAnsi="Times New Roman" w:cs="Times New Roman"/>
          <w:sz w:val="21"/>
          <w:szCs w:val="21"/>
        </w:rPr>
      </w:pPr>
      <w:r>
        <w:rPr>
          <w:rFonts w:ascii="Times New Roman" w:eastAsia="Times New Roman" w:hAnsi="Times New Roman" w:cs="Times New Roman"/>
          <w:sz w:val="21"/>
          <w:szCs w:val="21"/>
        </w:rPr>
        <w:t>Hayes, S. A., M. H. Bond, C. V. Hanson, A. W. Jones, A. J. Ammann, J. A. Harding, A. L. Collins, J. Perez, and R. B. MacFarlane.</w:t>
      </w:r>
      <w:r>
        <w:rPr>
          <w:rFonts w:ascii="Times New Roman" w:eastAsia="Times New Roman" w:hAnsi="Times New Roman" w:cs="Times New Roman"/>
          <w:sz w:val="21"/>
          <w:szCs w:val="21"/>
        </w:rPr>
        <w:t xml:space="preserve"> 2011. Down, up, down and “</w:t>
      </w:r>
      <w:proofErr w:type="spellStart"/>
      <w:r>
        <w:rPr>
          <w:rFonts w:ascii="Times New Roman" w:eastAsia="Times New Roman" w:hAnsi="Times New Roman" w:cs="Times New Roman"/>
          <w:sz w:val="21"/>
          <w:szCs w:val="21"/>
        </w:rPr>
        <w:t>smolting</w:t>
      </w:r>
      <w:proofErr w:type="spellEnd"/>
      <w:r>
        <w:rPr>
          <w:rFonts w:ascii="Times New Roman" w:eastAsia="Times New Roman" w:hAnsi="Times New Roman" w:cs="Times New Roman"/>
          <w:sz w:val="21"/>
          <w:szCs w:val="21"/>
        </w:rPr>
        <w:t>” twice? Seasonal movement patterns by juvenile steelhead (</w:t>
      </w:r>
      <w:r>
        <w:rPr>
          <w:rFonts w:ascii="Times New Roman" w:eastAsia="Times New Roman" w:hAnsi="Times New Roman" w:cs="Times New Roman"/>
          <w:i/>
          <w:sz w:val="21"/>
          <w:szCs w:val="21"/>
        </w:rPr>
        <w:t>Oncorhynchus mykiss</w:t>
      </w:r>
      <w:r>
        <w:rPr>
          <w:rFonts w:ascii="Times New Roman" w:eastAsia="Times New Roman" w:hAnsi="Times New Roman" w:cs="Times New Roman"/>
          <w:sz w:val="21"/>
          <w:szCs w:val="21"/>
        </w:rPr>
        <w:t xml:space="preserve">) in a coastal watershed with a bar closing estuary. </w:t>
      </w:r>
      <w:r>
        <w:rPr>
          <w:rFonts w:ascii="Times New Roman" w:eastAsia="Times New Roman" w:hAnsi="Times New Roman" w:cs="Times New Roman"/>
          <w:i/>
          <w:sz w:val="21"/>
          <w:szCs w:val="21"/>
        </w:rPr>
        <w:t xml:space="preserve">Canadian Journal of Fisheries and Aquatic Sciences </w:t>
      </w:r>
      <w:r>
        <w:rPr>
          <w:rFonts w:ascii="Times New Roman" w:eastAsia="Times New Roman" w:hAnsi="Times New Roman" w:cs="Times New Roman"/>
          <w:sz w:val="21"/>
          <w:szCs w:val="21"/>
        </w:rPr>
        <w:t xml:space="preserve">68(8):1341–1350. </w:t>
      </w:r>
    </w:p>
    <w:p w14:paraId="3920A058"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McNatt, R. A., D. L. </w:t>
      </w:r>
      <w:r>
        <w:rPr>
          <w:rFonts w:ascii="Times New Roman" w:eastAsia="Times New Roman" w:hAnsi="Times New Roman" w:cs="Times New Roman"/>
          <w:sz w:val="21"/>
          <w:szCs w:val="21"/>
        </w:rPr>
        <w:t xml:space="preserve">Bottom, and S. A. Hinton. 2016. Residency and movement of juvenile Chinook salmon at multiple spatial scales in a tidal marsh of the Columbia River estuary. </w:t>
      </w:r>
      <w:r>
        <w:rPr>
          <w:rFonts w:ascii="Times New Roman" w:eastAsia="Times New Roman" w:hAnsi="Times New Roman" w:cs="Times New Roman"/>
          <w:i/>
          <w:sz w:val="21"/>
          <w:szCs w:val="21"/>
        </w:rPr>
        <w:t>Transactions of the American Fisheries Society</w:t>
      </w:r>
      <w:r>
        <w:rPr>
          <w:rFonts w:ascii="Times New Roman" w:eastAsia="Times New Roman" w:hAnsi="Times New Roman" w:cs="Times New Roman"/>
          <w:sz w:val="21"/>
          <w:szCs w:val="21"/>
        </w:rPr>
        <w:t xml:space="preserve"> 145:774–785. </w:t>
      </w:r>
    </w:p>
    <w:p w14:paraId="33B410DC" w14:textId="77777777" w:rsidR="00756194" w:rsidRDefault="00B52496">
      <w:pPr>
        <w:widowControl w:val="0"/>
        <w:spacing w:line="240" w:lineRule="auto"/>
        <w:ind w:left="480" w:hanging="480"/>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Meynecke</w:t>
      </w:r>
      <w:proofErr w:type="spellEnd"/>
      <w:r>
        <w:rPr>
          <w:rFonts w:ascii="Times New Roman" w:eastAsia="Times New Roman" w:hAnsi="Times New Roman" w:cs="Times New Roman"/>
          <w:sz w:val="21"/>
          <w:szCs w:val="21"/>
        </w:rPr>
        <w:t xml:space="preserve">, J. -O., G. C. Poole, J. </w:t>
      </w:r>
      <w:proofErr w:type="spellStart"/>
      <w:r>
        <w:rPr>
          <w:rFonts w:ascii="Times New Roman" w:eastAsia="Times New Roman" w:hAnsi="Times New Roman" w:cs="Times New Roman"/>
          <w:sz w:val="21"/>
          <w:szCs w:val="21"/>
        </w:rPr>
        <w:t>Werr</w:t>
      </w:r>
      <w:r>
        <w:rPr>
          <w:rFonts w:ascii="Times New Roman" w:eastAsia="Times New Roman" w:hAnsi="Times New Roman" w:cs="Times New Roman"/>
          <w:sz w:val="21"/>
          <w:szCs w:val="21"/>
        </w:rPr>
        <w:t>y</w:t>
      </w:r>
      <w:proofErr w:type="spellEnd"/>
      <w:r>
        <w:rPr>
          <w:rFonts w:ascii="Times New Roman" w:eastAsia="Times New Roman" w:hAnsi="Times New Roman" w:cs="Times New Roman"/>
          <w:sz w:val="21"/>
          <w:szCs w:val="21"/>
        </w:rPr>
        <w:t xml:space="preserve">, and S. Y. Lee. 2008. Use of PIT tag and underwater video recording in assessing estuarine fish movement in a high intertidal mangrove and salt marsh creek. </w:t>
      </w:r>
      <w:r>
        <w:rPr>
          <w:rFonts w:ascii="Times New Roman" w:eastAsia="Times New Roman" w:hAnsi="Times New Roman" w:cs="Times New Roman"/>
          <w:i/>
          <w:sz w:val="21"/>
          <w:szCs w:val="21"/>
        </w:rPr>
        <w:t>Estuarine, Coastal and Shelf Science</w:t>
      </w:r>
      <w:r>
        <w:rPr>
          <w:rFonts w:ascii="Times New Roman" w:eastAsia="Times New Roman" w:hAnsi="Times New Roman" w:cs="Times New Roman"/>
          <w:sz w:val="21"/>
          <w:szCs w:val="21"/>
        </w:rPr>
        <w:t xml:space="preserve"> 79:168–178. </w:t>
      </w:r>
    </w:p>
    <w:p w14:paraId="1DF786F0"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O’Donnell, M. J., G. E. Horton and B. H. Letche</w:t>
      </w:r>
      <w:r>
        <w:rPr>
          <w:rFonts w:ascii="Times New Roman" w:eastAsia="Times New Roman" w:hAnsi="Times New Roman" w:cs="Times New Roman"/>
          <w:sz w:val="21"/>
          <w:szCs w:val="21"/>
        </w:rPr>
        <w:t xml:space="preserve">r. 2010. Use of portable antennas to estimate abundance of PIT-tagged fish in small streams: Factors affecting detection probability. </w:t>
      </w:r>
      <w:r>
        <w:rPr>
          <w:rFonts w:ascii="Times New Roman" w:eastAsia="Times New Roman" w:hAnsi="Times New Roman" w:cs="Times New Roman"/>
          <w:i/>
          <w:sz w:val="21"/>
          <w:szCs w:val="21"/>
        </w:rPr>
        <w:t>North American Journal of Fisheries Management</w:t>
      </w:r>
      <w:r>
        <w:rPr>
          <w:rFonts w:ascii="Times New Roman" w:eastAsia="Times New Roman" w:hAnsi="Times New Roman" w:cs="Times New Roman"/>
          <w:sz w:val="21"/>
          <w:szCs w:val="21"/>
        </w:rPr>
        <w:t xml:space="preserve"> 30: 323–336. </w:t>
      </w:r>
    </w:p>
    <w:p w14:paraId="3C0075D0" w14:textId="77777777" w:rsidR="00756194" w:rsidRDefault="00B52496">
      <w:pPr>
        <w:widowControl w:val="0"/>
        <w:spacing w:line="240" w:lineRule="auto"/>
        <w:ind w:left="450" w:hanging="45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Osterback, A.-M. K., C. H. Kern, E. A. </w:t>
      </w:r>
      <w:proofErr w:type="spellStart"/>
      <w:r>
        <w:rPr>
          <w:rFonts w:ascii="Times New Roman" w:eastAsia="Times New Roman" w:hAnsi="Times New Roman" w:cs="Times New Roman"/>
          <w:sz w:val="21"/>
          <w:szCs w:val="21"/>
        </w:rPr>
        <w:t>Kanawi</w:t>
      </w:r>
      <w:proofErr w:type="spellEnd"/>
      <w:r>
        <w:rPr>
          <w:rFonts w:ascii="Times New Roman" w:eastAsia="Times New Roman" w:hAnsi="Times New Roman" w:cs="Times New Roman"/>
          <w:sz w:val="21"/>
          <w:szCs w:val="21"/>
        </w:rPr>
        <w:t>, J. M. Perez, a</w:t>
      </w:r>
      <w:r>
        <w:rPr>
          <w:rFonts w:ascii="Times New Roman" w:eastAsia="Times New Roman" w:hAnsi="Times New Roman" w:cs="Times New Roman"/>
          <w:sz w:val="21"/>
          <w:szCs w:val="21"/>
        </w:rPr>
        <w:t>nd J. D. Kiernan. 2018. The effects of early sandbar formation on the abundance and ecology of coho salmon (</w:t>
      </w:r>
      <w:r>
        <w:rPr>
          <w:rFonts w:ascii="Times New Roman" w:eastAsia="Times New Roman" w:hAnsi="Times New Roman" w:cs="Times New Roman"/>
          <w:i/>
          <w:sz w:val="21"/>
          <w:szCs w:val="21"/>
        </w:rPr>
        <w:t>Oncorhynchus kisutch</w:t>
      </w:r>
      <w:r>
        <w:rPr>
          <w:rFonts w:ascii="Times New Roman" w:eastAsia="Times New Roman" w:hAnsi="Times New Roman" w:cs="Times New Roman"/>
          <w:sz w:val="21"/>
          <w:szCs w:val="21"/>
        </w:rPr>
        <w:t>) and steelhead trout (</w:t>
      </w:r>
      <w:r>
        <w:rPr>
          <w:rFonts w:ascii="Times New Roman" w:eastAsia="Times New Roman" w:hAnsi="Times New Roman" w:cs="Times New Roman"/>
          <w:i/>
          <w:sz w:val="21"/>
          <w:szCs w:val="21"/>
        </w:rPr>
        <w:t>Oncorhynchus mykiss</w:t>
      </w:r>
      <w:r>
        <w:rPr>
          <w:rFonts w:ascii="Times New Roman" w:eastAsia="Times New Roman" w:hAnsi="Times New Roman" w:cs="Times New Roman"/>
          <w:sz w:val="21"/>
          <w:szCs w:val="21"/>
        </w:rPr>
        <w:t xml:space="preserve">) in a central California coastal lagoon. </w:t>
      </w:r>
      <w:r>
        <w:rPr>
          <w:rFonts w:ascii="Times New Roman" w:eastAsia="Times New Roman" w:hAnsi="Times New Roman" w:cs="Times New Roman"/>
          <w:i/>
          <w:sz w:val="21"/>
          <w:szCs w:val="21"/>
        </w:rPr>
        <w:t>Canadian Journal of Fisheries and Aquatic Sc</w:t>
      </w:r>
      <w:r>
        <w:rPr>
          <w:rFonts w:ascii="Times New Roman" w:eastAsia="Times New Roman" w:hAnsi="Times New Roman" w:cs="Times New Roman"/>
          <w:i/>
          <w:sz w:val="21"/>
          <w:szCs w:val="21"/>
        </w:rPr>
        <w:t>iences</w:t>
      </w:r>
      <w:r>
        <w:rPr>
          <w:rFonts w:ascii="Times New Roman" w:eastAsia="Times New Roman" w:hAnsi="Times New Roman" w:cs="Times New Roman"/>
          <w:sz w:val="21"/>
          <w:szCs w:val="21"/>
        </w:rPr>
        <w:t xml:space="preserve"> 75(12):2184–2197. </w:t>
      </w:r>
    </w:p>
    <w:p w14:paraId="78B4711E" w14:textId="77777777" w:rsidR="00756194" w:rsidRDefault="00B52496">
      <w:pPr>
        <w:widowControl w:val="0"/>
        <w:spacing w:line="240" w:lineRule="auto"/>
        <w:ind w:left="480" w:hanging="48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Schmidt, T., C. Löb, B. Schreiber, and R. Schulz. 2016. A pitfall with PIT tags: Reduced detection efficiency of half-duplex passive integrated transponders in groups of marked fish. </w:t>
      </w:r>
      <w:r>
        <w:rPr>
          <w:rFonts w:ascii="Times New Roman" w:eastAsia="Times New Roman" w:hAnsi="Times New Roman" w:cs="Times New Roman"/>
          <w:i/>
          <w:sz w:val="21"/>
          <w:szCs w:val="21"/>
        </w:rPr>
        <w:t>North American Journal of Fisheries Management</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36:951–957. </w:t>
      </w:r>
    </w:p>
    <w:p w14:paraId="3D6493D2" w14:textId="77777777" w:rsidR="00756194" w:rsidRDefault="00B52496">
      <w:pPr>
        <w:widowControl w:val="0"/>
        <w:spacing w:line="240" w:lineRule="auto"/>
        <w:ind w:left="480" w:hanging="480"/>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Zydlewski</w:t>
      </w:r>
      <w:proofErr w:type="spellEnd"/>
      <w:r>
        <w:rPr>
          <w:rFonts w:ascii="Times New Roman" w:eastAsia="Times New Roman" w:hAnsi="Times New Roman" w:cs="Times New Roman"/>
          <w:sz w:val="21"/>
          <w:szCs w:val="21"/>
        </w:rPr>
        <w:t xml:space="preserve">, G. B., G. Horton, T. </w:t>
      </w:r>
      <w:proofErr w:type="spellStart"/>
      <w:r>
        <w:rPr>
          <w:rFonts w:ascii="Times New Roman" w:eastAsia="Times New Roman" w:hAnsi="Times New Roman" w:cs="Times New Roman"/>
          <w:sz w:val="21"/>
          <w:szCs w:val="21"/>
        </w:rPr>
        <w:t>Dubreuil</w:t>
      </w:r>
      <w:proofErr w:type="spellEnd"/>
      <w:r>
        <w:rPr>
          <w:rFonts w:ascii="Times New Roman" w:eastAsia="Times New Roman" w:hAnsi="Times New Roman" w:cs="Times New Roman"/>
          <w:sz w:val="21"/>
          <w:szCs w:val="21"/>
        </w:rPr>
        <w:t xml:space="preserve">, B. Letcher, S. Casey, and J. </w:t>
      </w:r>
      <w:proofErr w:type="spellStart"/>
      <w:r>
        <w:rPr>
          <w:rFonts w:ascii="Times New Roman" w:eastAsia="Times New Roman" w:hAnsi="Times New Roman" w:cs="Times New Roman"/>
          <w:sz w:val="21"/>
          <w:szCs w:val="21"/>
        </w:rPr>
        <w:t>Zydlewski</w:t>
      </w:r>
      <w:proofErr w:type="spellEnd"/>
      <w:r>
        <w:rPr>
          <w:rFonts w:ascii="Times New Roman" w:eastAsia="Times New Roman" w:hAnsi="Times New Roman" w:cs="Times New Roman"/>
          <w:sz w:val="21"/>
          <w:szCs w:val="21"/>
        </w:rPr>
        <w:t xml:space="preserve">. 2006. Remote monitoring of fish in small streams: A unified approach using PIT tags. </w:t>
      </w:r>
      <w:r>
        <w:rPr>
          <w:rFonts w:ascii="Times New Roman" w:eastAsia="Times New Roman" w:hAnsi="Times New Roman" w:cs="Times New Roman"/>
          <w:i/>
          <w:sz w:val="21"/>
          <w:szCs w:val="21"/>
        </w:rPr>
        <w:t>Fisheries</w:t>
      </w:r>
      <w:r>
        <w:rPr>
          <w:rFonts w:ascii="Times New Roman" w:eastAsia="Times New Roman" w:hAnsi="Times New Roman" w:cs="Times New Roman"/>
          <w:sz w:val="21"/>
          <w:szCs w:val="21"/>
        </w:rPr>
        <w:t xml:space="preserve"> 31:492–502. </w:t>
      </w:r>
    </w:p>
    <w:sectPr w:rsidR="0075619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6D949" w14:textId="77777777" w:rsidR="00B52496" w:rsidRDefault="00B52496">
      <w:pPr>
        <w:spacing w:line="240" w:lineRule="auto"/>
      </w:pPr>
      <w:r>
        <w:separator/>
      </w:r>
    </w:p>
  </w:endnote>
  <w:endnote w:type="continuationSeparator" w:id="0">
    <w:p w14:paraId="612B90F5" w14:textId="77777777" w:rsidR="00B52496" w:rsidRDefault="00B524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3A322" w14:textId="77777777" w:rsidR="00756194" w:rsidRDefault="00B52496">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C4635C8" w14:textId="77777777" w:rsidR="00756194" w:rsidRDefault="00756194">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88EFA" w14:textId="4D7F354A" w:rsidR="00756194" w:rsidRDefault="00BF787F">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sz w:val="20"/>
        <w:szCs w:val="20"/>
      </w:rPr>
      <w:t>ESM 2-</w:t>
    </w:r>
    <w:r w:rsidR="00B52496">
      <w:rPr>
        <w:rFonts w:ascii="Times New Roman" w:eastAsia="Times New Roman" w:hAnsi="Times New Roman" w:cs="Times New Roman"/>
        <w:color w:val="000000"/>
        <w:sz w:val="20"/>
        <w:szCs w:val="20"/>
      </w:rPr>
      <w:fldChar w:fldCharType="begin"/>
    </w:r>
    <w:r w:rsidR="00B52496">
      <w:rPr>
        <w:rFonts w:ascii="Times New Roman" w:eastAsia="Times New Roman" w:hAnsi="Times New Roman" w:cs="Times New Roman"/>
        <w:color w:val="000000"/>
        <w:sz w:val="20"/>
        <w:szCs w:val="20"/>
      </w:rPr>
      <w:instrText>PAGE</w:instrText>
    </w:r>
    <w:r w:rsidR="00B52496">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w:t>
    </w:r>
    <w:r w:rsidR="00B52496">
      <w:rPr>
        <w:rFonts w:ascii="Times New Roman" w:eastAsia="Times New Roman" w:hAnsi="Times New Roman" w:cs="Times New Roman"/>
        <w:color w:val="000000"/>
        <w:sz w:val="20"/>
        <w:szCs w:val="20"/>
      </w:rPr>
      <w:fldChar w:fldCharType="end"/>
    </w:r>
  </w:p>
  <w:p w14:paraId="4D31F3B2" w14:textId="77777777" w:rsidR="00756194" w:rsidRDefault="00756194">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FFE0" w14:textId="77777777" w:rsidR="00756194" w:rsidRDefault="0075619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67264" w14:textId="77777777" w:rsidR="00B52496" w:rsidRDefault="00B52496">
      <w:pPr>
        <w:spacing w:line="240" w:lineRule="auto"/>
      </w:pPr>
      <w:r>
        <w:separator/>
      </w:r>
    </w:p>
  </w:footnote>
  <w:footnote w:type="continuationSeparator" w:id="0">
    <w:p w14:paraId="0ACF6A69" w14:textId="77777777" w:rsidR="00B52496" w:rsidRDefault="00B524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9ECCB" w14:textId="77777777" w:rsidR="00756194" w:rsidRDefault="00756194">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015F0" w14:textId="77777777" w:rsidR="00756194" w:rsidRDefault="00756194">
    <w:pPr>
      <w:pBdr>
        <w:top w:val="nil"/>
        <w:left w:val="nil"/>
        <w:bottom w:val="nil"/>
        <w:right w:val="nil"/>
        <w:between w:val="nil"/>
      </w:pBdr>
      <w:tabs>
        <w:tab w:val="center" w:pos="4680"/>
        <w:tab w:val="right" w:pos="9360"/>
      </w:tabs>
      <w:spacing w:line="240" w:lineRule="auto"/>
      <w:rPr>
        <w:color w:val="000000"/>
      </w:rPr>
    </w:pPr>
  </w:p>
  <w:p w14:paraId="1B7680FA" w14:textId="77777777" w:rsidR="00756194" w:rsidRDefault="00756194">
    <w:pPr>
      <w:pBdr>
        <w:top w:val="nil"/>
        <w:left w:val="nil"/>
        <w:bottom w:val="nil"/>
        <w:right w:val="nil"/>
        <w:between w:val="nil"/>
      </w:pBdr>
      <w:tabs>
        <w:tab w:val="center" w:pos="4680"/>
        <w:tab w:val="right" w:pos="9360"/>
      </w:tabs>
      <w:spacing w:line="240" w:lineRule="auto"/>
      <w:rPr>
        <w:color w:val="000000"/>
      </w:rPr>
    </w:pPr>
  </w:p>
  <w:p w14:paraId="2C3EBE74" w14:textId="77777777" w:rsidR="00756194" w:rsidRDefault="00756194">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0658B" w14:textId="77777777" w:rsidR="00756194" w:rsidRDefault="00756194">
    <w:pPr>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194"/>
    <w:rsid w:val="00756194"/>
    <w:rsid w:val="00B52496"/>
    <w:rsid w:val="00BF7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09DAE"/>
  <w15:docId w15:val="{1D79C260-B4A6-44DC-9E14-32A3757E8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EB8"/>
  </w:style>
  <w:style w:type="paragraph" w:styleId="Heading1">
    <w:name w:val="heading 1"/>
    <w:basedOn w:val="Normal"/>
    <w:next w:val="Normal"/>
    <w:link w:val="Heading1Char"/>
    <w:uiPriority w:val="9"/>
    <w:qFormat/>
    <w:rsid w:val="00354EB8"/>
    <w:pPr>
      <w:shd w:val="clear" w:color="auto" w:fill="FFFFFF"/>
      <w:tabs>
        <w:tab w:val="left" w:pos="3782"/>
      </w:tabs>
      <w:spacing w:before="75" w:after="75" w:line="480" w:lineRule="auto"/>
      <w:contextualSpacing/>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354EB8"/>
    <w:rPr>
      <w:rFonts w:ascii="Times New Roman" w:eastAsia="Times New Roman" w:hAnsi="Times New Roman" w:cs="Times New Roman"/>
      <w:b/>
      <w:sz w:val="24"/>
      <w:szCs w:val="24"/>
      <w:shd w:val="clear" w:color="auto" w:fill="FFFFFF"/>
      <w:lang w:val="en"/>
    </w:rPr>
  </w:style>
  <w:style w:type="character" w:styleId="Hyperlink">
    <w:name w:val="Hyperlink"/>
    <w:basedOn w:val="DefaultParagraphFont"/>
    <w:uiPriority w:val="99"/>
    <w:unhideWhenUsed/>
    <w:rsid w:val="009B4E61"/>
    <w:rPr>
      <w:color w:val="0563C1" w:themeColor="hyperlink"/>
      <w:u w:val="single"/>
    </w:rPr>
  </w:style>
  <w:style w:type="character" w:customStyle="1" w:styleId="UnresolvedMention1">
    <w:name w:val="Unresolved Mention1"/>
    <w:basedOn w:val="DefaultParagraphFont"/>
    <w:uiPriority w:val="99"/>
    <w:semiHidden/>
    <w:unhideWhenUsed/>
    <w:rsid w:val="009B4E61"/>
    <w:rPr>
      <w:color w:val="605E5C"/>
      <w:shd w:val="clear" w:color="auto" w:fill="E1DFDD"/>
    </w:rPr>
  </w:style>
  <w:style w:type="paragraph" w:styleId="Footer">
    <w:name w:val="footer"/>
    <w:basedOn w:val="Normal"/>
    <w:link w:val="FooterChar"/>
    <w:uiPriority w:val="99"/>
    <w:unhideWhenUsed/>
    <w:rsid w:val="00BB3145"/>
    <w:pPr>
      <w:tabs>
        <w:tab w:val="center" w:pos="4680"/>
        <w:tab w:val="right" w:pos="9360"/>
      </w:tabs>
      <w:spacing w:line="240" w:lineRule="auto"/>
    </w:pPr>
  </w:style>
  <w:style w:type="character" w:customStyle="1" w:styleId="FooterChar">
    <w:name w:val="Footer Char"/>
    <w:basedOn w:val="DefaultParagraphFont"/>
    <w:link w:val="Footer"/>
    <w:uiPriority w:val="99"/>
    <w:rsid w:val="00BB3145"/>
    <w:rPr>
      <w:rFonts w:ascii="Arial" w:eastAsia="Arial" w:hAnsi="Arial" w:cs="Arial"/>
      <w:lang w:val="en"/>
    </w:rPr>
  </w:style>
  <w:style w:type="character" w:styleId="PageNumber">
    <w:name w:val="page number"/>
    <w:basedOn w:val="DefaultParagraphFont"/>
    <w:uiPriority w:val="99"/>
    <w:semiHidden/>
    <w:unhideWhenUsed/>
    <w:rsid w:val="00BB3145"/>
  </w:style>
  <w:style w:type="character" w:styleId="LineNumber">
    <w:name w:val="line number"/>
    <w:basedOn w:val="DefaultParagraphFont"/>
    <w:uiPriority w:val="99"/>
    <w:semiHidden/>
    <w:unhideWhenUsed/>
    <w:rsid w:val="00BB3145"/>
  </w:style>
  <w:style w:type="paragraph" w:styleId="Header">
    <w:name w:val="header"/>
    <w:basedOn w:val="Normal"/>
    <w:link w:val="HeaderChar"/>
    <w:uiPriority w:val="99"/>
    <w:unhideWhenUsed/>
    <w:rsid w:val="00BB3145"/>
    <w:pPr>
      <w:tabs>
        <w:tab w:val="center" w:pos="4680"/>
        <w:tab w:val="right" w:pos="9360"/>
      </w:tabs>
      <w:spacing w:line="240" w:lineRule="auto"/>
    </w:pPr>
  </w:style>
  <w:style w:type="character" w:customStyle="1" w:styleId="HeaderChar">
    <w:name w:val="Header Char"/>
    <w:basedOn w:val="DefaultParagraphFont"/>
    <w:link w:val="Header"/>
    <w:uiPriority w:val="99"/>
    <w:rsid w:val="00BB3145"/>
    <w:rPr>
      <w:rFonts w:ascii="Arial" w:eastAsia="Arial" w:hAnsi="Arial" w:cs="Arial"/>
      <w:lang w:val="e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E82F66"/>
    <w:rPr>
      <w:color w:val="605E5C"/>
      <w:shd w:val="clear" w:color="auto" w:fill="E1DFDD"/>
    </w:rPr>
  </w:style>
  <w:style w:type="paragraph" w:styleId="BodyText">
    <w:name w:val="Body Text"/>
    <w:basedOn w:val="Normal"/>
    <w:link w:val="BodyTextChar"/>
    <w:qFormat/>
    <w:rsid w:val="00BD0955"/>
    <w:pPr>
      <w:spacing w:line="480" w:lineRule="auto"/>
      <w:contextualSpacing/>
    </w:pPr>
    <w:rPr>
      <w:rFonts w:ascii="Times New Roman" w:eastAsiaTheme="minorHAnsi" w:hAnsi="Times New Roman" w:cstheme="minorBidi"/>
      <w:lang w:val="en-US"/>
    </w:rPr>
  </w:style>
  <w:style w:type="character" w:customStyle="1" w:styleId="BodyTextChar">
    <w:name w:val="Body Text Char"/>
    <w:basedOn w:val="DefaultParagraphFont"/>
    <w:link w:val="BodyText"/>
    <w:rsid w:val="00BD0955"/>
    <w:rPr>
      <w:rFonts w:ascii="Times New Roman" w:eastAsiaTheme="minorHAnsi" w:hAnsi="Times New Roman" w:cstheme="minorBidi"/>
    </w:r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jv6nLIbepxuEHhqwx1lk40WAw==">AMUW2mWnQ200wah3twQGYDyRhMhRLSJFzQsdPoZve26Scx2CktOE0gyI2Hr5sCIf3a8WK+E9RuIV/Vb77nHWyYI7KX/A/2TxjbGHv75AVe/dLClxIwcegJ8dxrfOwFh9XEFCyNKPdv92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2051</Words>
  <Characters>11697</Characters>
  <Application>Microsoft Office Word</Application>
  <DocSecurity>0</DocSecurity>
  <Lines>97</Lines>
  <Paragraphs>27</Paragraphs>
  <ScaleCrop>false</ScaleCrop>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dc:creator>
  <cp:lastModifiedBy>Rosealea Bond</cp:lastModifiedBy>
  <cp:revision>2</cp:revision>
  <dcterms:created xsi:type="dcterms:W3CDTF">2021-08-09T17:52:00Z</dcterms:created>
  <dcterms:modified xsi:type="dcterms:W3CDTF">2021-10-13T21:42:00Z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http://www.zotero.org/styles/freshwater-biology</vt:lpwstr>
  </property>
  <property fmtid="{D5CDD505-2E9C-101B-9397-08002B2CF9AE}" pid="13" name="Mendeley Recent Style Name 5_1">
    <vt:lpwstr>Freshwater Biology</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http://www.zotero.org/styles/limnology-and-oceanography</vt:lpwstr>
  </property>
  <property fmtid="{D5CDD505-2E9C-101B-9397-08002B2CF9AE}" pid="17" name="Mendeley Recent Style Name 7_1">
    <vt:lpwstr>Limnology and Oceanography</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372612b5-e015-3940-a8f4-92de29ceca8a</vt:lpwstr>
  </property>
  <property fmtid="{D5CDD505-2E9C-101B-9397-08002B2CF9AE}" pid="24" name="Mendeley Citation Style_1">
    <vt:lpwstr>http://www.zotero.org/styles/freshwater-biology</vt:lpwstr>
  </property>
</Properties>
</file>