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E5FFB" w14:textId="77777777" w:rsidR="002D7D9C" w:rsidRDefault="00B10594">
      <w:pPr>
        <w:spacing w:before="120" w:after="120" w:line="276" w:lineRule="auto"/>
        <w:rPr>
          <w:b/>
          <w:bCs/>
          <w:sz w:val="32"/>
          <w:szCs w:val="32"/>
        </w:rPr>
      </w:pPr>
      <w:r>
        <w:rPr>
          <w:b/>
          <w:bCs/>
          <w:sz w:val="32"/>
          <w:szCs w:val="32"/>
        </w:rPr>
        <w:t>Electronic Supplemental Material</w:t>
      </w:r>
    </w:p>
    <w:p w14:paraId="24D4E618" w14:textId="77777777" w:rsidR="002D7D9C" w:rsidRDefault="00B10594">
      <w:pPr>
        <w:spacing w:before="120" w:after="120" w:line="276" w:lineRule="auto"/>
        <w:rPr>
          <w:b/>
          <w:bCs/>
          <w:sz w:val="32"/>
          <w:szCs w:val="32"/>
        </w:rPr>
      </w:pPr>
      <w:r>
        <w:rPr>
          <w:b/>
          <w:bCs/>
          <w:sz w:val="32"/>
          <w:szCs w:val="32"/>
        </w:rPr>
        <w:t>Forecasting Marsh Resilience in the Plum Island Estuary: Integrating Uncertainty to Inform Coastal Management</w:t>
      </w:r>
    </w:p>
    <w:p w14:paraId="168BEC41" w14:textId="77777777" w:rsidR="002D7D9C" w:rsidRDefault="002D7D9C">
      <w:pPr>
        <w:spacing w:before="120" w:after="120" w:line="276" w:lineRule="auto"/>
        <w:rPr>
          <w:b/>
          <w:bCs/>
          <w:sz w:val="32"/>
          <w:szCs w:val="32"/>
        </w:rPr>
      </w:pPr>
    </w:p>
    <w:p w14:paraId="10F342AC" w14:textId="77777777" w:rsidR="002D7D9C" w:rsidRDefault="00B10594">
      <w:pPr>
        <w:spacing w:before="120" w:after="120" w:line="276" w:lineRule="auto"/>
        <w:rPr>
          <w:b/>
          <w:bCs/>
        </w:rPr>
      </w:pPr>
      <w:r>
        <w:rPr>
          <w:b/>
          <w:bCs/>
        </w:rPr>
        <w:t xml:space="preserve">Ramin Familkhalili </w:t>
      </w:r>
      <w:r>
        <w:rPr>
          <w:b/>
          <w:bCs/>
          <w:vertAlign w:val="superscript"/>
        </w:rPr>
        <w:t>1</w:t>
      </w:r>
      <w:r>
        <w:rPr>
          <w:b/>
          <w:bCs/>
        </w:rPr>
        <w:t xml:space="preserve">, Nicholas M. </w:t>
      </w:r>
      <w:proofErr w:type="spellStart"/>
      <w:r>
        <w:rPr>
          <w:b/>
          <w:bCs/>
        </w:rPr>
        <w:t>Enwright</w:t>
      </w:r>
      <w:proofErr w:type="spellEnd"/>
      <w:r>
        <w:rPr>
          <w:b/>
          <w:bCs/>
        </w:rPr>
        <w:t xml:space="preserve"> </w:t>
      </w:r>
      <w:r>
        <w:rPr>
          <w:b/>
          <w:bCs/>
          <w:vertAlign w:val="superscript"/>
        </w:rPr>
        <w:t>2</w:t>
      </w:r>
      <w:r>
        <w:rPr>
          <w:b/>
          <w:bCs/>
        </w:rPr>
        <w:t xml:space="preserve">, Jordan E. Cosgrove </w:t>
      </w:r>
      <w:r>
        <w:rPr>
          <w:b/>
          <w:bCs/>
          <w:vertAlign w:val="superscript"/>
        </w:rPr>
        <w:t>3</w:t>
      </w:r>
      <w:r>
        <w:rPr>
          <w:b/>
          <w:bCs/>
        </w:rPr>
        <w:t xml:space="preserve">, Christine A. </w:t>
      </w:r>
      <w:proofErr w:type="spellStart"/>
      <w:r>
        <w:rPr>
          <w:b/>
          <w:bCs/>
        </w:rPr>
        <w:t>Buckel</w:t>
      </w:r>
      <w:proofErr w:type="spellEnd"/>
      <w:r>
        <w:rPr>
          <w:b/>
          <w:bCs/>
        </w:rPr>
        <w:t xml:space="preserve"> </w:t>
      </w:r>
      <w:r>
        <w:rPr>
          <w:b/>
          <w:bCs/>
          <w:vertAlign w:val="superscript"/>
        </w:rPr>
        <w:t>1</w:t>
      </w:r>
    </w:p>
    <w:p w14:paraId="5F5177C8" w14:textId="446A29CD" w:rsidR="002D7D9C" w:rsidRDefault="00B10594">
      <w:pPr>
        <w:spacing w:before="120" w:after="120" w:line="276" w:lineRule="auto"/>
      </w:pPr>
      <w:r>
        <w:rPr>
          <w:vertAlign w:val="superscript"/>
        </w:rPr>
        <w:t>1</w:t>
      </w:r>
      <w:r>
        <w:t>CSS, Inc, under contract to National Centers for Coastal Ocean Science, National Ocean Service, National Oceanic and Atmospheric Administration, Beaufort, NC, USA</w:t>
      </w:r>
    </w:p>
    <w:p w14:paraId="536D0F71" w14:textId="37D2882C" w:rsidR="002D7D9C" w:rsidRDefault="00B10594">
      <w:pPr>
        <w:spacing w:before="120" w:after="120" w:line="276" w:lineRule="auto"/>
      </w:pPr>
      <w:r>
        <w:rPr>
          <w:vertAlign w:val="superscript"/>
        </w:rPr>
        <w:t>2</w:t>
      </w:r>
      <w:r>
        <w:t>U.S. Geological Survey, Wetland and Aquatic Research Center, Lafayette, LA, USA</w:t>
      </w:r>
    </w:p>
    <w:p w14:paraId="19F64F73" w14:textId="22BECCA3" w:rsidR="002D7D9C" w:rsidRDefault="00B10594">
      <w:pPr>
        <w:spacing w:before="120" w:after="120" w:line="276" w:lineRule="auto"/>
      </w:pPr>
      <w:r>
        <w:rPr>
          <w:vertAlign w:val="superscript"/>
        </w:rPr>
        <w:t>3</w:t>
      </w:r>
      <w:r>
        <w:t>Lafayette, Louisiana, contracted to the U.S. Geological Survey, Wetland and Aquatic Research Center, Lafayette, LA, USA</w:t>
      </w:r>
    </w:p>
    <w:p w14:paraId="50DFF4C6" w14:textId="77777777" w:rsidR="001D6748" w:rsidRDefault="001D6748">
      <w:pPr>
        <w:spacing w:before="120" w:after="120" w:line="276" w:lineRule="auto"/>
      </w:pPr>
    </w:p>
    <w:p w14:paraId="1952A9C0" w14:textId="77777777" w:rsidR="002D7D9C" w:rsidRDefault="00B10594">
      <w:pPr>
        <w:spacing w:before="120" w:after="120" w:line="276" w:lineRule="auto"/>
      </w:pPr>
      <w:r>
        <w:rPr>
          <w:b/>
          <w:bCs/>
        </w:rPr>
        <w:t>Corresponding Author:</w:t>
      </w:r>
      <w:r>
        <w:t xml:space="preserve"> Ramin Familkhalili, </w:t>
      </w:r>
      <w:hyperlink r:id="rId5">
        <w:r>
          <w:rPr>
            <w:color w:val="0563C1"/>
            <w:u w:val="single"/>
          </w:rPr>
          <w:t>ramin.familkhalili@noaa.gov</w:t>
        </w:r>
      </w:hyperlink>
    </w:p>
    <w:p w14:paraId="1346DC5B" w14:textId="77777777" w:rsidR="002D7D9C" w:rsidRDefault="00B10594">
      <w:pPr>
        <w:spacing w:before="120" w:after="120" w:line="276" w:lineRule="auto"/>
      </w:pPr>
      <w:r>
        <w:rPr>
          <w:b/>
          <w:bCs/>
        </w:rPr>
        <w:t>Date:</w:t>
      </w:r>
      <w:r>
        <w:t xml:space="preserve"> April 6, 2026</w:t>
      </w:r>
    </w:p>
    <w:p w14:paraId="20804BFA" w14:textId="77777777" w:rsidR="002D7D9C" w:rsidRDefault="00B10594">
      <w:pPr>
        <w:spacing w:before="120" w:after="120" w:line="276" w:lineRule="auto"/>
        <w:rPr>
          <w:b/>
          <w:bCs/>
        </w:rPr>
      </w:pPr>
      <w:r>
        <w:rPr>
          <w:b/>
          <w:bCs/>
        </w:rPr>
        <w:t>ORCIDs:</w:t>
      </w:r>
    </w:p>
    <w:p w14:paraId="74EF8325" w14:textId="77777777" w:rsidR="002D7D9C" w:rsidRDefault="00B10594">
      <w:pPr>
        <w:spacing w:before="120" w:after="120" w:line="276" w:lineRule="auto"/>
      </w:pPr>
      <w:r>
        <w:t>Ramin Familkhalili: 0000-0003-3374-7891</w:t>
      </w:r>
    </w:p>
    <w:p w14:paraId="23870DAA" w14:textId="77777777" w:rsidR="002D7D9C" w:rsidRDefault="00B10594">
      <w:pPr>
        <w:spacing w:before="120" w:after="120" w:line="276" w:lineRule="auto"/>
      </w:pPr>
      <w:r>
        <w:t xml:space="preserve">Nicholas M. </w:t>
      </w:r>
      <w:proofErr w:type="spellStart"/>
      <w:r>
        <w:t>Enwright</w:t>
      </w:r>
      <w:proofErr w:type="spellEnd"/>
      <w:r>
        <w:t>: 0000-0002-7887-3261</w:t>
      </w:r>
    </w:p>
    <w:p w14:paraId="0F2409E7" w14:textId="77777777" w:rsidR="002D7D9C" w:rsidRDefault="00B10594">
      <w:pPr>
        <w:spacing w:before="120" w:after="120" w:line="276" w:lineRule="auto"/>
      </w:pPr>
      <w:r>
        <w:t>Jordan E. Cosgrove: 0009-0004-5887-3063</w:t>
      </w:r>
    </w:p>
    <w:p w14:paraId="749C9FE8" w14:textId="77777777" w:rsidR="002D7D9C" w:rsidRDefault="00B10594">
      <w:pPr>
        <w:rPr>
          <w:i/>
          <w:iCs/>
        </w:rPr>
      </w:pPr>
      <w:r>
        <w:t xml:space="preserve">Christine A. </w:t>
      </w:r>
      <w:proofErr w:type="spellStart"/>
      <w:r>
        <w:t>Buckel</w:t>
      </w:r>
      <w:proofErr w:type="spellEnd"/>
      <w:r>
        <w:t>: 0000-0002-3501-1100</w:t>
      </w:r>
    </w:p>
    <w:p w14:paraId="70792CEF" w14:textId="77777777" w:rsidR="001D6748" w:rsidRDefault="001D6748" w:rsidP="001D6748">
      <w:pPr>
        <w:spacing w:line="276" w:lineRule="auto"/>
        <w:rPr>
          <w:i/>
          <w:iCs/>
        </w:rPr>
      </w:pPr>
    </w:p>
    <w:p w14:paraId="6318BB5D" w14:textId="05348D6A" w:rsidR="002D7D9C" w:rsidRDefault="002D7D9C"/>
    <w:p w14:paraId="4C21C8D7" w14:textId="4722B5D3" w:rsidR="00166013" w:rsidRDefault="00166013"/>
    <w:p w14:paraId="19A631B4" w14:textId="77777777" w:rsidR="00166013" w:rsidRDefault="00166013"/>
    <w:p w14:paraId="46D8BD32" w14:textId="77777777" w:rsidR="002D7D9C" w:rsidRDefault="002D7D9C"/>
    <w:p w14:paraId="03DEFBE9" w14:textId="77777777" w:rsidR="002D7D9C" w:rsidRDefault="002D7D9C"/>
    <w:p w14:paraId="1C72DDD5" w14:textId="77777777" w:rsidR="002D7D9C" w:rsidRDefault="002D7D9C"/>
    <w:p w14:paraId="6C10D94A" w14:textId="0CBD5C17" w:rsidR="002D7D9C" w:rsidRDefault="00B10594">
      <w:pPr>
        <w:spacing w:line="240" w:lineRule="auto"/>
        <w:rPr>
          <w:b/>
          <w:bCs/>
        </w:rPr>
      </w:pPr>
      <w:r>
        <w:rPr>
          <w:b/>
          <w:bCs/>
        </w:rPr>
        <w:lastRenderedPageBreak/>
        <w:t>S1. DEM Uncertainty Analysis</w:t>
      </w:r>
    </w:p>
    <w:p w14:paraId="5D6CE6FD" w14:textId="77777777" w:rsidR="002D7D9C" w:rsidRDefault="00B10594">
      <w:pPr>
        <w:spacing w:after="0" w:line="240" w:lineRule="auto"/>
        <w:ind w:firstLine="360"/>
        <w:rPr>
          <w:b/>
          <w:bCs/>
        </w:rPr>
      </w:pPr>
      <w:r>
        <w:t>To quantify vertical error in the baseline topographic data, we compiled a database of RTK GPS observations from studies conducted within the PIE LTER between 2014 and 2023 (</w:t>
      </w:r>
      <w:proofErr w:type="spellStart"/>
      <w:r>
        <w:t>Luk</w:t>
      </w:r>
      <w:proofErr w:type="spellEnd"/>
      <w:r>
        <w:t xml:space="preserve"> et al., 2020; Cramer et al., 2022; Sundberg et al., 2022; Weston et al., 2023), along with a preliminary 2023 LTER dataset. Strict quality control filters were applied to this dataset, excluding observations that lacked elevation values, fell outside the model boundary, or contained fewer than five significant digits (indicating a positional precision &gt; 1.1 m). For soil core datasets, only surface elevations (depth = 0 cm) were retained. Additionally, points within 10 m of the shoreline were removed to avoid potential artifacts from water-land boundary aliasing in the DEM; this proximity was determined by buffering the water class derived from reclassifying the original bare-earth DEM.</w:t>
      </w:r>
    </w:p>
    <w:p w14:paraId="625EE773" w14:textId="7F98D952" w:rsidR="002D7D9C" w:rsidRDefault="00B10594" w:rsidP="001D6748">
      <w:pPr>
        <w:spacing w:after="0" w:line="240" w:lineRule="auto"/>
        <w:ind w:firstLine="360"/>
      </w:pPr>
      <w:r>
        <w:t xml:space="preserve">To align the validation data with the spatial scale of the error variables—specifically the biomass data—the point observations were aggregated to a 3-m resolution grid by calculating the mean elevation of all </w:t>
      </w:r>
      <w:r w:rsidRPr="00D85F55">
        <w:rPr>
          <w:i/>
          <w:iCs/>
        </w:rPr>
        <w:t>in situ</w:t>
      </w:r>
      <w:r>
        <w:t xml:space="preserve"> elevation observations within each pixel. This aggregation step also eliminated spatial redundancy from repeated measurements at the same plot. The final processed dataset consisted of 314 unique validation pixels in mostly vegetated wetlands, which were randomly split into five different training sets (75%; n = 236) and testing sets (25%; n = 78) (Fig. S1). We calculated the 95th percentile error for each training dataset and then calculated the average value (0.37 m).</w:t>
      </w:r>
      <w:r w:rsidR="00506987">
        <w:t xml:space="preserve"> </w:t>
      </w:r>
      <w:r>
        <w:t>We employed a Monte Carlo simulation framework to generate an ensemble of potential DEM surfaces. Vertical error assumptions were parameterized based on land cover classification. For non-vegetated areas (barren land, developed areas, and unconsolidated shores), we assumed a vertical RMSE of 0.10 m, consistent with USGS lidar base specifications (USGS, 2022). Open water areas were treated as non-vegetated for error propagation but were not validated due to a lack of bathymetric control points. For vegetated non-wetlands, we assumed a 95th percentile error of 0.30 m (USGS, 2022). Error for vegetated wetlands came from the previously mentioned training datasets, which had an average 95th percentile error estimate of 0.37 m. To account for variability in bias due to vegetation biomass,</w:t>
      </w:r>
      <w:r w:rsidR="00D85F55">
        <w:t xml:space="preserve"> </w:t>
      </w:r>
      <w:r>
        <w:t>we scaled the final vegetation error estimate as a function</w:t>
      </w:r>
      <w:r w:rsidR="001D6748">
        <w:t xml:space="preserve"> of</w:t>
      </w:r>
      <w:r>
        <w:t xml:space="preserve"> vegetation density using a 30-m biomass raster from 2015 (</w:t>
      </w:r>
      <w:proofErr w:type="spellStart"/>
      <w:r>
        <w:t>Woltz</w:t>
      </w:r>
      <w:proofErr w:type="spellEnd"/>
      <w:r>
        <w:t xml:space="preserve"> et al., 2023), which was resampled to 3-m to match our analysis grid. We calculated the 25th, 50th, and 75th percentiles of biomass within the wetland mask (879, 949, and 1,021 </w:t>
      </w:r>
      <w:proofErr w:type="spellStart"/>
      <w:r>
        <w:t>lbs</w:t>
      </w:r>
      <w:proofErr w:type="spellEnd"/>
      <w:r>
        <w:t>/acre, respectively) and used these quartiles to reclassify the biomass raster into four distinct error magnitude classes, linearly scaled between a baseline error of 0.15 m and the observed 95th percentile error from our training data (0.37 m).</w:t>
      </w:r>
    </w:p>
    <w:p w14:paraId="6DE22421" w14:textId="4770D624" w:rsidR="002D7D9C" w:rsidRDefault="00B10594" w:rsidP="001D6748">
      <w:pPr>
        <w:spacing w:after="0" w:line="240" w:lineRule="auto"/>
        <w:ind w:firstLine="360"/>
      </w:pPr>
      <w:r>
        <w:t xml:space="preserve">The simulation involved 1,000 Monte Carlo iterations to generate an ensemble of potential elevation surfaces. For each iteration, a random error field was generated as a mean normal random raster (mean = 0, standard deviation = 1) with a spatial autocorrelation distance of 2,407 m applied to simulate the spatial structure of error inherent in wetland environments. The resulting DEM percentiles were validated against the withheld testing dataset (n = 78) (Fig. S2). We calculated the mean bias error (MBE) and root mean square error (RMSE) of each percentile for each set of testing data and then averaged the results. The 40th percentile (P40) DEM was identified as the optimal "best estimate", achieving </w:t>
      </w:r>
      <w:proofErr w:type="gramStart"/>
      <w:r>
        <w:t>a</w:t>
      </w:r>
      <w:proofErr w:type="gramEnd"/>
      <w:r>
        <w:t xml:space="preserve"> MBE of effectively zero (-0.02 cm) and an RMSE of 12.95 cm. To represent the uncertainty bounds, we selected the 20th percentile (P20) </w:t>
      </w:r>
      <w:r>
        <w:lastRenderedPageBreak/>
        <w:t>as the lower estimate (MBE = -4.07 cm) and the 80th percentile (P80) as the upper estimate (MBE = +5.21 cm).</w:t>
      </w:r>
    </w:p>
    <w:p w14:paraId="179101C6" w14:textId="77777777" w:rsidR="002D7D9C" w:rsidRDefault="002D7D9C">
      <w:pPr>
        <w:spacing w:after="0" w:line="240" w:lineRule="auto"/>
      </w:pPr>
    </w:p>
    <w:p w14:paraId="30FDBF1B" w14:textId="5FC6A867" w:rsidR="002D7D9C" w:rsidRDefault="00B10594">
      <w:pPr>
        <w:pBdr>
          <w:top w:val="nil"/>
          <w:left w:val="nil"/>
          <w:bottom w:val="nil"/>
          <w:right w:val="nil"/>
          <w:between w:val="nil"/>
        </w:pBdr>
        <w:spacing w:after="200" w:line="240" w:lineRule="auto"/>
        <w:rPr>
          <w:color w:val="000000"/>
          <w:sz w:val="22"/>
          <w:szCs w:val="22"/>
        </w:rPr>
      </w:pPr>
      <w:r>
        <w:rPr>
          <w:b/>
          <w:bCs/>
          <w:color w:val="000000"/>
          <w:sz w:val="22"/>
          <w:szCs w:val="22"/>
        </w:rPr>
        <w:t>Table S1.</w:t>
      </w:r>
      <w:r>
        <w:rPr>
          <w:b/>
          <w:bCs/>
        </w:rPr>
        <w:t xml:space="preserve"> </w:t>
      </w:r>
      <w:r>
        <w:rPr>
          <w:color w:val="000000"/>
          <w:sz w:val="22"/>
          <w:szCs w:val="22"/>
        </w:rPr>
        <w:t>Initial elevation statistics (mean and standard deviation) by habitat category. Elevations are reported in meters relative to mean sea level. These statistics represent the baseline vertical distribution for the original uncorrected DEM and the representative Monte Carlo ensemble members (DEM20, DEM40, and DEM80)</w:t>
      </w:r>
    </w:p>
    <w:tbl>
      <w:tblPr>
        <w:tblStyle w:val="a"/>
        <w:tblW w:w="90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214"/>
        <w:gridCol w:w="2272"/>
        <w:gridCol w:w="1449"/>
        <w:gridCol w:w="1751"/>
        <w:gridCol w:w="1404"/>
      </w:tblGrid>
      <w:tr w:rsidR="002D7D9C" w14:paraId="2EA1F3F7" w14:textId="77777777">
        <w:trPr>
          <w:trHeight w:val="315"/>
          <w:jc w:val="center"/>
        </w:trPr>
        <w:tc>
          <w:tcPr>
            <w:tcW w:w="2214" w:type="dxa"/>
            <w:tcMar>
              <w:top w:w="30" w:type="dxa"/>
              <w:left w:w="45" w:type="dxa"/>
              <w:bottom w:w="30" w:type="dxa"/>
              <w:right w:w="45" w:type="dxa"/>
            </w:tcMar>
            <w:vAlign w:val="center"/>
          </w:tcPr>
          <w:p w14:paraId="11992ECD" w14:textId="77777777" w:rsidR="002D7D9C" w:rsidRDefault="00B10594">
            <w:pPr>
              <w:spacing w:after="0" w:line="240" w:lineRule="auto"/>
              <w:jc w:val="center"/>
              <w:rPr>
                <w:sz w:val="22"/>
                <w:szCs w:val="22"/>
              </w:rPr>
            </w:pPr>
            <w:r>
              <w:rPr>
                <w:sz w:val="22"/>
                <w:szCs w:val="22"/>
              </w:rPr>
              <w:t>Habitat Category</w:t>
            </w:r>
          </w:p>
        </w:tc>
        <w:tc>
          <w:tcPr>
            <w:tcW w:w="2272" w:type="dxa"/>
            <w:tcMar>
              <w:top w:w="30" w:type="dxa"/>
              <w:left w:w="45" w:type="dxa"/>
              <w:bottom w:w="30" w:type="dxa"/>
              <w:right w:w="45" w:type="dxa"/>
            </w:tcMar>
            <w:vAlign w:val="center"/>
          </w:tcPr>
          <w:p w14:paraId="3CA52698" w14:textId="77777777" w:rsidR="002D7D9C" w:rsidRDefault="00B10594">
            <w:pPr>
              <w:spacing w:after="0" w:line="240" w:lineRule="auto"/>
              <w:jc w:val="center"/>
              <w:rPr>
                <w:sz w:val="22"/>
                <w:szCs w:val="22"/>
              </w:rPr>
            </w:pPr>
            <w:r>
              <w:rPr>
                <w:sz w:val="22"/>
                <w:szCs w:val="22"/>
              </w:rPr>
              <w:t>Original DEM (Uncorrected)</w:t>
            </w:r>
          </w:p>
        </w:tc>
        <w:tc>
          <w:tcPr>
            <w:tcW w:w="1449" w:type="dxa"/>
            <w:tcMar>
              <w:top w:w="30" w:type="dxa"/>
              <w:left w:w="45" w:type="dxa"/>
              <w:bottom w:w="30" w:type="dxa"/>
              <w:right w:w="45" w:type="dxa"/>
            </w:tcMar>
            <w:vAlign w:val="center"/>
          </w:tcPr>
          <w:p w14:paraId="26C670EF" w14:textId="77777777" w:rsidR="002D7D9C" w:rsidRDefault="00B10594">
            <w:pPr>
              <w:spacing w:after="0" w:line="240" w:lineRule="auto"/>
              <w:jc w:val="center"/>
              <w:rPr>
                <w:sz w:val="22"/>
                <w:szCs w:val="22"/>
              </w:rPr>
            </w:pPr>
            <w:r>
              <w:rPr>
                <w:sz w:val="22"/>
                <w:szCs w:val="22"/>
              </w:rPr>
              <w:t>DEM80 (High)</w:t>
            </w:r>
          </w:p>
        </w:tc>
        <w:tc>
          <w:tcPr>
            <w:tcW w:w="1751" w:type="dxa"/>
            <w:tcMar>
              <w:top w:w="30" w:type="dxa"/>
              <w:left w:w="45" w:type="dxa"/>
              <w:bottom w:w="30" w:type="dxa"/>
              <w:right w:w="45" w:type="dxa"/>
            </w:tcMar>
            <w:vAlign w:val="center"/>
          </w:tcPr>
          <w:p w14:paraId="25E740E4" w14:textId="77777777" w:rsidR="002D7D9C" w:rsidRDefault="00B10594">
            <w:pPr>
              <w:spacing w:after="0" w:line="240" w:lineRule="auto"/>
              <w:jc w:val="center"/>
              <w:rPr>
                <w:sz w:val="22"/>
                <w:szCs w:val="22"/>
              </w:rPr>
            </w:pPr>
            <w:r>
              <w:rPr>
                <w:sz w:val="22"/>
                <w:szCs w:val="22"/>
              </w:rPr>
              <w:t>DEM40 (Best)</w:t>
            </w:r>
          </w:p>
        </w:tc>
        <w:tc>
          <w:tcPr>
            <w:tcW w:w="1404" w:type="dxa"/>
            <w:tcMar>
              <w:top w:w="30" w:type="dxa"/>
              <w:left w:w="45" w:type="dxa"/>
              <w:bottom w:w="30" w:type="dxa"/>
              <w:right w:w="45" w:type="dxa"/>
            </w:tcMar>
            <w:vAlign w:val="center"/>
          </w:tcPr>
          <w:p w14:paraId="33B129EB" w14:textId="77777777" w:rsidR="002D7D9C" w:rsidRDefault="00B10594">
            <w:pPr>
              <w:spacing w:after="0" w:line="240" w:lineRule="auto"/>
              <w:jc w:val="center"/>
              <w:rPr>
                <w:sz w:val="22"/>
                <w:szCs w:val="22"/>
              </w:rPr>
            </w:pPr>
            <w:r>
              <w:rPr>
                <w:sz w:val="22"/>
                <w:szCs w:val="22"/>
              </w:rPr>
              <w:t>DEM20 (Low)</w:t>
            </w:r>
          </w:p>
        </w:tc>
      </w:tr>
      <w:tr w:rsidR="002D7D9C" w14:paraId="574F6EE2" w14:textId="77777777">
        <w:trPr>
          <w:trHeight w:val="315"/>
          <w:jc w:val="center"/>
        </w:trPr>
        <w:tc>
          <w:tcPr>
            <w:tcW w:w="2214" w:type="dxa"/>
            <w:tcMar>
              <w:top w:w="30" w:type="dxa"/>
              <w:left w:w="45" w:type="dxa"/>
              <w:bottom w:w="30" w:type="dxa"/>
              <w:right w:w="45" w:type="dxa"/>
            </w:tcMar>
            <w:vAlign w:val="center"/>
          </w:tcPr>
          <w:p w14:paraId="16190B2C" w14:textId="77777777" w:rsidR="002D7D9C" w:rsidRDefault="00B10594">
            <w:pPr>
              <w:spacing w:after="0" w:line="240" w:lineRule="auto"/>
              <w:jc w:val="center"/>
              <w:rPr>
                <w:sz w:val="22"/>
                <w:szCs w:val="22"/>
              </w:rPr>
            </w:pPr>
            <w:r>
              <w:rPr>
                <w:sz w:val="22"/>
                <w:szCs w:val="22"/>
              </w:rPr>
              <w:t>Aggregated Non-Tidal</w:t>
            </w:r>
          </w:p>
        </w:tc>
        <w:tc>
          <w:tcPr>
            <w:tcW w:w="2272" w:type="dxa"/>
            <w:tcMar>
              <w:top w:w="30" w:type="dxa"/>
              <w:left w:w="45" w:type="dxa"/>
              <w:bottom w:w="30" w:type="dxa"/>
              <w:right w:w="45" w:type="dxa"/>
            </w:tcMar>
            <w:vAlign w:val="center"/>
          </w:tcPr>
          <w:p w14:paraId="59CE528D" w14:textId="77777777" w:rsidR="002D7D9C" w:rsidRDefault="00B10594">
            <w:pPr>
              <w:spacing w:after="0" w:line="240" w:lineRule="auto"/>
              <w:jc w:val="center"/>
              <w:rPr>
                <w:sz w:val="22"/>
                <w:szCs w:val="22"/>
              </w:rPr>
            </w:pPr>
            <w:r>
              <w:rPr>
                <w:sz w:val="22"/>
                <w:szCs w:val="22"/>
              </w:rPr>
              <w:t>3.39 ± 0.91</w:t>
            </w:r>
          </w:p>
        </w:tc>
        <w:tc>
          <w:tcPr>
            <w:tcW w:w="1449" w:type="dxa"/>
            <w:tcMar>
              <w:top w:w="30" w:type="dxa"/>
              <w:left w:w="45" w:type="dxa"/>
              <w:bottom w:w="30" w:type="dxa"/>
              <w:right w:w="45" w:type="dxa"/>
            </w:tcMar>
            <w:vAlign w:val="center"/>
          </w:tcPr>
          <w:p w14:paraId="5B41D492" w14:textId="77777777" w:rsidR="002D7D9C" w:rsidRDefault="00B10594">
            <w:pPr>
              <w:spacing w:after="0" w:line="240" w:lineRule="auto"/>
              <w:jc w:val="center"/>
              <w:rPr>
                <w:sz w:val="22"/>
                <w:szCs w:val="22"/>
              </w:rPr>
            </w:pPr>
            <w:r>
              <w:rPr>
                <w:sz w:val="22"/>
                <w:szCs w:val="22"/>
              </w:rPr>
              <w:t>3.37 ± 0.90</w:t>
            </w:r>
          </w:p>
        </w:tc>
        <w:tc>
          <w:tcPr>
            <w:tcW w:w="1751" w:type="dxa"/>
            <w:tcMar>
              <w:top w:w="30" w:type="dxa"/>
              <w:left w:w="45" w:type="dxa"/>
              <w:bottom w:w="30" w:type="dxa"/>
              <w:right w:w="45" w:type="dxa"/>
            </w:tcMar>
            <w:vAlign w:val="center"/>
          </w:tcPr>
          <w:p w14:paraId="0784CDB8" w14:textId="77777777" w:rsidR="002D7D9C" w:rsidRDefault="00B10594">
            <w:pPr>
              <w:spacing w:after="0" w:line="240" w:lineRule="auto"/>
              <w:jc w:val="center"/>
              <w:rPr>
                <w:sz w:val="22"/>
                <w:szCs w:val="22"/>
              </w:rPr>
            </w:pPr>
            <w:r>
              <w:rPr>
                <w:sz w:val="22"/>
                <w:szCs w:val="22"/>
              </w:rPr>
              <w:t>3.33 ± 0.90</w:t>
            </w:r>
          </w:p>
        </w:tc>
        <w:tc>
          <w:tcPr>
            <w:tcW w:w="1404" w:type="dxa"/>
            <w:tcMar>
              <w:top w:w="30" w:type="dxa"/>
              <w:left w:w="45" w:type="dxa"/>
              <w:bottom w:w="30" w:type="dxa"/>
              <w:right w:w="45" w:type="dxa"/>
            </w:tcMar>
            <w:vAlign w:val="center"/>
          </w:tcPr>
          <w:p w14:paraId="0CD4B5CF" w14:textId="77777777" w:rsidR="002D7D9C" w:rsidRDefault="00B10594">
            <w:pPr>
              <w:spacing w:after="0" w:line="240" w:lineRule="auto"/>
              <w:jc w:val="center"/>
              <w:rPr>
                <w:sz w:val="22"/>
                <w:szCs w:val="22"/>
              </w:rPr>
            </w:pPr>
            <w:r>
              <w:rPr>
                <w:sz w:val="22"/>
                <w:szCs w:val="22"/>
              </w:rPr>
              <w:t>3.30 ± 0.90</w:t>
            </w:r>
          </w:p>
        </w:tc>
      </w:tr>
      <w:tr w:rsidR="002D7D9C" w14:paraId="1CA7640D" w14:textId="77777777">
        <w:trPr>
          <w:trHeight w:val="315"/>
          <w:jc w:val="center"/>
        </w:trPr>
        <w:tc>
          <w:tcPr>
            <w:tcW w:w="2214" w:type="dxa"/>
            <w:tcMar>
              <w:top w:w="30" w:type="dxa"/>
              <w:left w:w="45" w:type="dxa"/>
              <w:bottom w:w="30" w:type="dxa"/>
              <w:right w:w="45" w:type="dxa"/>
            </w:tcMar>
            <w:vAlign w:val="center"/>
          </w:tcPr>
          <w:p w14:paraId="1D5DC625" w14:textId="77777777" w:rsidR="002D7D9C" w:rsidRDefault="00B10594">
            <w:pPr>
              <w:spacing w:after="0" w:line="240" w:lineRule="auto"/>
              <w:jc w:val="center"/>
              <w:rPr>
                <w:sz w:val="22"/>
                <w:szCs w:val="22"/>
              </w:rPr>
            </w:pPr>
            <w:r>
              <w:rPr>
                <w:sz w:val="22"/>
                <w:szCs w:val="22"/>
              </w:rPr>
              <w:t>Freshwater Non-Tidal</w:t>
            </w:r>
          </w:p>
        </w:tc>
        <w:tc>
          <w:tcPr>
            <w:tcW w:w="2272" w:type="dxa"/>
            <w:tcMar>
              <w:top w:w="30" w:type="dxa"/>
              <w:left w:w="45" w:type="dxa"/>
              <w:bottom w:w="30" w:type="dxa"/>
              <w:right w:w="45" w:type="dxa"/>
            </w:tcMar>
            <w:vAlign w:val="center"/>
          </w:tcPr>
          <w:p w14:paraId="31873E74" w14:textId="77777777" w:rsidR="002D7D9C" w:rsidRDefault="00B10594">
            <w:pPr>
              <w:spacing w:after="0" w:line="240" w:lineRule="auto"/>
              <w:jc w:val="center"/>
              <w:rPr>
                <w:sz w:val="22"/>
                <w:szCs w:val="22"/>
              </w:rPr>
            </w:pPr>
            <w:r>
              <w:rPr>
                <w:sz w:val="22"/>
                <w:szCs w:val="22"/>
              </w:rPr>
              <w:t>3.14 ± 1.08</w:t>
            </w:r>
          </w:p>
        </w:tc>
        <w:tc>
          <w:tcPr>
            <w:tcW w:w="1449" w:type="dxa"/>
            <w:tcMar>
              <w:top w:w="30" w:type="dxa"/>
              <w:left w:w="45" w:type="dxa"/>
              <w:bottom w:w="30" w:type="dxa"/>
              <w:right w:w="45" w:type="dxa"/>
            </w:tcMar>
            <w:vAlign w:val="center"/>
          </w:tcPr>
          <w:p w14:paraId="2C73A6C8" w14:textId="77777777" w:rsidR="002D7D9C" w:rsidRDefault="00B10594">
            <w:pPr>
              <w:spacing w:after="0" w:line="240" w:lineRule="auto"/>
              <w:jc w:val="center"/>
              <w:rPr>
                <w:sz w:val="22"/>
                <w:szCs w:val="22"/>
              </w:rPr>
            </w:pPr>
            <w:r>
              <w:rPr>
                <w:sz w:val="22"/>
                <w:szCs w:val="22"/>
              </w:rPr>
              <w:t>3.12 ± 1.07</w:t>
            </w:r>
          </w:p>
        </w:tc>
        <w:tc>
          <w:tcPr>
            <w:tcW w:w="1751" w:type="dxa"/>
            <w:tcMar>
              <w:top w:w="30" w:type="dxa"/>
              <w:left w:w="45" w:type="dxa"/>
              <w:bottom w:w="30" w:type="dxa"/>
              <w:right w:w="45" w:type="dxa"/>
            </w:tcMar>
            <w:vAlign w:val="center"/>
          </w:tcPr>
          <w:p w14:paraId="6BD21ACC" w14:textId="77777777" w:rsidR="002D7D9C" w:rsidRDefault="00B10594">
            <w:pPr>
              <w:spacing w:after="0" w:line="240" w:lineRule="auto"/>
              <w:jc w:val="center"/>
              <w:rPr>
                <w:sz w:val="22"/>
                <w:szCs w:val="22"/>
              </w:rPr>
            </w:pPr>
            <w:r>
              <w:rPr>
                <w:sz w:val="22"/>
                <w:szCs w:val="22"/>
              </w:rPr>
              <w:t>3.08 ± 1.06</w:t>
            </w:r>
          </w:p>
        </w:tc>
        <w:tc>
          <w:tcPr>
            <w:tcW w:w="1404" w:type="dxa"/>
            <w:tcMar>
              <w:top w:w="30" w:type="dxa"/>
              <w:left w:w="45" w:type="dxa"/>
              <w:bottom w:w="30" w:type="dxa"/>
              <w:right w:w="45" w:type="dxa"/>
            </w:tcMar>
            <w:vAlign w:val="center"/>
          </w:tcPr>
          <w:p w14:paraId="765B03A2" w14:textId="77777777" w:rsidR="002D7D9C" w:rsidRDefault="00B10594">
            <w:pPr>
              <w:spacing w:after="0" w:line="240" w:lineRule="auto"/>
              <w:jc w:val="center"/>
              <w:rPr>
                <w:sz w:val="22"/>
                <w:szCs w:val="22"/>
              </w:rPr>
            </w:pPr>
            <w:r>
              <w:rPr>
                <w:sz w:val="22"/>
                <w:szCs w:val="22"/>
              </w:rPr>
              <w:t>3.06 ± 1.06</w:t>
            </w:r>
          </w:p>
        </w:tc>
      </w:tr>
      <w:tr w:rsidR="002D7D9C" w14:paraId="38BEE6E0" w14:textId="77777777">
        <w:trPr>
          <w:trHeight w:val="315"/>
          <w:jc w:val="center"/>
        </w:trPr>
        <w:tc>
          <w:tcPr>
            <w:tcW w:w="2214" w:type="dxa"/>
            <w:tcMar>
              <w:top w:w="30" w:type="dxa"/>
              <w:left w:w="45" w:type="dxa"/>
              <w:bottom w:w="30" w:type="dxa"/>
              <w:right w:w="45" w:type="dxa"/>
            </w:tcMar>
            <w:vAlign w:val="center"/>
          </w:tcPr>
          <w:p w14:paraId="5CB6067C" w14:textId="77777777" w:rsidR="002D7D9C" w:rsidRDefault="00B10594">
            <w:pPr>
              <w:spacing w:after="0" w:line="240" w:lineRule="auto"/>
              <w:jc w:val="center"/>
              <w:rPr>
                <w:sz w:val="22"/>
                <w:szCs w:val="22"/>
              </w:rPr>
            </w:pPr>
            <w:r>
              <w:rPr>
                <w:sz w:val="22"/>
                <w:szCs w:val="22"/>
              </w:rPr>
              <w:t>Freshwater Tidal</w:t>
            </w:r>
          </w:p>
        </w:tc>
        <w:tc>
          <w:tcPr>
            <w:tcW w:w="2272" w:type="dxa"/>
            <w:tcMar>
              <w:top w:w="30" w:type="dxa"/>
              <w:left w:w="45" w:type="dxa"/>
              <w:bottom w:w="30" w:type="dxa"/>
              <w:right w:w="45" w:type="dxa"/>
            </w:tcMar>
            <w:vAlign w:val="center"/>
          </w:tcPr>
          <w:p w14:paraId="4E23B2FD" w14:textId="77777777" w:rsidR="002D7D9C" w:rsidRDefault="00B10594">
            <w:pPr>
              <w:spacing w:after="0" w:line="240" w:lineRule="auto"/>
              <w:jc w:val="center"/>
              <w:rPr>
                <w:sz w:val="22"/>
                <w:szCs w:val="22"/>
              </w:rPr>
            </w:pPr>
            <w:r>
              <w:rPr>
                <w:sz w:val="22"/>
                <w:szCs w:val="22"/>
              </w:rPr>
              <w:t>2.27 ± 0.81</w:t>
            </w:r>
          </w:p>
        </w:tc>
        <w:tc>
          <w:tcPr>
            <w:tcW w:w="1449" w:type="dxa"/>
            <w:tcMar>
              <w:top w:w="30" w:type="dxa"/>
              <w:left w:w="45" w:type="dxa"/>
              <w:bottom w:w="30" w:type="dxa"/>
              <w:right w:w="45" w:type="dxa"/>
            </w:tcMar>
            <w:vAlign w:val="center"/>
          </w:tcPr>
          <w:p w14:paraId="4A967BFC" w14:textId="77777777" w:rsidR="002D7D9C" w:rsidRDefault="00B10594">
            <w:pPr>
              <w:spacing w:after="0" w:line="240" w:lineRule="auto"/>
              <w:jc w:val="center"/>
              <w:rPr>
                <w:sz w:val="22"/>
                <w:szCs w:val="22"/>
              </w:rPr>
            </w:pPr>
            <w:r>
              <w:rPr>
                <w:sz w:val="22"/>
                <w:szCs w:val="22"/>
              </w:rPr>
              <w:t>2.26 ± 0.80</w:t>
            </w:r>
          </w:p>
        </w:tc>
        <w:tc>
          <w:tcPr>
            <w:tcW w:w="1751" w:type="dxa"/>
            <w:tcMar>
              <w:top w:w="30" w:type="dxa"/>
              <w:left w:w="45" w:type="dxa"/>
              <w:bottom w:w="30" w:type="dxa"/>
              <w:right w:w="45" w:type="dxa"/>
            </w:tcMar>
            <w:vAlign w:val="center"/>
          </w:tcPr>
          <w:p w14:paraId="0A1F57DB" w14:textId="77777777" w:rsidR="002D7D9C" w:rsidRDefault="00B10594">
            <w:pPr>
              <w:spacing w:after="0" w:line="240" w:lineRule="auto"/>
              <w:jc w:val="center"/>
              <w:rPr>
                <w:sz w:val="22"/>
                <w:szCs w:val="22"/>
              </w:rPr>
            </w:pPr>
            <w:r>
              <w:rPr>
                <w:sz w:val="22"/>
                <w:szCs w:val="22"/>
              </w:rPr>
              <w:t>2.20 ± 0.80</w:t>
            </w:r>
          </w:p>
        </w:tc>
        <w:tc>
          <w:tcPr>
            <w:tcW w:w="1404" w:type="dxa"/>
            <w:tcMar>
              <w:top w:w="30" w:type="dxa"/>
              <w:left w:w="45" w:type="dxa"/>
              <w:bottom w:w="30" w:type="dxa"/>
              <w:right w:w="45" w:type="dxa"/>
            </w:tcMar>
            <w:vAlign w:val="center"/>
          </w:tcPr>
          <w:p w14:paraId="6F7A0FD9" w14:textId="77777777" w:rsidR="002D7D9C" w:rsidRDefault="00B10594">
            <w:pPr>
              <w:spacing w:after="0" w:line="240" w:lineRule="auto"/>
              <w:jc w:val="center"/>
              <w:rPr>
                <w:sz w:val="22"/>
                <w:szCs w:val="22"/>
              </w:rPr>
            </w:pPr>
            <w:r>
              <w:rPr>
                <w:sz w:val="22"/>
                <w:szCs w:val="22"/>
              </w:rPr>
              <w:t>2.16 ± 0.81</w:t>
            </w:r>
          </w:p>
        </w:tc>
      </w:tr>
      <w:tr w:rsidR="002D7D9C" w14:paraId="4E309D75" w14:textId="77777777">
        <w:trPr>
          <w:trHeight w:val="315"/>
          <w:jc w:val="center"/>
        </w:trPr>
        <w:tc>
          <w:tcPr>
            <w:tcW w:w="2214" w:type="dxa"/>
            <w:tcMar>
              <w:top w:w="30" w:type="dxa"/>
              <w:left w:w="45" w:type="dxa"/>
              <w:bottom w:w="30" w:type="dxa"/>
              <w:right w:w="45" w:type="dxa"/>
            </w:tcMar>
            <w:vAlign w:val="center"/>
          </w:tcPr>
          <w:p w14:paraId="0EAC00B6" w14:textId="77777777" w:rsidR="002D7D9C" w:rsidRDefault="00B10594">
            <w:pPr>
              <w:spacing w:after="0" w:line="240" w:lineRule="auto"/>
              <w:jc w:val="center"/>
              <w:rPr>
                <w:sz w:val="22"/>
                <w:szCs w:val="22"/>
              </w:rPr>
            </w:pPr>
            <w:r>
              <w:rPr>
                <w:sz w:val="22"/>
                <w:szCs w:val="22"/>
              </w:rPr>
              <w:t>Transitional</w:t>
            </w:r>
          </w:p>
        </w:tc>
        <w:tc>
          <w:tcPr>
            <w:tcW w:w="2272" w:type="dxa"/>
            <w:tcMar>
              <w:top w:w="30" w:type="dxa"/>
              <w:left w:w="45" w:type="dxa"/>
              <w:bottom w:w="30" w:type="dxa"/>
              <w:right w:w="45" w:type="dxa"/>
            </w:tcMar>
            <w:vAlign w:val="center"/>
          </w:tcPr>
          <w:p w14:paraId="77A3F7B7" w14:textId="77777777" w:rsidR="002D7D9C" w:rsidRDefault="00B10594">
            <w:pPr>
              <w:spacing w:after="0" w:line="240" w:lineRule="auto"/>
              <w:jc w:val="center"/>
              <w:rPr>
                <w:sz w:val="22"/>
                <w:szCs w:val="22"/>
              </w:rPr>
            </w:pPr>
            <w:r>
              <w:rPr>
                <w:sz w:val="22"/>
                <w:szCs w:val="22"/>
              </w:rPr>
              <w:t>1.57 ± 0.23</w:t>
            </w:r>
          </w:p>
        </w:tc>
        <w:tc>
          <w:tcPr>
            <w:tcW w:w="1449" w:type="dxa"/>
            <w:tcMar>
              <w:top w:w="30" w:type="dxa"/>
              <w:left w:w="45" w:type="dxa"/>
              <w:bottom w:w="30" w:type="dxa"/>
              <w:right w:w="45" w:type="dxa"/>
            </w:tcMar>
            <w:vAlign w:val="center"/>
          </w:tcPr>
          <w:p w14:paraId="6863311F" w14:textId="77777777" w:rsidR="002D7D9C" w:rsidRDefault="00B10594">
            <w:pPr>
              <w:spacing w:after="0" w:line="240" w:lineRule="auto"/>
              <w:jc w:val="center"/>
              <w:rPr>
                <w:sz w:val="22"/>
                <w:szCs w:val="22"/>
              </w:rPr>
            </w:pPr>
            <w:r>
              <w:rPr>
                <w:sz w:val="22"/>
                <w:szCs w:val="22"/>
              </w:rPr>
              <w:t>1.55 ± 0.23</w:t>
            </w:r>
          </w:p>
        </w:tc>
        <w:tc>
          <w:tcPr>
            <w:tcW w:w="1751" w:type="dxa"/>
            <w:tcMar>
              <w:top w:w="30" w:type="dxa"/>
              <w:left w:w="45" w:type="dxa"/>
              <w:bottom w:w="30" w:type="dxa"/>
              <w:right w:w="45" w:type="dxa"/>
            </w:tcMar>
            <w:vAlign w:val="center"/>
          </w:tcPr>
          <w:p w14:paraId="40606607" w14:textId="77777777" w:rsidR="002D7D9C" w:rsidRDefault="00B10594">
            <w:pPr>
              <w:spacing w:after="0" w:line="240" w:lineRule="auto"/>
              <w:jc w:val="center"/>
              <w:rPr>
                <w:sz w:val="22"/>
                <w:szCs w:val="22"/>
              </w:rPr>
            </w:pPr>
            <w:r>
              <w:rPr>
                <w:sz w:val="22"/>
                <w:szCs w:val="22"/>
              </w:rPr>
              <w:t>1.49 ± 0.23</w:t>
            </w:r>
          </w:p>
        </w:tc>
        <w:tc>
          <w:tcPr>
            <w:tcW w:w="1404" w:type="dxa"/>
            <w:tcMar>
              <w:top w:w="30" w:type="dxa"/>
              <w:left w:w="45" w:type="dxa"/>
              <w:bottom w:w="30" w:type="dxa"/>
              <w:right w:w="45" w:type="dxa"/>
            </w:tcMar>
            <w:vAlign w:val="center"/>
          </w:tcPr>
          <w:p w14:paraId="4D36E65F" w14:textId="77777777" w:rsidR="002D7D9C" w:rsidRDefault="00B10594">
            <w:pPr>
              <w:spacing w:after="0" w:line="240" w:lineRule="auto"/>
              <w:jc w:val="center"/>
              <w:rPr>
                <w:sz w:val="22"/>
                <w:szCs w:val="22"/>
              </w:rPr>
            </w:pPr>
            <w:r>
              <w:rPr>
                <w:sz w:val="22"/>
                <w:szCs w:val="22"/>
              </w:rPr>
              <w:t>1.45 ± 0.22</w:t>
            </w:r>
          </w:p>
        </w:tc>
      </w:tr>
      <w:tr w:rsidR="002D7D9C" w14:paraId="336926D3" w14:textId="77777777">
        <w:trPr>
          <w:trHeight w:val="315"/>
          <w:jc w:val="center"/>
        </w:trPr>
        <w:tc>
          <w:tcPr>
            <w:tcW w:w="2214" w:type="dxa"/>
            <w:tcMar>
              <w:top w:w="30" w:type="dxa"/>
              <w:left w:w="45" w:type="dxa"/>
              <w:bottom w:w="30" w:type="dxa"/>
              <w:right w:w="45" w:type="dxa"/>
            </w:tcMar>
            <w:vAlign w:val="center"/>
          </w:tcPr>
          <w:p w14:paraId="3A156E44" w14:textId="77777777" w:rsidR="002D7D9C" w:rsidRDefault="00B10594">
            <w:pPr>
              <w:spacing w:after="0" w:line="240" w:lineRule="auto"/>
              <w:jc w:val="center"/>
              <w:rPr>
                <w:sz w:val="22"/>
                <w:szCs w:val="22"/>
              </w:rPr>
            </w:pPr>
            <w:r>
              <w:rPr>
                <w:sz w:val="22"/>
                <w:szCs w:val="22"/>
              </w:rPr>
              <w:t>Saltmarsh</w:t>
            </w:r>
          </w:p>
        </w:tc>
        <w:tc>
          <w:tcPr>
            <w:tcW w:w="2272" w:type="dxa"/>
            <w:tcMar>
              <w:top w:w="30" w:type="dxa"/>
              <w:left w:w="45" w:type="dxa"/>
              <w:bottom w:w="30" w:type="dxa"/>
              <w:right w:w="45" w:type="dxa"/>
            </w:tcMar>
            <w:vAlign w:val="center"/>
          </w:tcPr>
          <w:p w14:paraId="6333FB98" w14:textId="77777777" w:rsidR="002D7D9C" w:rsidRDefault="00B10594">
            <w:pPr>
              <w:spacing w:after="0" w:line="240" w:lineRule="auto"/>
              <w:jc w:val="center"/>
              <w:rPr>
                <w:sz w:val="22"/>
                <w:szCs w:val="22"/>
              </w:rPr>
            </w:pPr>
            <w:r>
              <w:rPr>
                <w:sz w:val="22"/>
                <w:szCs w:val="22"/>
              </w:rPr>
              <w:t>1.08 ± 0.65</w:t>
            </w:r>
          </w:p>
        </w:tc>
        <w:tc>
          <w:tcPr>
            <w:tcW w:w="1449" w:type="dxa"/>
            <w:tcMar>
              <w:top w:w="30" w:type="dxa"/>
              <w:left w:w="45" w:type="dxa"/>
              <w:bottom w:w="30" w:type="dxa"/>
              <w:right w:w="45" w:type="dxa"/>
            </w:tcMar>
            <w:vAlign w:val="center"/>
          </w:tcPr>
          <w:p w14:paraId="5C47EEB4" w14:textId="77777777" w:rsidR="002D7D9C" w:rsidRDefault="00B10594">
            <w:pPr>
              <w:spacing w:after="0" w:line="240" w:lineRule="auto"/>
              <w:jc w:val="center"/>
              <w:rPr>
                <w:sz w:val="22"/>
                <w:szCs w:val="22"/>
              </w:rPr>
            </w:pPr>
            <w:r>
              <w:rPr>
                <w:sz w:val="22"/>
                <w:szCs w:val="22"/>
              </w:rPr>
              <w:t>1.04 ± 0.63</w:t>
            </w:r>
          </w:p>
        </w:tc>
        <w:tc>
          <w:tcPr>
            <w:tcW w:w="1751" w:type="dxa"/>
            <w:tcMar>
              <w:top w:w="30" w:type="dxa"/>
              <w:left w:w="45" w:type="dxa"/>
              <w:bottom w:w="30" w:type="dxa"/>
              <w:right w:w="45" w:type="dxa"/>
            </w:tcMar>
            <w:vAlign w:val="center"/>
          </w:tcPr>
          <w:p w14:paraId="4E9D4C3A" w14:textId="77777777" w:rsidR="002D7D9C" w:rsidRDefault="00B10594">
            <w:pPr>
              <w:spacing w:after="0" w:line="240" w:lineRule="auto"/>
              <w:jc w:val="center"/>
              <w:rPr>
                <w:sz w:val="22"/>
                <w:szCs w:val="22"/>
              </w:rPr>
            </w:pPr>
            <w:r>
              <w:rPr>
                <w:sz w:val="22"/>
                <w:szCs w:val="22"/>
              </w:rPr>
              <w:t>1.00 ± 0.61</w:t>
            </w:r>
          </w:p>
        </w:tc>
        <w:tc>
          <w:tcPr>
            <w:tcW w:w="1404" w:type="dxa"/>
            <w:tcMar>
              <w:top w:w="30" w:type="dxa"/>
              <w:left w:w="45" w:type="dxa"/>
              <w:bottom w:w="30" w:type="dxa"/>
              <w:right w:w="45" w:type="dxa"/>
            </w:tcMar>
            <w:vAlign w:val="center"/>
          </w:tcPr>
          <w:p w14:paraId="038228F0" w14:textId="77777777" w:rsidR="002D7D9C" w:rsidRDefault="00B10594">
            <w:pPr>
              <w:spacing w:after="0" w:line="240" w:lineRule="auto"/>
              <w:jc w:val="center"/>
              <w:rPr>
                <w:sz w:val="22"/>
                <w:szCs w:val="22"/>
              </w:rPr>
            </w:pPr>
            <w:r>
              <w:rPr>
                <w:sz w:val="22"/>
                <w:szCs w:val="22"/>
              </w:rPr>
              <w:t>0.97 ± 0.60</w:t>
            </w:r>
          </w:p>
        </w:tc>
      </w:tr>
      <w:tr w:rsidR="002D7D9C" w14:paraId="5A53565F" w14:textId="77777777">
        <w:trPr>
          <w:trHeight w:val="315"/>
          <w:jc w:val="center"/>
        </w:trPr>
        <w:tc>
          <w:tcPr>
            <w:tcW w:w="2214" w:type="dxa"/>
            <w:tcMar>
              <w:top w:w="30" w:type="dxa"/>
              <w:left w:w="45" w:type="dxa"/>
              <w:bottom w:w="30" w:type="dxa"/>
              <w:right w:w="45" w:type="dxa"/>
            </w:tcMar>
            <w:vAlign w:val="center"/>
          </w:tcPr>
          <w:p w14:paraId="640349DC" w14:textId="77777777" w:rsidR="002D7D9C" w:rsidRDefault="00B10594">
            <w:pPr>
              <w:spacing w:after="0" w:line="240" w:lineRule="auto"/>
              <w:jc w:val="center"/>
              <w:rPr>
                <w:sz w:val="22"/>
                <w:szCs w:val="22"/>
              </w:rPr>
            </w:pPr>
            <w:r>
              <w:rPr>
                <w:sz w:val="22"/>
                <w:szCs w:val="22"/>
              </w:rPr>
              <w:t>Low Tidal</w:t>
            </w:r>
          </w:p>
        </w:tc>
        <w:tc>
          <w:tcPr>
            <w:tcW w:w="2272" w:type="dxa"/>
            <w:tcMar>
              <w:top w:w="30" w:type="dxa"/>
              <w:left w:w="45" w:type="dxa"/>
              <w:bottom w:w="30" w:type="dxa"/>
              <w:right w:w="45" w:type="dxa"/>
            </w:tcMar>
            <w:vAlign w:val="center"/>
          </w:tcPr>
          <w:p w14:paraId="6D357BA0" w14:textId="77777777" w:rsidR="002D7D9C" w:rsidRDefault="00B10594">
            <w:pPr>
              <w:spacing w:after="0" w:line="240" w:lineRule="auto"/>
              <w:jc w:val="center"/>
              <w:rPr>
                <w:sz w:val="22"/>
                <w:szCs w:val="22"/>
              </w:rPr>
            </w:pPr>
            <w:r>
              <w:rPr>
                <w:sz w:val="22"/>
                <w:szCs w:val="22"/>
              </w:rPr>
              <w:t>-0.32 ± 1.11</w:t>
            </w:r>
          </w:p>
        </w:tc>
        <w:tc>
          <w:tcPr>
            <w:tcW w:w="1449" w:type="dxa"/>
            <w:tcMar>
              <w:top w:w="30" w:type="dxa"/>
              <w:left w:w="45" w:type="dxa"/>
              <w:bottom w:w="30" w:type="dxa"/>
              <w:right w:w="45" w:type="dxa"/>
            </w:tcMar>
            <w:vAlign w:val="center"/>
          </w:tcPr>
          <w:p w14:paraId="37D488E2" w14:textId="77777777" w:rsidR="002D7D9C" w:rsidRDefault="00B10594">
            <w:pPr>
              <w:spacing w:after="0" w:line="240" w:lineRule="auto"/>
              <w:jc w:val="center"/>
              <w:rPr>
                <w:sz w:val="22"/>
                <w:szCs w:val="22"/>
              </w:rPr>
            </w:pPr>
            <w:r>
              <w:rPr>
                <w:sz w:val="22"/>
                <w:szCs w:val="22"/>
              </w:rPr>
              <w:t>-0.29 ± 1.11</w:t>
            </w:r>
          </w:p>
        </w:tc>
        <w:tc>
          <w:tcPr>
            <w:tcW w:w="1751" w:type="dxa"/>
            <w:tcMar>
              <w:top w:w="30" w:type="dxa"/>
              <w:left w:w="45" w:type="dxa"/>
              <w:bottom w:w="30" w:type="dxa"/>
              <w:right w:w="45" w:type="dxa"/>
            </w:tcMar>
            <w:vAlign w:val="center"/>
          </w:tcPr>
          <w:p w14:paraId="6F942555" w14:textId="77777777" w:rsidR="002D7D9C" w:rsidRDefault="00B10594">
            <w:pPr>
              <w:spacing w:after="0" w:line="240" w:lineRule="auto"/>
              <w:jc w:val="center"/>
              <w:rPr>
                <w:sz w:val="22"/>
                <w:szCs w:val="22"/>
              </w:rPr>
            </w:pPr>
            <w:r>
              <w:rPr>
                <w:sz w:val="22"/>
                <w:szCs w:val="22"/>
              </w:rPr>
              <w:t>-0.33 ± 1.11</w:t>
            </w:r>
          </w:p>
        </w:tc>
        <w:tc>
          <w:tcPr>
            <w:tcW w:w="1404" w:type="dxa"/>
            <w:tcMar>
              <w:top w:w="30" w:type="dxa"/>
              <w:left w:w="45" w:type="dxa"/>
              <w:bottom w:w="30" w:type="dxa"/>
              <w:right w:w="45" w:type="dxa"/>
            </w:tcMar>
            <w:vAlign w:val="center"/>
          </w:tcPr>
          <w:p w14:paraId="216928EA" w14:textId="77777777" w:rsidR="002D7D9C" w:rsidRDefault="00B10594">
            <w:pPr>
              <w:spacing w:after="0" w:line="240" w:lineRule="auto"/>
              <w:jc w:val="center"/>
              <w:rPr>
                <w:sz w:val="22"/>
                <w:szCs w:val="22"/>
              </w:rPr>
            </w:pPr>
            <w:r>
              <w:rPr>
                <w:sz w:val="22"/>
                <w:szCs w:val="22"/>
              </w:rPr>
              <w:t>-0.35 ± 1.11</w:t>
            </w:r>
          </w:p>
        </w:tc>
      </w:tr>
    </w:tbl>
    <w:p w14:paraId="4A2571A6" w14:textId="77777777" w:rsidR="002D7D9C" w:rsidRDefault="002D7D9C">
      <w:pPr>
        <w:spacing w:before="120" w:after="120" w:line="240" w:lineRule="auto"/>
        <w:rPr>
          <w:b/>
          <w:bCs/>
        </w:rPr>
      </w:pPr>
    </w:p>
    <w:p w14:paraId="1985BFCE" w14:textId="77777777" w:rsidR="002D7D9C" w:rsidRDefault="00B10594">
      <w:pPr>
        <w:spacing w:before="120" w:after="120" w:line="240" w:lineRule="auto"/>
        <w:ind w:left="-810" w:firstLine="360"/>
        <w:jc w:val="center"/>
      </w:pPr>
      <w:r>
        <w:rPr>
          <w:noProof/>
        </w:rPr>
        <w:drawing>
          <wp:inline distT="0" distB="0" distL="0" distR="0" wp14:anchorId="5C9F9657" wp14:editId="715780E9">
            <wp:extent cx="6701345" cy="3651374"/>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a:stretch>
                      <a:fillRect/>
                    </a:stretch>
                  </pic:blipFill>
                  <pic:spPr>
                    <a:xfrm>
                      <a:off x="0" y="0"/>
                      <a:ext cx="6701345" cy="3651374"/>
                    </a:xfrm>
                    <a:prstGeom prst="rect">
                      <a:avLst/>
                    </a:prstGeom>
                    <a:ln/>
                  </pic:spPr>
                </pic:pic>
              </a:graphicData>
            </a:graphic>
          </wp:inline>
        </w:drawing>
      </w:r>
    </w:p>
    <w:p w14:paraId="3B1BF4CA" w14:textId="2F04720F" w:rsidR="002D7D9C" w:rsidRDefault="00B10594">
      <w:pPr>
        <w:pBdr>
          <w:top w:val="nil"/>
          <w:left w:val="nil"/>
          <w:bottom w:val="nil"/>
          <w:right w:val="nil"/>
          <w:between w:val="nil"/>
        </w:pBdr>
        <w:spacing w:after="200" w:line="240" w:lineRule="auto"/>
        <w:rPr>
          <w:color w:val="000000"/>
          <w:sz w:val="22"/>
          <w:szCs w:val="22"/>
        </w:rPr>
      </w:pPr>
      <w:r>
        <w:rPr>
          <w:b/>
          <w:bCs/>
          <w:color w:val="000000"/>
          <w:sz w:val="22"/>
          <w:szCs w:val="22"/>
        </w:rPr>
        <w:t xml:space="preserve">Fig. </w:t>
      </w:r>
      <w:r>
        <w:rPr>
          <w:b/>
          <w:bCs/>
          <w:sz w:val="22"/>
          <w:szCs w:val="22"/>
        </w:rPr>
        <w:t>S1</w:t>
      </w:r>
      <w:r>
        <w:rPr>
          <w:b/>
          <w:bCs/>
          <w:color w:val="000000"/>
          <w:sz w:val="22"/>
          <w:szCs w:val="22"/>
        </w:rPr>
        <w:t xml:space="preserve"> </w:t>
      </w:r>
      <w:r>
        <w:rPr>
          <w:color w:val="000000"/>
          <w:sz w:val="20"/>
          <w:szCs w:val="20"/>
        </w:rPr>
        <w:t xml:space="preserve">(a) </w:t>
      </w:r>
      <w:r>
        <w:rPr>
          <w:color w:val="000000"/>
          <w:sz w:val="22"/>
          <w:szCs w:val="22"/>
        </w:rPr>
        <w:t xml:space="preserve">Elevation differences between the filtered in situ high-accuracy elevation points (n=314) and the original DEM, along with (b) the absolute elevations of both datasets relative to MTL at each observation point. Color coding represents the magnitude and direction of the elevation difference: blue indicates that the DEM overestimates elevation, red indicates underestimation, and white represents no difference (i.e., zero error). The size of the data points (circles) indicates the year the measurements were </w:t>
      </w:r>
      <w:r>
        <w:rPr>
          <w:color w:val="000000"/>
          <w:sz w:val="22"/>
          <w:szCs w:val="22"/>
        </w:rPr>
        <w:lastRenderedPageBreak/>
        <w:t xml:space="preserve">collected. The dotted diagonal line represents the 1:1 relationship, indicating perfect agreement between in situ elevation observations and DEM values. The black dashed line shows the linear regression trend between the </w:t>
      </w:r>
      <w:proofErr w:type="gramStart"/>
      <w:r>
        <w:rPr>
          <w:color w:val="000000"/>
          <w:sz w:val="22"/>
          <w:szCs w:val="22"/>
        </w:rPr>
        <w:t>in</w:t>
      </w:r>
      <w:r w:rsidR="00B21052">
        <w:rPr>
          <w:color w:val="000000"/>
          <w:sz w:val="22"/>
          <w:szCs w:val="22"/>
        </w:rPr>
        <w:t xml:space="preserve"> </w:t>
      </w:r>
      <w:r>
        <w:rPr>
          <w:color w:val="000000"/>
          <w:sz w:val="22"/>
          <w:szCs w:val="22"/>
        </w:rPr>
        <w:t>situ</w:t>
      </w:r>
      <w:proofErr w:type="gramEnd"/>
      <w:r>
        <w:rPr>
          <w:color w:val="000000"/>
          <w:sz w:val="22"/>
          <w:szCs w:val="22"/>
        </w:rPr>
        <w:t xml:space="preserve"> elevation observations and DEM elevations, illustrating any systematic bias or deviation from the ideal</w:t>
      </w:r>
    </w:p>
    <w:p w14:paraId="3A8AB0A4" w14:textId="77777777" w:rsidR="002D7D9C" w:rsidRDefault="00B10594">
      <w:pPr>
        <w:spacing w:after="120" w:line="240" w:lineRule="auto"/>
        <w:jc w:val="center"/>
        <w:rPr>
          <w:rFonts w:ascii="Times New Roman" w:eastAsia="Times New Roman" w:hAnsi="Times New Roman" w:cs="Times New Roman"/>
          <w:color w:val="000000"/>
        </w:rPr>
      </w:pPr>
      <w:r>
        <w:rPr>
          <w:noProof/>
        </w:rPr>
        <w:drawing>
          <wp:inline distT="114300" distB="114300" distL="114300" distR="114300" wp14:anchorId="44F96DC5" wp14:editId="2FF4F39C">
            <wp:extent cx="4572000" cy="2843784"/>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4572000" cy="2843784"/>
                    </a:xfrm>
                    <a:prstGeom prst="rect">
                      <a:avLst/>
                    </a:prstGeom>
                    <a:ln/>
                  </pic:spPr>
                </pic:pic>
              </a:graphicData>
            </a:graphic>
          </wp:inline>
        </w:drawing>
      </w:r>
    </w:p>
    <w:p w14:paraId="75A75373" w14:textId="58988276" w:rsidR="002D7D9C" w:rsidRDefault="00B10594">
      <w:pPr>
        <w:pBdr>
          <w:top w:val="nil"/>
          <w:left w:val="nil"/>
          <w:bottom w:val="nil"/>
          <w:right w:val="nil"/>
          <w:between w:val="nil"/>
        </w:pBdr>
        <w:spacing w:after="200" w:line="240" w:lineRule="auto"/>
        <w:rPr>
          <w:color w:val="000000"/>
          <w:sz w:val="22"/>
          <w:szCs w:val="22"/>
        </w:rPr>
      </w:pPr>
      <w:r>
        <w:rPr>
          <w:b/>
          <w:bCs/>
          <w:color w:val="000000"/>
          <w:sz w:val="22"/>
          <w:szCs w:val="22"/>
        </w:rPr>
        <w:t xml:space="preserve">Fig. </w:t>
      </w:r>
      <w:r>
        <w:rPr>
          <w:b/>
          <w:bCs/>
          <w:sz w:val="22"/>
          <w:szCs w:val="22"/>
        </w:rPr>
        <w:t>S2</w:t>
      </w:r>
      <w:r>
        <w:rPr>
          <w:b/>
          <w:bCs/>
          <w:color w:val="000000"/>
          <w:sz w:val="22"/>
          <w:szCs w:val="22"/>
        </w:rPr>
        <w:t xml:space="preserve"> </w:t>
      </w:r>
      <w:r>
        <w:rPr>
          <w:color w:val="000000"/>
          <w:sz w:val="22"/>
          <w:szCs w:val="22"/>
        </w:rPr>
        <w:t>Root mean square error (RMSE, blue line, left axis) and mean bias error (MBE, red dashed line, right axis) calculated for the Monte Carlo DEM percentiles using the withheld testing dataset. The intersection of the lowest RMSE and near-zero bias (-0.02 cm) confirms that the optimal DEM representation lies at the 40th percentile</w:t>
      </w:r>
    </w:p>
    <w:p w14:paraId="4A5644B6" w14:textId="77777777" w:rsidR="00E0497E" w:rsidRDefault="00E0497E" w:rsidP="00E0497E">
      <w:pPr>
        <w:spacing w:after="200" w:line="240" w:lineRule="auto"/>
        <w:jc w:val="center"/>
      </w:pPr>
      <w:r>
        <w:rPr>
          <w:noProof/>
        </w:rPr>
        <w:lastRenderedPageBreak/>
        <w:drawing>
          <wp:inline distT="0" distB="0" distL="0" distR="0" wp14:anchorId="5156BDA7" wp14:editId="07B68B02">
            <wp:extent cx="4974336" cy="68580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974336" cy="6858000"/>
                    </a:xfrm>
                    <a:prstGeom prst="rect">
                      <a:avLst/>
                    </a:prstGeom>
                    <a:ln/>
                  </pic:spPr>
                </pic:pic>
              </a:graphicData>
            </a:graphic>
          </wp:inline>
        </w:drawing>
      </w:r>
    </w:p>
    <w:p w14:paraId="6A96D05B" w14:textId="77777777" w:rsidR="00E0497E" w:rsidRDefault="00E0497E" w:rsidP="00E0497E">
      <w:pPr>
        <w:pBdr>
          <w:top w:val="nil"/>
          <w:left w:val="nil"/>
          <w:bottom w:val="nil"/>
          <w:right w:val="nil"/>
          <w:between w:val="nil"/>
        </w:pBdr>
        <w:spacing w:after="200" w:line="240" w:lineRule="auto"/>
        <w:rPr>
          <w:b/>
          <w:bCs/>
          <w:color w:val="000000"/>
          <w:sz w:val="22"/>
          <w:szCs w:val="22"/>
        </w:rPr>
      </w:pPr>
      <w:r>
        <w:rPr>
          <w:b/>
          <w:bCs/>
          <w:color w:val="000000"/>
          <w:sz w:val="22"/>
          <w:szCs w:val="22"/>
        </w:rPr>
        <w:t xml:space="preserve">Fig. </w:t>
      </w:r>
      <w:r>
        <w:rPr>
          <w:b/>
          <w:bCs/>
          <w:sz w:val="22"/>
          <w:szCs w:val="22"/>
        </w:rPr>
        <w:t>S3</w:t>
      </w:r>
      <w:r>
        <w:rPr>
          <w:b/>
          <w:bCs/>
          <w:color w:val="000000"/>
          <w:sz w:val="22"/>
          <w:szCs w:val="22"/>
        </w:rPr>
        <w:t xml:space="preserve"> </w:t>
      </w:r>
      <w:r>
        <w:rPr>
          <w:color w:val="000000"/>
          <w:sz w:val="22"/>
          <w:szCs w:val="22"/>
        </w:rPr>
        <w:t>Spatial projections of land cover change under the Int. SLR scenario, using the best-estimate DEM (P40) and the median (P50) SLR trajectory. The panels show the landscape evolution from (a) 2040, (b) 2060, (c) 2080, to (d) 2100. The results illustrate a gradual landward migration of salt marsh and a moderate expansion of open water</w:t>
      </w:r>
    </w:p>
    <w:p w14:paraId="36C435E2" w14:textId="77777777" w:rsidR="00E0497E" w:rsidRDefault="00E0497E" w:rsidP="00E0497E">
      <w:pPr>
        <w:spacing w:before="120" w:after="120" w:line="240" w:lineRule="auto"/>
        <w:jc w:val="center"/>
        <w:rPr>
          <w:i/>
          <w:iCs/>
          <w:color w:val="000000"/>
        </w:rPr>
      </w:pPr>
      <w:r>
        <w:rPr>
          <w:noProof/>
        </w:rPr>
        <w:lastRenderedPageBreak/>
        <w:drawing>
          <wp:inline distT="0" distB="0" distL="0" distR="0" wp14:anchorId="00FF8F51" wp14:editId="6729C3C1">
            <wp:extent cx="4974336" cy="68580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4974336" cy="6858000"/>
                    </a:xfrm>
                    <a:prstGeom prst="rect">
                      <a:avLst/>
                    </a:prstGeom>
                    <a:ln/>
                  </pic:spPr>
                </pic:pic>
              </a:graphicData>
            </a:graphic>
          </wp:inline>
        </w:drawing>
      </w:r>
    </w:p>
    <w:p w14:paraId="2053FE7D" w14:textId="6DD1E0FA" w:rsidR="00E0497E" w:rsidRDefault="00E0497E" w:rsidP="00E0497E">
      <w:pPr>
        <w:pBdr>
          <w:top w:val="nil"/>
          <w:left w:val="nil"/>
          <w:bottom w:val="nil"/>
          <w:right w:val="nil"/>
          <w:between w:val="nil"/>
        </w:pBdr>
        <w:spacing w:after="200" w:line="240" w:lineRule="auto"/>
        <w:rPr>
          <w:b/>
          <w:bCs/>
          <w:color w:val="000000"/>
          <w:sz w:val="22"/>
          <w:szCs w:val="22"/>
        </w:rPr>
      </w:pPr>
      <w:r>
        <w:rPr>
          <w:b/>
          <w:bCs/>
          <w:color w:val="000000"/>
          <w:sz w:val="22"/>
          <w:szCs w:val="22"/>
        </w:rPr>
        <w:t xml:space="preserve">Fig. </w:t>
      </w:r>
      <w:r>
        <w:rPr>
          <w:b/>
          <w:bCs/>
          <w:sz w:val="22"/>
          <w:szCs w:val="22"/>
        </w:rPr>
        <w:t>S4</w:t>
      </w:r>
      <w:r>
        <w:rPr>
          <w:b/>
          <w:bCs/>
          <w:color w:val="000000"/>
          <w:sz w:val="22"/>
          <w:szCs w:val="22"/>
        </w:rPr>
        <w:t xml:space="preserve"> </w:t>
      </w:r>
      <w:r>
        <w:rPr>
          <w:color w:val="000000"/>
          <w:sz w:val="22"/>
          <w:szCs w:val="22"/>
        </w:rPr>
        <w:t xml:space="preserve">Spatial projections of land cover change under the Int. High SLR scenario, using the best-estimate DEM (P40) and the median (P50) SLR trajectory. The panels show the landscape evolution for the years (a) 2040, (b) 2060, (c) 2080, and (d) 2100. Unlike the Int. scenario (Fig. </w:t>
      </w:r>
      <w:r>
        <w:rPr>
          <w:sz w:val="22"/>
          <w:szCs w:val="22"/>
        </w:rPr>
        <w:t>S3</w:t>
      </w:r>
      <w:r>
        <w:rPr>
          <w:color w:val="000000"/>
          <w:sz w:val="22"/>
          <w:szCs w:val="22"/>
        </w:rPr>
        <w:t xml:space="preserve">), this trajectory illustrates a distinct phase of marsh expansion by 2080 and 2100 (c, d), where rapid upland migration offsets incipient losses at the seaward edge. However, compared to Fig. </w:t>
      </w:r>
      <w:r>
        <w:rPr>
          <w:sz w:val="22"/>
          <w:szCs w:val="22"/>
        </w:rPr>
        <w:t>S3</w:t>
      </w:r>
      <w:r>
        <w:rPr>
          <w:color w:val="000000"/>
          <w:sz w:val="22"/>
          <w:szCs w:val="22"/>
        </w:rPr>
        <w:t>, the conversion of salt marsh to low tidal flats and open water is also more pronounced, particularly by the end of the century</w:t>
      </w:r>
    </w:p>
    <w:p w14:paraId="782F517E" w14:textId="77777777" w:rsidR="00E0497E" w:rsidRDefault="00E0497E">
      <w:pPr>
        <w:pBdr>
          <w:top w:val="nil"/>
          <w:left w:val="nil"/>
          <w:bottom w:val="nil"/>
          <w:right w:val="nil"/>
          <w:between w:val="nil"/>
        </w:pBdr>
        <w:spacing w:after="200" w:line="240" w:lineRule="auto"/>
        <w:rPr>
          <w:b/>
          <w:bCs/>
        </w:rPr>
      </w:pPr>
    </w:p>
    <w:p w14:paraId="2F3954BF" w14:textId="77777777" w:rsidR="002D7D9C" w:rsidRDefault="00B10594">
      <w:pPr>
        <w:spacing w:line="240" w:lineRule="auto"/>
        <w:ind w:firstLine="360"/>
        <w:jc w:val="center"/>
      </w:pPr>
      <w:r>
        <w:rPr>
          <w:noProof/>
        </w:rPr>
        <w:drawing>
          <wp:inline distT="0" distB="0" distL="0" distR="0" wp14:anchorId="633287BA" wp14:editId="248DE588">
            <wp:extent cx="5029200" cy="3922776"/>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029200" cy="3922776"/>
                    </a:xfrm>
                    <a:prstGeom prst="rect">
                      <a:avLst/>
                    </a:prstGeom>
                    <a:ln/>
                  </pic:spPr>
                </pic:pic>
              </a:graphicData>
            </a:graphic>
          </wp:inline>
        </w:drawing>
      </w:r>
    </w:p>
    <w:p w14:paraId="4574E181" w14:textId="278A592E" w:rsidR="002D7D9C" w:rsidRDefault="00B10594">
      <w:pPr>
        <w:pBdr>
          <w:top w:val="nil"/>
          <w:left w:val="nil"/>
          <w:bottom w:val="nil"/>
          <w:right w:val="nil"/>
          <w:between w:val="nil"/>
        </w:pBdr>
        <w:spacing w:after="200" w:line="240" w:lineRule="auto"/>
        <w:rPr>
          <w:color w:val="000000"/>
          <w:sz w:val="22"/>
          <w:szCs w:val="22"/>
        </w:rPr>
      </w:pPr>
      <w:r>
        <w:rPr>
          <w:b/>
          <w:bCs/>
          <w:color w:val="000000"/>
          <w:sz w:val="22"/>
          <w:szCs w:val="22"/>
        </w:rPr>
        <w:t>Fig</w:t>
      </w:r>
      <w:r>
        <w:rPr>
          <w:b/>
          <w:bCs/>
          <w:sz w:val="22"/>
          <w:szCs w:val="22"/>
        </w:rPr>
        <w:t>. S</w:t>
      </w:r>
      <w:r w:rsidR="00E0497E">
        <w:rPr>
          <w:b/>
          <w:bCs/>
          <w:sz w:val="22"/>
          <w:szCs w:val="22"/>
        </w:rPr>
        <w:t>5</w:t>
      </w:r>
      <w:r>
        <w:rPr>
          <w:sz w:val="22"/>
          <w:szCs w:val="22"/>
        </w:rPr>
        <w:t xml:space="preserve"> </w:t>
      </w:r>
      <w:r>
        <w:rPr>
          <w:color w:val="000000"/>
          <w:sz w:val="22"/>
          <w:szCs w:val="22"/>
        </w:rPr>
        <w:t>The effect of topographic uncertainty on projected land cover change for upland and freshwater habitats. The y-axis shows the difference in the projected percent change (from a 2025 baseline) between the DEM percentiles (P20, P40, P80) and the original DEM. The subplot columns represent the Int, Int. High, and High SLR scenarios (P50). This visualization isolates the impact of topographic uncertainty on inland categories, highlighting that the uncertainty-informed DEMs project a more rapid loss of freshwater tidal (</w:t>
      </w:r>
      <w:proofErr w:type="spellStart"/>
      <w:r>
        <w:rPr>
          <w:color w:val="000000"/>
          <w:sz w:val="22"/>
          <w:szCs w:val="22"/>
        </w:rPr>
        <w:t>i</w:t>
      </w:r>
      <w:proofErr w:type="spellEnd"/>
      <w:r>
        <w:rPr>
          <w:color w:val="000000"/>
          <w:sz w:val="22"/>
          <w:szCs w:val="22"/>
        </w:rPr>
        <w:t>) and aggregated non-tidal (c) habitats compared to the original topographic data</w:t>
      </w:r>
    </w:p>
    <w:p w14:paraId="2FFBDB98" w14:textId="77777777" w:rsidR="002D7D9C" w:rsidRDefault="00B10594">
      <w:pPr>
        <w:pBdr>
          <w:top w:val="nil"/>
          <w:left w:val="nil"/>
          <w:bottom w:val="nil"/>
          <w:right w:val="nil"/>
          <w:between w:val="nil"/>
        </w:pBdr>
        <w:spacing w:after="200" w:line="240" w:lineRule="auto"/>
        <w:jc w:val="center"/>
        <w:rPr>
          <w:sz w:val="22"/>
          <w:szCs w:val="22"/>
        </w:rPr>
      </w:pPr>
      <w:r>
        <w:rPr>
          <w:noProof/>
        </w:rPr>
        <w:lastRenderedPageBreak/>
        <w:drawing>
          <wp:inline distT="0" distB="0" distL="0" distR="0" wp14:anchorId="72AB48A7" wp14:editId="300F1BFD">
            <wp:extent cx="5029200" cy="516636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029200" cy="5166360"/>
                    </a:xfrm>
                    <a:prstGeom prst="rect">
                      <a:avLst/>
                    </a:prstGeom>
                    <a:ln/>
                  </pic:spPr>
                </pic:pic>
              </a:graphicData>
            </a:graphic>
          </wp:inline>
        </w:drawing>
      </w:r>
    </w:p>
    <w:p w14:paraId="6C2425DD" w14:textId="018C0910" w:rsidR="002D7D9C" w:rsidRDefault="00B10594">
      <w:pPr>
        <w:pBdr>
          <w:top w:val="nil"/>
          <w:left w:val="nil"/>
          <w:bottom w:val="nil"/>
          <w:right w:val="nil"/>
          <w:between w:val="nil"/>
        </w:pBdr>
        <w:spacing w:after="200" w:line="240" w:lineRule="auto"/>
        <w:rPr>
          <w:color w:val="000000"/>
          <w:sz w:val="22"/>
          <w:szCs w:val="22"/>
        </w:rPr>
      </w:pPr>
      <w:r>
        <w:rPr>
          <w:b/>
          <w:bCs/>
          <w:color w:val="000000"/>
          <w:sz w:val="22"/>
          <w:szCs w:val="22"/>
        </w:rPr>
        <w:t>Fig. S</w:t>
      </w:r>
      <w:r w:rsidR="00E0497E">
        <w:rPr>
          <w:b/>
          <w:bCs/>
          <w:color w:val="000000"/>
          <w:sz w:val="22"/>
          <w:szCs w:val="22"/>
        </w:rPr>
        <w:t>6</w:t>
      </w:r>
      <w:r>
        <w:rPr>
          <w:color w:val="000000"/>
          <w:sz w:val="22"/>
          <w:szCs w:val="22"/>
        </w:rPr>
        <w:t xml:space="preserve"> The effect of topographic uncertainty on projected land cover change for coastal and estuarine habitats. The y-axis shows the difference in the projected percent change (from a 2025 baseline) between the DEM percentiles (P20, P40, P80) and the original DEM. The subplot columns represent the Int, Int. High, and High SLR scenarios (P50). This visualization isolates the impact of topographic uncertainty on coastal ecosystems, highlighting that the uncertainty-informed DEMs project a significantly greater expansion of salt marsh (f) and a more rapid loss of transitional marsh (c) compared to the original topographic data</w:t>
      </w:r>
    </w:p>
    <w:p w14:paraId="41CD92B6" w14:textId="77777777" w:rsidR="002D7D9C" w:rsidRDefault="002D7D9C">
      <w:pPr>
        <w:pBdr>
          <w:top w:val="nil"/>
          <w:left w:val="nil"/>
          <w:bottom w:val="nil"/>
          <w:right w:val="nil"/>
          <w:between w:val="nil"/>
        </w:pBdr>
        <w:spacing w:after="200" w:line="240" w:lineRule="auto"/>
        <w:rPr>
          <w:color w:val="000000"/>
          <w:sz w:val="22"/>
          <w:szCs w:val="22"/>
        </w:rPr>
      </w:pPr>
    </w:p>
    <w:p w14:paraId="386E8371" w14:textId="77777777" w:rsidR="002D7D9C" w:rsidRDefault="002D7D9C">
      <w:pPr>
        <w:pBdr>
          <w:top w:val="nil"/>
          <w:left w:val="nil"/>
          <w:bottom w:val="nil"/>
          <w:right w:val="nil"/>
          <w:between w:val="nil"/>
        </w:pBdr>
        <w:spacing w:before="120" w:after="120" w:line="240" w:lineRule="auto"/>
        <w:rPr>
          <w:sz w:val="20"/>
          <w:szCs w:val="20"/>
        </w:rPr>
      </w:pPr>
    </w:p>
    <w:p w14:paraId="02B567E9" w14:textId="77777777" w:rsidR="002D7D9C" w:rsidRDefault="00B10594">
      <w:pPr>
        <w:pBdr>
          <w:top w:val="nil"/>
          <w:left w:val="nil"/>
          <w:bottom w:val="nil"/>
          <w:right w:val="nil"/>
          <w:between w:val="nil"/>
        </w:pBdr>
        <w:spacing w:before="120" w:after="120" w:line="240" w:lineRule="auto"/>
        <w:jc w:val="center"/>
        <w:rPr>
          <w:sz w:val="20"/>
          <w:szCs w:val="20"/>
        </w:rPr>
      </w:pPr>
      <w:r>
        <w:rPr>
          <w:noProof/>
        </w:rPr>
        <w:lastRenderedPageBreak/>
        <w:drawing>
          <wp:inline distT="0" distB="0" distL="0" distR="0" wp14:anchorId="3E5F1866" wp14:editId="6137E801">
            <wp:extent cx="4937760" cy="68580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937760" cy="6858000"/>
                    </a:xfrm>
                    <a:prstGeom prst="rect">
                      <a:avLst/>
                    </a:prstGeom>
                    <a:ln/>
                  </pic:spPr>
                </pic:pic>
              </a:graphicData>
            </a:graphic>
          </wp:inline>
        </w:drawing>
      </w:r>
    </w:p>
    <w:p w14:paraId="046011AB" w14:textId="6DF4008F" w:rsidR="002D7D9C" w:rsidRDefault="00B10594">
      <w:pPr>
        <w:pBdr>
          <w:top w:val="nil"/>
          <w:left w:val="nil"/>
          <w:bottom w:val="nil"/>
          <w:right w:val="nil"/>
          <w:between w:val="nil"/>
        </w:pBdr>
        <w:spacing w:after="200" w:line="240" w:lineRule="auto"/>
        <w:rPr>
          <w:b/>
          <w:bCs/>
          <w:color w:val="000000"/>
          <w:sz w:val="22"/>
          <w:szCs w:val="22"/>
        </w:rPr>
      </w:pPr>
      <w:r>
        <w:rPr>
          <w:b/>
          <w:bCs/>
          <w:color w:val="000000"/>
          <w:sz w:val="22"/>
          <w:szCs w:val="22"/>
        </w:rPr>
        <w:t xml:space="preserve">Fig. S7 </w:t>
      </w:r>
      <w:r>
        <w:rPr>
          <w:color w:val="000000"/>
          <w:sz w:val="22"/>
          <w:szCs w:val="22"/>
        </w:rPr>
        <w:t xml:space="preserve">Projected marsh fate for the PIE under the Int. SLR scenario at </w:t>
      </w:r>
      <w:proofErr w:type="gramStart"/>
      <w:r>
        <w:rPr>
          <w:color w:val="000000"/>
          <w:sz w:val="22"/>
          <w:szCs w:val="22"/>
        </w:rPr>
        <w:t>four time</w:t>
      </w:r>
      <w:proofErr w:type="gramEnd"/>
      <w:r>
        <w:rPr>
          <w:color w:val="000000"/>
          <w:sz w:val="22"/>
          <w:szCs w:val="22"/>
        </w:rPr>
        <w:t xml:space="preserve"> steps: (a) 2040, (b) 2060, (c) 2080, and (d) 2100. The results depict a highly resilient system where the existing marsh platform remains almost entirely classified as Persistent (dark green) throughout the century. Adaptation to SLR occurs through a gradual expansion of Likely Migration zones (purple) into adjacent uplands, with no significant degradation of the core marsh</w:t>
      </w:r>
    </w:p>
    <w:p w14:paraId="74926D31" w14:textId="77777777" w:rsidR="002D7D9C" w:rsidRDefault="00B10594">
      <w:pPr>
        <w:pBdr>
          <w:top w:val="nil"/>
          <w:left w:val="nil"/>
          <w:bottom w:val="nil"/>
          <w:right w:val="nil"/>
          <w:between w:val="nil"/>
        </w:pBdr>
        <w:spacing w:before="120" w:after="120" w:line="240" w:lineRule="auto"/>
        <w:jc w:val="center"/>
        <w:rPr>
          <w:sz w:val="20"/>
          <w:szCs w:val="20"/>
        </w:rPr>
      </w:pPr>
      <w:r>
        <w:rPr>
          <w:noProof/>
        </w:rPr>
        <w:lastRenderedPageBreak/>
        <w:drawing>
          <wp:inline distT="0" distB="0" distL="0" distR="0" wp14:anchorId="38CC5E3B" wp14:editId="1347DE8B">
            <wp:extent cx="4937760" cy="68580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4937760" cy="6858000"/>
                    </a:xfrm>
                    <a:prstGeom prst="rect">
                      <a:avLst/>
                    </a:prstGeom>
                    <a:ln/>
                  </pic:spPr>
                </pic:pic>
              </a:graphicData>
            </a:graphic>
          </wp:inline>
        </w:drawing>
      </w:r>
    </w:p>
    <w:p w14:paraId="3073D7BF" w14:textId="44C664B6" w:rsidR="002D7D9C" w:rsidRDefault="00B10594">
      <w:pPr>
        <w:pBdr>
          <w:top w:val="nil"/>
          <w:left w:val="nil"/>
          <w:bottom w:val="nil"/>
          <w:right w:val="nil"/>
          <w:between w:val="nil"/>
        </w:pBdr>
        <w:spacing w:after="200" w:line="240" w:lineRule="auto"/>
        <w:rPr>
          <w:color w:val="000000"/>
          <w:sz w:val="22"/>
          <w:szCs w:val="22"/>
        </w:rPr>
      </w:pPr>
      <w:r>
        <w:rPr>
          <w:b/>
          <w:bCs/>
          <w:color w:val="000000"/>
          <w:sz w:val="22"/>
          <w:szCs w:val="22"/>
        </w:rPr>
        <w:t xml:space="preserve">Fig. S8 </w:t>
      </w:r>
      <w:r>
        <w:rPr>
          <w:color w:val="000000"/>
          <w:sz w:val="22"/>
          <w:szCs w:val="22"/>
        </w:rPr>
        <w:t xml:space="preserve">Projected marsh fate for the PIE under the Int. High SLR scenario at </w:t>
      </w:r>
      <w:proofErr w:type="gramStart"/>
      <w:r>
        <w:rPr>
          <w:color w:val="000000"/>
          <w:sz w:val="22"/>
          <w:szCs w:val="22"/>
        </w:rPr>
        <w:t>four time</w:t>
      </w:r>
      <w:proofErr w:type="gramEnd"/>
      <w:r>
        <w:rPr>
          <w:color w:val="000000"/>
          <w:sz w:val="22"/>
          <w:szCs w:val="22"/>
        </w:rPr>
        <w:t xml:space="preserve"> steps: (a) 2040, (b) 2060, (c) 2080, and (d) 2100. Under these conditions, the marsh platform remains largely resilient, dominated by Persistent Marsh (dark green). The system adapts primarily through the gradual expansion of Likely Migration zones (purple) into adjacent uplands, particularly after mid-century</w:t>
      </w:r>
    </w:p>
    <w:p w14:paraId="672874C1" w14:textId="77777777" w:rsidR="002D7D9C" w:rsidRDefault="002D7D9C">
      <w:pPr>
        <w:pBdr>
          <w:top w:val="nil"/>
          <w:left w:val="nil"/>
          <w:bottom w:val="nil"/>
          <w:right w:val="nil"/>
          <w:between w:val="nil"/>
        </w:pBdr>
        <w:spacing w:after="200" w:line="240" w:lineRule="auto"/>
        <w:rPr>
          <w:sz w:val="22"/>
          <w:szCs w:val="22"/>
        </w:rPr>
      </w:pPr>
    </w:p>
    <w:p w14:paraId="1613FD10" w14:textId="77777777" w:rsidR="002D7D9C" w:rsidRDefault="00B10594">
      <w:pPr>
        <w:pStyle w:val="Heading1"/>
        <w:spacing w:line="240" w:lineRule="auto"/>
      </w:pPr>
      <w:bookmarkStart w:id="0" w:name="_heading=h.x44ykn429tn9" w:colFirst="0" w:colLast="0"/>
      <w:bookmarkEnd w:id="0"/>
      <w:r>
        <w:lastRenderedPageBreak/>
        <w:t xml:space="preserve">References </w:t>
      </w:r>
    </w:p>
    <w:p w14:paraId="17E00656" w14:textId="77777777" w:rsidR="002D7D9C" w:rsidRPr="00AA1175" w:rsidRDefault="00B10594" w:rsidP="00AA1175">
      <w:pPr>
        <w:pBdr>
          <w:top w:val="nil"/>
          <w:left w:val="nil"/>
          <w:bottom w:val="nil"/>
          <w:right w:val="nil"/>
          <w:between w:val="nil"/>
        </w:pBdr>
        <w:spacing w:after="0" w:line="240" w:lineRule="auto"/>
        <w:ind w:left="720" w:hanging="720"/>
        <w:contextualSpacing/>
        <w:jc w:val="left"/>
        <w:rPr>
          <w:color w:val="000000"/>
        </w:rPr>
      </w:pPr>
      <w:r w:rsidRPr="00AA1175">
        <w:rPr>
          <w:color w:val="000000"/>
        </w:rPr>
        <w:t xml:space="preserve">Cramer, J.M., Huntley, E.C., </w:t>
      </w:r>
      <w:proofErr w:type="spellStart"/>
      <w:r w:rsidRPr="00AA1175">
        <w:rPr>
          <w:color w:val="000000"/>
        </w:rPr>
        <w:t>Brosnahan</w:t>
      </w:r>
      <w:proofErr w:type="spellEnd"/>
      <w:r w:rsidRPr="00AA1175">
        <w:rPr>
          <w:color w:val="000000"/>
        </w:rPr>
        <w:t xml:space="preserve">, S.M., </w:t>
      </w:r>
      <w:proofErr w:type="spellStart"/>
      <w:r w:rsidRPr="00AA1175">
        <w:rPr>
          <w:color w:val="000000"/>
        </w:rPr>
        <w:t>Ganju</w:t>
      </w:r>
      <w:proofErr w:type="spellEnd"/>
      <w:r w:rsidRPr="00AA1175">
        <w:rPr>
          <w:color w:val="000000"/>
        </w:rPr>
        <w:t xml:space="preserve">, N.K., Sturdivant, E.J., Pendleton, E.A., Ackerman, S.D., and Borden, J. (2022). Aerial imagery and ground control points collected during an uncrewed aerial systems (UAS) survey at Plum Island Estuary and Parker River NWR (PIEPR), November 14, 2017 and March 28, 2019: U.S. Geological Survey data release, </w:t>
      </w:r>
      <w:hyperlink r:id="rId14">
        <w:r w:rsidRPr="00AA1175">
          <w:rPr>
            <w:color w:val="000000"/>
          </w:rPr>
          <w:t>https://doi.org/10.5066/P9PP35F4</w:t>
        </w:r>
      </w:hyperlink>
      <w:r w:rsidRPr="00AA1175">
        <w:rPr>
          <w:color w:val="000000"/>
        </w:rPr>
        <w:t>.</w:t>
      </w:r>
    </w:p>
    <w:p w14:paraId="085FDB93" w14:textId="77777777" w:rsidR="002D7D9C" w:rsidRPr="00AA1175" w:rsidRDefault="00B10594" w:rsidP="00AA1175">
      <w:pPr>
        <w:pBdr>
          <w:top w:val="nil"/>
          <w:left w:val="nil"/>
          <w:bottom w:val="nil"/>
          <w:right w:val="nil"/>
          <w:between w:val="nil"/>
        </w:pBdr>
        <w:spacing w:after="0" w:line="240" w:lineRule="auto"/>
        <w:ind w:left="720" w:hanging="720"/>
        <w:contextualSpacing/>
        <w:jc w:val="left"/>
        <w:rPr>
          <w:color w:val="000000"/>
        </w:rPr>
      </w:pPr>
      <w:proofErr w:type="spellStart"/>
      <w:r w:rsidRPr="00AA1175">
        <w:rPr>
          <w:color w:val="000000"/>
        </w:rPr>
        <w:t>Luk</w:t>
      </w:r>
      <w:proofErr w:type="spellEnd"/>
      <w:r w:rsidRPr="00AA1175">
        <w:rPr>
          <w:color w:val="000000"/>
        </w:rPr>
        <w:t xml:space="preserve">, S.Y., Spivak, A.C., Eagle, M.J., and O'Keefe-Suttles, J.A., (2020), Collection, analysis, and age-dating of sediment cores from a salt marsh platform and ponds, Rowley, Massachusetts, 2014-15: U.S. Geological Survey data release, </w:t>
      </w:r>
      <w:hyperlink r:id="rId15">
        <w:r w:rsidRPr="00AA1175">
          <w:rPr>
            <w:color w:val="000000"/>
          </w:rPr>
          <w:t>https://doi.org/10.5066/P9HIOWKT</w:t>
        </w:r>
      </w:hyperlink>
      <w:r w:rsidRPr="00AA1175">
        <w:rPr>
          <w:color w:val="000000"/>
        </w:rPr>
        <w:t>.</w:t>
      </w:r>
    </w:p>
    <w:p w14:paraId="60775112" w14:textId="77777777" w:rsidR="002D7D9C" w:rsidRPr="00AA1175" w:rsidRDefault="00B10594" w:rsidP="00AA1175">
      <w:pPr>
        <w:pBdr>
          <w:top w:val="nil"/>
          <w:left w:val="nil"/>
          <w:bottom w:val="nil"/>
          <w:right w:val="nil"/>
          <w:between w:val="nil"/>
        </w:pBdr>
        <w:spacing w:after="0" w:line="240" w:lineRule="auto"/>
        <w:ind w:left="720" w:hanging="720"/>
        <w:contextualSpacing/>
        <w:jc w:val="left"/>
        <w:rPr>
          <w:color w:val="000000"/>
        </w:rPr>
      </w:pPr>
      <w:r w:rsidRPr="00AA1175">
        <w:rPr>
          <w:color w:val="000000"/>
        </w:rPr>
        <w:t xml:space="preserve">Sundberg, K., I. </w:t>
      </w:r>
      <w:proofErr w:type="spellStart"/>
      <w:r w:rsidRPr="00AA1175">
        <w:rPr>
          <w:color w:val="000000"/>
        </w:rPr>
        <w:t>Forbrich</w:t>
      </w:r>
      <w:proofErr w:type="spellEnd"/>
      <w:r w:rsidRPr="00AA1175">
        <w:rPr>
          <w:color w:val="000000"/>
        </w:rPr>
        <w:t xml:space="preserve">, R. </w:t>
      </w:r>
      <w:proofErr w:type="spellStart"/>
      <w:r w:rsidRPr="00AA1175">
        <w:rPr>
          <w:color w:val="000000"/>
        </w:rPr>
        <w:t>Buchsbaum</w:t>
      </w:r>
      <w:proofErr w:type="spellEnd"/>
      <w:r w:rsidRPr="00AA1175">
        <w:rPr>
          <w:color w:val="000000"/>
        </w:rPr>
        <w:t xml:space="preserve">, and S. Kelsey. (2022). PIE LTER marsh vegetation species composition and elevation along nine transects in 2021 </w:t>
      </w:r>
      <w:proofErr w:type="spellStart"/>
      <w:r w:rsidRPr="00AA1175">
        <w:rPr>
          <w:color w:val="000000"/>
        </w:rPr>
        <w:t>ver</w:t>
      </w:r>
      <w:proofErr w:type="spellEnd"/>
      <w:r w:rsidRPr="00AA1175">
        <w:rPr>
          <w:color w:val="000000"/>
        </w:rPr>
        <w:t xml:space="preserve"> 1. Environmental Data Initiative. </w:t>
      </w:r>
      <w:hyperlink r:id="rId16">
        <w:r w:rsidRPr="00AA1175">
          <w:rPr>
            <w:color w:val="000000"/>
          </w:rPr>
          <w:t>https://doi.org/10.6073/pasta/d922fe6b08ba186da7e83c23c4904553</w:t>
        </w:r>
      </w:hyperlink>
      <w:r w:rsidRPr="00AA1175">
        <w:rPr>
          <w:color w:val="000000"/>
        </w:rPr>
        <w:t>. Accessed 2025-04-09.</w:t>
      </w:r>
    </w:p>
    <w:p w14:paraId="5C6E01FE" w14:textId="77777777" w:rsidR="002D7D9C" w:rsidRPr="00AA1175" w:rsidRDefault="00B10594" w:rsidP="00AA1175">
      <w:pPr>
        <w:pBdr>
          <w:top w:val="nil"/>
          <w:left w:val="nil"/>
          <w:bottom w:val="nil"/>
          <w:right w:val="nil"/>
          <w:between w:val="nil"/>
        </w:pBdr>
        <w:spacing w:after="0" w:line="240" w:lineRule="auto"/>
        <w:ind w:left="720" w:hanging="720"/>
        <w:contextualSpacing/>
        <w:jc w:val="left"/>
        <w:rPr>
          <w:color w:val="000000"/>
        </w:rPr>
      </w:pPr>
      <w:r w:rsidRPr="00AA1175">
        <w:rPr>
          <w:color w:val="000000"/>
        </w:rPr>
        <w:t xml:space="preserve">USGS (2022). Lidar Base Specification 2022 rev. A. </w:t>
      </w:r>
      <w:hyperlink r:id="rId17">
        <w:r w:rsidRPr="00AA1175">
          <w:rPr>
            <w:color w:val="000000"/>
          </w:rPr>
          <w:t>https://www.usgs.gov/media/files/lidar-base-specification-2022-rev</w:t>
        </w:r>
      </w:hyperlink>
      <w:r w:rsidRPr="00AA1175">
        <w:rPr>
          <w:color w:val="000000"/>
        </w:rPr>
        <w:t>. Accessed 2025-06-10.</w:t>
      </w:r>
    </w:p>
    <w:p w14:paraId="034F610B" w14:textId="77777777" w:rsidR="002D7D9C" w:rsidRPr="00AA1175" w:rsidRDefault="00B10594" w:rsidP="00AA1175">
      <w:pPr>
        <w:pBdr>
          <w:top w:val="nil"/>
          <w:left w:val="nil"/>
          <w:bottom w:val="nil"/>
          <w:right w:val="nil"/>
          <w:between w:val="nil"/>
        </w:pBdr>
        <w:spacing w:after="0" w:line="240" w:lineRule="auto"/>
        <w:ind w:left="720" w:hanging="720"/>
        <w:contextualSpacing/>
        <w:jc w:val="left"/>
        <w:rPr>
          <w:color w:val="000000"/>
        </w:rPr>
      </w:pPr>
      <w:r w:rsidRPr="00AA1175">
        <w:rPr>
          <w:color w:val="000000"/>
        </w:rPr>
        <w:t xml:space="preserve">Weston, N. (2023). Plant aboveground biomass dry weight record for Space for Time plots in PIE LTER. </w:t>
      </w:r>
      <w:proofErr w:type="spellStart"/>
      <w:r w:rsidRPr="00AA1175">
        <w:rPr>
          <w:color w:val="000000"/>
        </w:rPr>
        <w:t>ver</w:t>
      </w:r>
      <w:proofErr w:type="spellEnd"/>
      <w:r w:rsidRPr="00AA1175">
        <w:rPr>
          <w:color w:val="000000"/>
        </w:rPr>
        <w:t xml:space="preserve"> 1. Environmental Data Initiative. </w:t>
      </w:r>
      <w:hyperlink r:id="rId18">
        <w:r w:rsidRPr="00AA1175">
          <w:rPr>
            <w:color w:val="000000"/>
          </w:rPr>
          <w:t>https://doi.org/10.6073/pasta/bed84a89b479d6acd588ded3dcde495c</w:t>
        </w:r>
      </w:hyperlink>
      <w:r w:rsidRPr="00AA1175">
        <w:rPr>
          <w:color w:val="000000"/>
        </w:rPr>
        <w:t>. Accessed 2025-04-09.</w:t>
      </w:r>
    </w:p>
    <w:p w14:paraId="174A8877" w14:textId="77777777" w:rsidR="002D7D9C" w:rsidRPr="00AA1175" w:rsidRDefault="00B10594" w:rsidP="00AA1175">
      <w:pPr>
        <w:pBdr>
          <w:top w:val="nil"/>
          <w:left w:val="nil"/>
          <w:bottom w:val="nil"/>
          <w:right w:val="nil"/>
          <w:between w:val="nil"/>
        </w:pBdr>
        <w:spacing w:after="0" w:line="240" w:lineRule="auto"/>
        <w:ind w:left="720" w:hanging="720"/>
        <w:contextualSpacing/>
        <w:jc w:val="left"/>
        <w:rPr>
          <w:color w:val="000000"/>
        </w:rPr>
      </w:pPr>
      <w:proofErr w:type="spellStart"/>
      <w:r w:rsidRPr="00AA1175">
        <w:rPr>
          <w:color w:val="000000"/>
        </w:rPr>
        <w:t>Woltz</w:t>
      </w:r>
      <w:proofErr w:type="spellEnd"/>
      <w:r w:rsidRPr="00AA1175">
        <w:rPr>
          <w:color w:val="000000"/>
        </w:rPr>
        <w:t xml:space="preserve">, V.L., Stagg, C.L., Byrd, K.B., Windham-Myers, L., </w:t>
      </w:r>
      <w:proofErr w:type="spellStart"/>
      <w:r w:rsidRPr="00AA1175">
        <w:rPr>
          <w:color w:val="000000"/>
        </w:rPr>
        <w:t>Rovai</w:t>
      </w:r>
      <w:proofErr w:type="spellEnd"/>
      <w:r w:rsidRPr="00AA1175">
        <w:rPr>
          <w:color w:val="000000"/>
        </w:rPr>
        <w:t>, A.S., and Zhu, Z. (2023). Biomass Carbon Stock and Net Primary Productivity in Tidal Herbaceous Wetlands of the Conterminous United States: U.S. Geological Survey data release, https://doi.org/10.5066/P9I1PCLS.</w:t>
      </w:r>
    </w:p>
    <w:p w14:paraId="2161E9D1" w14:textId="77777777" w:rsidR="002D7D9C" w:rsidRDefault="002D7D9C"/>
    <w:p w14:paraId="4453C454" w14:textId="77777777" w:rsidR="002D7D9C" w:rsidRDefault="002D7D9C"/>
    <w:sectPr w:rsidR="002D7D9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D320A2B2-5000-4617-B0C6-67EBC7CEA9C6}"/>
    <w:embedBold r:id="rId2" w:fontKey="{840C3A01-899B-414E-97C8-77AD7DF9595F}"/>
    <w:embedItalic r:id="rId3" w:fontKey="{324E9823-E5AE-4795-96C7-18E4BDBFD03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935EA8EF-39A7-4805-92A2-938A39E580D8}"/>
  </w:font>
  <w:font w:name="Cambria">
    <w:panose1 w:val="02040503050406030204"/>
    <w:charset w:val="00"/>
    <w:family w:val="roman"/>
    <w:pitch w:val="variable"/>
    <w:sig w:usb0="E00006FF" w:usb1="420024FF" w:usb2="02000000" w:usb3="00000000" w:csb0="0000019F" w:csb1="00000000"/>
    <w:embedRegular r:id="rId5" w:fontKey="{425CED7C-B83A-4FE1-BBB6-61EA7EA53A1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D9C"/>
    <w:rsid w:val="0006296B"/>
    <w:rsid w:val="00166013"/>
    <w:rsid w:val="001D6748"/>
    <w:rsid w:val="002D7D9C"/>
    <w:rsid w:val="00506987"/>
    <w:rsid w:val="00771265"/>
    <w:rsid w:val="00AA1175"/>
    <w:rsid w:val="00B10594"/>
    <w:rsid w:val="00B21052"/>
    <w:rsid w:val="00D85F55"/>
    <w:rsid w:val="00E0497E"/>
    <w:rsid w:val="00F71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603B"/>
  <w15:docId w15:val="{A9AC0DCE-0B93-41A4-97E1-0368785F7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doi.org/10.6073/pasta/bed84a89b479d6acd588ded3dcde495c"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usgs.gov/media/files/lidar-base-specification-2022-rev" TargetMode="External"/><Relationship Id="rId2" Type="http://schemas.openxmlformats.org/officeDocument/2006/relationships/styles" Target="styles.xml"/><Relationship Id="rId16" Type="http://schemas.openxmlformats.org/officeDocument/2006/relationships/hyperlink" Target="https://doi.org/10.6073/pasta/d922fe6b08ba186da7e83c23c490455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ramin.familkhalili@noaa.gov" TargetMode="External"/><Relationship Id="rId15" Type="http://schemas.openxmlformats.org/officeDocument/2006/relationships/hyperlink" Target="https://doi.org/10.5066/P9HIOWKT"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doi.org/10.5066/P9PP35F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YDNxbdcer90IfbbbEWrpcnjL+w==">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11</Pages>
  <Words>1765</Words>
  <Characters>10066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Ramin Familkhalili</dc:creator>
  <cp:lastModifiedBy>Ramin Familkhalili</cp:lastModifiedBy>
  <cp:revision>9</cp:revision>
  <cp:lastPrinted>2026-04-24T17:09:00Z</cp:lastPrinted>
  <dcterms:created xsi:type="dcterms:W3CDTF">2026-04-23T16:36:00Z</dcterms:created>
  <dcterms:modified xsi:type="dcterms:W3CDTF">2026-05-13T12:46:00Z</dcterms:modified>
</cp:coreProperties>
</file>