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3E644" w14:textId="0B5892EA" w:rsidR="00397BB1" w:rsidRPr="00AC7247" w:rsidRDefault="00D21A3D">
      <w:pPr>
        <w:rPr>
          <w:rFonts w:ascii="Times New Roman" w:hAnsi="Times New Roman" w:cs="Times New Roman"/>
          <w:b/>
          <w:bCs/>
          <w:lang w:val="fi-FI"/>
        </w:rPr>
      </w:pPr>
      <w:r>
        <w:rPr>
          <w:rFonts w:ascii="Times New Roman" w:hAnsi="Times New Roman" w:cs="Times New Roman"/>
          <w:b/>
          <w:bCs/>
          <w:lang w:val="fi-FI"/>
        </w:rPr>
        <w:t>SUPPLEMENTARY FIGURES</w:t>
      </w:r>
    </w:p>
    <w:p w14:paraId="3DD56324" w14:textId="3E4927E8" w:rsidR="00D02018" w:rsidRPr="00AC7247" w:rsidRDefault="00D02018">
      <w:pPr>
        <w:rPr>
          <w:rFonts w:ascii="Times New Roman" w:hAnsi="Times New Roman" w:cs="Times New Roman"/>
          <w:b/>
          <w:bCs/>
          <w:lang w:val="fi-FI"/>
        </w:rPr>
      </w:pPr>
    </w:p>
    <w:p w14:paraId="141D0E92" w14:textId="77777777" w:rsidR="00C10A65" w:rsidRPr="00C10A65" w:rsidRDefault="00C10A65" w:rsidP="00C10A65">
      <w:pPr>
        <w:pStyle w:val="NoSpacing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10A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Figure S1. Location of deleterious variants within protein domains</w:t>
      </w:r>
      <w:r w:rsidRPr="00C10A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C10A6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in HCM stratified by age</w:t>
      </w:r>
      <w:r w:rsidRPr="00C10A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Each protein is linearly depicted with </w:t>
      </w:r>
      <w:proofErr w:type="spellStart"/>
      <w:r w:rsidRPr="00C10A65">
        <w:rPr>
          <w:rFonts w:ascii="Times New Roman" w:hAnsi="Times New Roman" w:cs="Times New Roman"/>
          <w:color w:val="000000" w:themeColor="text1"/>
          <w:sz w:val="20"/>
          <w:szCs w:val="20"/>
        </w:rPr>
        <w:t>uniprot</w:t>
      </w:r>
      <w:proofErr w:type="spellEnd"/>
      <w:r w:rsidRPr="00C10A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domain information. Non-random distribution of variants within each protein was assessed using </w:t>
      </w:r>
      <w:r w:rsidRPr="00C10A65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Kolmogorov–Smirnov </w:t>
      </w:r>
      <w:r w:rsidRPr="00C10A65">
        <w:rPr>
          <w:rFonts w:ascii="Times New Roman" w:hAnsi="Times New Roman" w:cs="Times New Roman"/>
          <w:color w:val="000000" w:themeColor="text1"/>
          <w:sz w:val="20"/>
          <w:szCs w:val="20"/>
        </w:rPr>
        <w:t>goodness-of-fit test. Light salmon bars show the constrained coding region scores across the entire protein. (</w:t>
      </w:r>
      <w:r w:rsidRPr="00C10A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</w:t>
      </w:r>
      <w:r w:rsidRPr="00C10A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Pr="00C10A65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MYH7</w:t>
      </w:r>
      <w:r w:rsidRPr="00C10A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showing head, </w:t>
      </w:r>
      <w:proofErr w:type="gramStart"/>
      <w:r w:rsidRPr="00C10A65">
        <w:rPr>
          <w:rFonts w:ascii="Times New Roman" w:hAnsi="Times New Roman" w:cs="Times New Roman"/>
          <w:color w:val="000000" w:themeColor="text1"/>
          <w:sz w:val="20"/>
          <w:szCs w:val="20"/>
        </w:rPr>
        <w:t>neck</w:t>
      </w:r>
      <w:proofErr w:type="gramEnd"/>
      <w:r w:rsidRPr="00C10A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rod/tail regions. Deleterious variants were non-uniformly distributed with significant clustering within head and neck domains in pediatric patients. (</w:t>
      </w:r>
      <w:r w:rsidRPr="00C10A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</w:t>
      </w:r>
      <w:r w:rsidRPr="00C10A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Pr="00C10A65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MYBPC3</w:t>
      </w:r>
      <w:r w:rsidRPr="00C10A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showing the immunoglobulin and fibronectin type 3 domains. Deleterious variant distribution did not differ between pediatric and adult patients. (</w:t>
      </w:r>
      <w:r w:rsidRPr="00C10A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</w:t>
      </w:r>
      <w:r w:rsidRPr="00C10A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Pr="00C10A65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TTN</w:t>
      </w:r>
      <w:r w:rsidRPr="00C10A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showing the four regions and all domains. The light blue bars under titin show the transcript count index. (</w:t>
      </w:r>
      <w:r w:rsidRPr="00C10A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d</w:t>
      </w:r>
      <w:r w:rsidRPr="00C10A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Pr="00C10A65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OBSCN</w:t>
      </w:r>
      <w:r w:rsidRPr="00C10A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C10A65">
        <w:rPr>
          <w:rFonts w:ascii="Times New Roman" w:hAnsi="Times New Roman" w:cs="Times New Roman"/>
          <w:color w:val="000000" w:themeColor="text1"/>
          <w:sz w:val="20"/>
          <w:szCs w:val="20"/>
        </w:rPr>
        <w:t>LoF</w:t>
      </w:r>
      <w:proofErr w:type="spellEnd"/>
      <w:r w:rsidRPr="00C10A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variants were uniformly distributed across protein domains.</w:t>
      </w:r>
    </w:p>
    <w:p w14:paraId="39C4BF32" w14:textId="77777777" w:rsidR="00C10A65" w:rsidRPr="00C10A65" w:rsidRDefault="00C10A65" w:rsidP="00C10A65">
      <w:pPr>
        <w:pStyle w:val="NoSpacing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10A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HCM, hypertrophic cardiomyopathy; CCR, Constrained coding region; TCI, transcript count index; </w:t>
      </w:r>
      <w:proofErr w:type="spellStart"/>
      <w:r w:rsidRPr="00C10A65">
        <w:rPr>
          <w:rFonts w:ascii="Times New Roman" w:hAnsi="Times New Roman" w:cs="Times New Roman"/>
          <w:color w:val="000000" w:themeColor="text1"/>
          <w:sz w:val="20"/>
          <w:szCs w:val="20"/>
        </w:rPr>
        <w:t>LoF</w:t>
      </w:r>
      <w:proofErr w:type="spellEnd"/>
      <w:r w:rsidRPr="00C10A65">
        <w:rPr>
          <w:rFonts w:ascii="Times New Roman" w:hAnsi="Times New Roman" w:cs="Times New Roman"/>
          <w:color w:val="000000" w:themeColor="text1"/>
          <w:sz w:val="20"/>
          <w:szCs w:val="20"/>
        </w:rPr>
        <w:t>, loss of function</w:t>
      </w:r>
    </w:p>
    <w:p w14:paraId="23660AC9" w14:textId="77777777" w:rsidR="00D02018" w:rsidRDefault="00D02018">
      <w:pPr>
        <w:rPr>
          <w:lang w:val="fi-FI"/>
        </w:rPr>
      </w:pPr>
    </w:p>
    <w:p w14:paraId="23E13CEA" w14:textId="2DAE7AA2" w:rsidR="00D02018" w:rsidRDefault="00D02018">
      <w:pPr>
        <w:rPr>
          <w:lang w:val="fi-FI"/>
        </w:rPr>
      </w:pPr>
      <w:r>
        <w:rPr>
          <w:noProof/>
          <w:lang w:val="fi-FI"/>
        </w:rPr>
        <w:drawing>
          <wp:inline distT="0" distB="0" distL="0" distR="0" wp14:anchorId="407C80EC" wp14:editId="4A6D2A8D">
            <wp:extent cx="4484370" cy="6726556"/>
            <wp:effectExtent l="0" t="0" r="0" b="0"/>
            <wp:docPr id="1" name="Picture 1" descr="A picture containing text, screenshot, line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screenshot, line, numbe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858" cy="673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53886" w14:textId="77777777" w:rsidR="00C10A65" w:rsidRPr="00254AE3" w:rsidRDefault="00C10A65" w:rsidP="00C10A65">
      <w:pPr>
        <w:pStyle w:val="NoSpacing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54AE3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>Figure S2. Location of deleterious variants within protein domains</w:t>
      </w:r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54AE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in DCM stratified by age</w:t>
      </w:r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Each protein is linearly depicted with </w:t>
      </w:r>
      <w:proofErr w:type="spellStart"/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>uniprot</w:t>
      </w:r>
      <w:proofErr w:type="spellEnd"/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domain information. Non-random distribution of variants within each protein was assessed using </w:t>
      </w:r>
      <w:r w:rsidRPr="00254AE3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Kolmogorov–Smirnov </w:t>
      </w:r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>goodness-of-fit test. Light salmon bars show the constrained coding region scores across the entire protein. (</w:t>
      </w:r>
      <w:r w:rsidRPr="00254AE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</w:t>
      </w:r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Pr="00254AE3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MYH7</w:t>
      </w:r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showing head, </w:t>
      </w:r>
      <w:proofErr w:type="gramStart"/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>neck</w:t>
      </w:r>
      <w:proofErr w:type="gramEnd"/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rod/tail regions. Deleterious variants were more frequent in the neck and tail domains in pediatric and adult patients. (</w:t>
      </w:r>
      <w:r w:rsidRPr="00254AE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</w:t>
      </w:r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Pr="00254AE3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MYBPC3</w:t>
      </w:r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showing the immunoglobulin and fibronectin type 3 domains. (</w:t>
      </w:r>
      <w:r w:rsidRPr="00254AE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</w:t>
      </w:r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Pr="00254AE3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TTN</w:t>
      </w:r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showing the four regions and all domains. The light blue bars under titin show the transcript count index. </w:t>
      </w:r>
      <w:r w:rsidRPr="00254AE3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TTN</w:t>
      </w:r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variants clustered in the A-band particularly in adults. (</w:t>
      </w:r>
      <w:r w:rsidRPr="00254AE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d</w:t>
      </w:r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Pr="00254AE3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OBSCN</w:t>
      </w:r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>LoF</w:t>
      </w:r>
      <w:proofErr w:type="spellEnd"/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variants were uniformly distributed across protein domains.</w:t>
      </w:r>
    </w:p>
    <w:p w14:paraId="52B66DC8" w14:textId="77777777" w:rsidR="00C10A65" w:rsidRPr="00254AE3" w:rsidRDefault="00C10A65" w:rsidP="00C10A65">
      <w:pPr>
        <w:pStyle w:val="NoSpacing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DCM, dilated cardiomyopathy; CCR, Constrained coding region; TCI, transcript count index; </w:t>
      </w:r>
      <w:proofErr w:type="spellStart"/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>LoF</w:t>
      </w:r>
      <w:proofErr w:type="spellEnd"/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>, loss of function</w:t>
      </w:r>
    </w:p>
    <w:p w14:paraId="1163CAA3" w14:textId="3C61980C" w:rsidR="00D02018" w:rsidRDefault="00D02018">
      <w:pPr>
        <w:rPr>
          <w:lang w:val="fi-FI"/>
        </w:rPr>
      </w:pPr>
    </w:p>
    <w:p w14:paraId="0712CD1E" w14:textId="62075AD8" w:rsidR="00D02018" w:rsidRDefault="00D02018">
      <w:pPr>
        <w:rPr>
          <w:lang w:val="fi-FI"/>
        </w:rPr>
      </w:pPr>
      <w:r>
        <w:rPr>
          <w:noProof/>
          <w:lang w:val="fi-FI"/>
        </w:rPr>
        <w:drawing>
          <wp:inline distT="0" distB="0" distL="0" distR="0" wp14:anchorId="4F34FC71" wp14:editId="73C2EBB3">
            <wp:extent cx="4633912" cy="6950867"/>
            <wp:effectExtent l="0" t="0" r="0" b="2540"/>
            <wp:docPr id="2" name="Picture 2" descr="A picture containing text, screenshot, line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screenshot, line, numbe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506" cy="695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56BB8" w14:textId="7F54AB98" w:rsidR="00D02018" w:rsidRDefault="00D02018">
      <w:pPr>
        <w:rPr>
          <w:lang w:val="fi-FI"/>
        </w:rPr>
      </w:pPr>
    </w:p>
    <w:p w14:paraId="6E47DC87" w14:textId="55E4200D" w:rsidR="00D02018" w:rsidRDefault="00D02018">
      <w:pPr>
        <w:rPr>
          <w:lang w:val="fi-FI"/>
        </w:rPr>
      </w:pPr>
    </w:p>
    <w:p w14:paraId="3D38440F" w14:textId="77777777" w:rsidR="00B64902" w:rsidRPr="00254AE3" w:rsidRDefault="00B64902" w:rsidP="00B64902">
      <w:pPr>
        <w:pStyle w:val="NoSpacing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54AE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Figure S3. Location of deleterious variants within protein domains</w:t>
      </w:r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54AE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in HCM stratified by sex</w:t>
      </w:r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Each protein is linearly depicted with </w:t>
      </w:r>
      <w:proofErr w:type="spellStart"/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>uniprot</w:t>
      </w:r>
      <w:proofErr w:type="spellEnd"/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domain information. Non-random distribution of variants within each protein was assessed using </w:t>
      </w:r>
      <w:r w:rsidRPr="00254AE3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Kolmogorov–Smirnov </w:t>
      </w:r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>goodness-of-fit test. Light salmon bars show the constrained coding region scores across the entire protein. (</w:t>
      </w:r>
      <w:r w:rsidRPr="00254AE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</w:t>
      </w:r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Pr="00254AE3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MYH7</w:t>
      </w:r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showing head, </w:t>
      </w:r>
      <w:proofErr w:type="gramStart"/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>neck</w:t>
      </w:r>
      <w:proofErr w:type="gramEnd"/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rod/tail regions. Deleterious variants were non-uniformly distributed with significant clustering within head and neck domains, especially in adults. (</w:t>
      </w:r>
      <w:r w:rsidRPr="00254AE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</w:t>
      </w:r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Pr="00254AE3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MYBPC3</w:t>
      </w:r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showing the immunoglobulin and fibronectin type 3 domains. Deleterious variant distribution did not differ between pediatric and adult patients. (</w:t>
      </w:r>
      <w:r w:rsidRPr="00254AE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</w:t>
      </w:r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Pr="00254AE3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TTN</w:t>
      </w:r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showing the four regions and all domains. The light blue bars under titin show the transcript count index. (</w:t>
      </w:r>
      <w:r w:rsidRPr="00254AE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d</w:t>
      </w:r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Pr="00254AE3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OBSCN</w:t>
      </w:r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>LoF</w:t>
      </w:r>
      <w:proofErr w:type="spellEnd"/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variants were uniformly distributed across protein domains.</w:t>
      </w:r>
    </w:p>
    <w:p w14:paraId="3297C2B9" w14:textId="77777777" w:rsidR="00B64902" w:rsidRPr="00254AE3" w:rsidRDefault="00B64902" w:rsidP="00B64902">
      <w:pPr>
        <w:pStyle w:val="NoSpacing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HCM, hypertrophic cardiomyopathy; CCR, Constrained coding region; TCI, transcript count index; </w:t>
      </w:r>
      <w:proofErr w:type="spellStart"/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>LoF</w:t>
      </w:r>
      <w:proofErr w:type="spellEnd"/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>, loss of function</w:t>
      </w:r>
    </w:p>
    <w:p w14:paraId="40E08E42" w14:textId="4C38E1B9" w:rsidR="00D02018" w:rsidRPr="00AC7247" w:rsidRDefault="00D02018">
      <w:pPr>
        <w:rPr>
          <w:rFonts w:ascii="Times New Roman" w:hAnsi="Times New Roman" w:cs="Times New Roman"/>
          <w:b/>
          <w:bCs/>
          <w:lang w:val="fi-FI"/>
        </w:rPr>
      </w:pPr>
    </w:p>
    <w:p w14:paraId="22957DC6" w14:textId="5C06D78A" w:rsidR="00D02018" w:rsidRDefault="00D02018">
      <w:pPr>
        <w:rPr>
          <w:b/>
          <w:bCs/>
          <w:lang w:val="fi-FI"/>
        </w:rPr>
      </w:pPr>
    </w:p>
    <w:p w14:paraId="0D87B555" w14:textId="672E4F13" w:rsidR="00D02018" w:rsidRDefault="00D02018">
      <w:pPr>
        <w:rPr>
          <w:b/>
          <w:bCs/>
          <w:lang w:val="fi-FI"/>
        </w:rPr>
      </w:pPr>
      <w:r>
        <w:rPr>
          <w:b/>
          <w:bCs/>
          <w:noProof/>
          <w:lang w:val="fi-FI"/>
        </w:rPr>
        <w:drawing>
          <wp:inline distT="0" distB="0" distL="0" distR="0" wp14:anchorId="3869B424" wp14:editId="7E4A9E51">
            <wp:extent cx="4448175" cy="6672263"/>
            <wp:effectExtent l="0" t="0" r="0" b="0"/>
            <wp:docPr id="3" name="Picture 3" descr="A picture containing text, screenshot, line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screenshot, line, numb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1208" cy="6676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C8BF4" w14:textId="6EB1F9BD" w:rsidR="00D02018" w:rsidRDefault="00D02018">
      <w:pPr>
        <w:rPr>
          <w:b/>
          <w:bCs/>
          <w:lang w:val="fi-FI"/>
        </w:rPr>
      </w:pPr>
    </w:p>
    <w:p w14:paraId="69F2A7F8" w14:textId="77777777" w:rsidR="00CC1DD7" w:rsidRPr="00254AE3" w:rsidRDefault="00CC1DD7" w:rsidP="00CC1DD7">
      <w:pPr>
        <w:pStyle w:val="NoSpacing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54AE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Figure S4. Location of deleterious variants within protein domains</w:t>
      </w:r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54AE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in DCM stratified by sex</w:t>
      </w:r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Each protein is linearly depicted with </w:t>
      </w:r>
      <w:proofErr w:type="spellStart"/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>uniprot</w:t>
      </w:r>
      <w:proofErr w:type="spellEnd"/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domain information. Non-random distribution of variants within each protein was assessed using </w:t>
      </w:r>
      <w:r w:rsidRPr="00254AE3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Kolmogorov–Smirnov </w:t>
      </w:r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>goodness-of-fit test. Light salmon bars show the constrained coding region scores across the entire protein. (</w:t>
      </w:r>
      <w:r w:rsidRPr="00254AE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</w:t>
      </w:r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Pr="00254AE3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MYH7</w:t>
      </w:r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showing head, </w:t>
      </w:r>
      <w:proofErr w:type="gramStart"/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>neck</w:t>
      </w:r>
      <w:proofErr w:type="gramEnd"/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rod/tail regions. (</w:t>
      </w:r>
      <w:r w:rsidRPr="00254AE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</w:t>
      </w:r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Pr="00254AE3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MYBPC3</w:t>
      </w:r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showing the immunoglobulin and fibronectin type 3 domains. (</w:t>
      </w:r>
      <w:r w:rsidRPr="00254AE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</w:t>
      </w:r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Pr="00254AE3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TTN</w:t>
      </w:r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showing the four regions and all domains. The light blue bars under titin show the transcript count index. </w:t>
      </w:r>
      <w:r w:rsidRPr="00254AE3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TTN</w:t>
      </w:r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variants clustered in the A-band particularly in adults. (</w:t>
      </w:r>
      <w:r w:rsidRPr="00254AE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d</w:t>
      </w:r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Pr="00254AE3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OBSCN</w:t>
      </w:r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>LoF</w:t>
      </w:r>
      <w:proofErr w:type="spellEnd"/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variants were uniformly distributed across protein domains.</w:t>
      </w:r>
    </w:p>
    <w:p w14:paraId="1D22C171" w14:textId="77777777" w:rsidR="00CC1DD7" w:rsidRPr="00254AE3" w:rsidRDefault="00CC1DD7" w:rsidP="00CC1DD7">
      <w:pPr>
        <w:pStyle w:val="NoSpacing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DCM, dilated cardiomyopathy; CCR, Constrained coding region; TCI, transcript count index; </w:t>
      </w:r>
      <w:proofErr w:type="spellStart"/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>LoF</w:t>
      </w:r>
      <w:proofErr w:type="spellEnd"/>
      <w:r w:rsidRPr="00254AE3">
        <w:rPr>
          <w:rFonts w:ascii="Times New Roman" w:hAnsi="Times New Roman" w:cs="Times New Roman"/>
          <w:color w:val="000000" w:themeColor="text1"/>
          <w:sz w:val="20"/>
          <w:szCs w:val="20"/>
        </w:rPr>
        <w:t>, loss of function</w:t>
      </w:r>
    </w:p>
    <w:p w14:paraId="7E22BEDF" w14:textId="2934CEEA" w:rsidR="00D02018" w:rsidRPr="00AC7247" w:rsidRDefault="00D02018">
      <w:pPr>
        <w:rPr>
          <w:rFonts w:ascii="Times New Roman" w:hAnsi="Times New Roman" w:cs="Times New Roman"/>
          <w:b/>
          <w:bCs/>
          <w:lang w:val="fi-FI"/>
        </w:rPr>
      </w:pPr>
    </w:p>
    <w:p w14:paraId="34A08438" w14:textId="0CFD291F" w:rsidR="00D02018" w:rsidRDefault="00D02018">
      <w:pPr>
        <w:rPr>
          <w:b/>
          <w:bCs/>
          <w:lang w:val="fi-FI"/>
        </w:rPr>
      </w:pPr>
    </w:p>
    <w:p w14:paraId="671F41E5" w14:textId="0737842B" w:rsidR="00D02018" w:rsidRPr="00D02018" w:rsidRDefault="00D02018">
      <w:pPr>
        <w:rPr>
          <w:b/>
          <w:bCs/>
          <w:lang w:val="fi-FI"/>
        </w:rPr>
      </w:pPr>
      <w:r>
        <w:rPr>
          <w:b/>
          <w:bCs/>
          <w:noProof/>
          <w:lang w:val="fi-FI"/>
        </w:rPr>
        <w:drawing>
          <wp:inline distT="0" distB="0" distL="0" distR="0" wp14:anchorId="77D60B9B" wp14:editId="5A401A1F">
            <wp:extent cx="4401608" cy="6602412"/>
            <wp:effectExtent l="0" t="0" r="0" b="8255"/>
            <wp:docPr id="4" name="Picture 4" descr="A picture containing text, screenshot, line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screenshot, line, numbe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6833" cy="6610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2018" w:rsidRPr="00D02018" w:rsidSect="00D21A3D">
      <w:headerReference w:type="default" r:id="rId10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C576D" w14:textId="77777777" w:rsidR="00457DC1" w:rsidRDefault="00457DC1" w:rsidP="00D21A3D">
      <w:r>
        <w:separator/>
      </w:r>
    </w:p>
  </w:endnote>
  <w:endnote w:type="continuationSeparator" w:id="0">
    <w:p w14:paraId="4D83D1B7" w14:textId="77777777" w:rsidR="00457DC1" w:rsidRDefault="00457DC1" w:rsidP="00D21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9F1C7" w14:textId="77777777" w:rsidR="00457DC1" w:rsidRDefault="00457DC1" w:rsidP="00D21A3D">
      <w:r>
        <w:separator/>
      </w:r>
    </w:p>
  </w:footnote>
  <w:footnote w:type="continuationSeparator" w:id="0">
    <w:p w14:paraId="0F58AA68" w14:textId="77777777" w:rsidR="00457DC1" w:rsidRDefault="00457DC1" w:rsidP="00D21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ACDA6" w14:textId="75E1947B" w:rsidR="00D21A3D" w:rsidRDefault="00D21A3D" w:rsidP="00D21A3D">
    <w:pPr>
      <w:pStyle w:val="NoSpacing"/>
      <w:spacing w:line="480" w:lineRule="auto"/>
    </w:pPr>
    <w:r w:rsidRPr="00603E23">
      <w:rPr>
        <w:rFonts w:ascii="Times New Roman" w:hAnsi="Times New Roman" w:cs="Times New Roman"/>
        <w:bCs/>
        <w:i/>
        <w:iCs/>
        <w:color w:val="000000" w:themeColor="text1"/>
        <w:sz w:val="20"/>
        <w:szCs w:val="20"/>
      </w:rPr>
      <w:t>SUPPLEMENTARY MATERIAL: Akinrinade et al. Age and Sex Differences in the Genetics of Cardiomyopathy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018"/>
    <w:rsid w:val="00051177"/>
    <w:rsid w:val="000527BA"/>
    <w:rsid w:val="00077E59"/>
    <w:rsid w:val="00092A27"/>
    <w:rsid w:val="000C3D93"/>
    <w:rsid w:val="00113F54"/>
    <w:rsid w:val="0018134C"/>
    <w:rsid w:val="001F39DA"/>
    <w:rsid w:val="00222F51"/>
    <w:rsid w:val="00233524"/>
    <w:rsid w:val="00310E1E"/>
    <w:rsid w:val="00375BF7"/>
    <w:rsid w:val="00397BB1"/>
    <w:rsid w:val="004004DF"/>
    <w:rsid w:val="00400597"/>
    <w:rsid w:val="00457DC1"/>
    <w:rsid w:val="004654BF"/>
    <w:rsid w:val="00490C9D"/>
    <w:rsid w:val="004B1B39"/>
    <w:rsid w:val="004D7228"/>
    <w:rsid w:val="00590E5C"/>
    <w:rsid w:val="005A5EFA"/>
    <w:rsid w:val="00626915"/>
    <w:rsid w:val="006E351B"/>
    <w:rsid w:val="00775281"/>
    <w:rsid w:val="00787BB1"/>
    <w:rsid w:val="007A2BCC"/>
    <w:rsid w:val="008C04BB"/>
    <w:rsid w:val="008F1202"/>
    <w:rsid w:val="009026A0"/>
    <w:rsid w:val="00942750"/>
    <w:rsid w:val="00A4528A"/>
    <w:rsid w:val="00AA2893"/>
    <w:rsid w:val="00AC7247"/>
    <w:rsid w:val="00AE0F10"/>
    <w:rsid w:val="00AF0A79"/>
    <w:rsid w:val="00B14833"/>
    <w:rsid w:val="00B64527"/>
    <w:rsid w:val="00B64902"/>
    <w:rsid w:val="00B6645C"/>
    <w:rsid w:val="00B82A5A"/>
    <w:rsid w:val="00BD268E"/>
    <w:rsid w:val="00C0087D"/>
    <w:rsid w:val="00C10A65"/>
    <w:rsid w:val="00C513ED"/>
    <w:rsid w:val="00CB279D"/>
    <w:rsid w:val="00CC1DD7"/>
    <w:rsid w:val="00D02018"/>
    <w:rsid w:val="00D21A3D"/>
    <w:rsid w:val="00D33A6E"/>
    <w:rsid w:val="00D774EA"/>
    <w:rsid w:val="00DD2D84"/>
    <w:rsid w:val="00E17EC7"/>
    <w:rsid w:val="00E9396A"/>
    <w:rsid w:val="00F30764"/>
    <w:rsid w:val="00FA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1AA61"/>
  <w15:chartTrackingRefBased/>
  <w15:docId w15:val="{A44CD897-0893-1045-8735-7D82DB606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1A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1A3D"/>
  </w:style>
  <w:style w:type="paragraph" w:styleId="Footer">
    <w:name w:val="footer"/>
    <w:basedOn w:val="Normal"/>
    <w:link w:val="FooterChar"/>
    <w:uiPriority w:val="99"/>
    <w:unhideWhenUsed/>
    <w:rsid w:val="00D21A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1A3D"/>
  </w:style>
  <w:style w:type="paragraph" w:styleId="NoSpacing">
    <w:name w:val="No Spacing"/>
    <w:uiPriority w:val="1"/>
    <w:qFormat/>
    <w:rsid w:val="00D21A3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574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Oyediran Akinrinade</dc:creator>
  <cp:keywords/>
  <dc:description/>
  <cp:lastModifiedBy>Seema Mital</cp:lastModifiedBy>
  <cp:revision>6</cp:revision>
  <dcterms:created xsi:type="dcterms:W3CDTF">2023-06-02T07:23:00Z</dcterms:created>
  <dcterms:modified xsi:type="dcterms:W3CDTF">2023-06-06T01:30:00Z</dcterms:modified>
</cp:coreProperties>
</file>