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230F50" w14:textId="102998E8" w:rsidR="00C005D5" w:rsidRDefault="00C005D5" w:rsidP="00F221A9">
      <w:pPr>
        <w:spacing w:line="480" w:lineRule="auto"/>
        <w:jc w:val="center"/>
        <w:rPr>
          <w:b/>
          <w:bCs/>
          <w:sz w:val="24"/>
          <w:szCs w:val="24"/>
        </w:rPr>
      </w:pPr>
      <w:bookmarkStart w:id="0" w:name="_Hlk114840370"/>
      <w:r w:rsidRPr="009F74B1">
        <w:rPr>
          <w:b/>
          <w:bCs/>
          <w:sz w:val="24"/>
          <w:szCs w:val="24"/>
        </w:rPr>
        <w:t>Supplementa</w:t>
      </w:r>
      <w:bookmarkEnd w:id="0"/>
      <w:r w:rsidRPr="009F74B1">
        <w:rPr>
          <w:b/>
          <w:bCs/>
          <w:sz w:val="24"/>
          <w:szCs w:val="24"/>
        </w:rPr>
        <w:t>ry materials</w:t>
      </w:r>
    </w:p>
    <w:p w14:paraId="3D228E45" w14:textId="508C3B93" w:rsidR="00271C28" w:rsidRPr="002D04B6" w:rsidRDefault="00271C28" w:rsidP="00271C28">
      <w:pPr>
        <w:snapToGrid w:val="0"/>
        <w:spacing w:line="480" w:lineRule="auto"/>
        <w:rPr>
          <w:rFonts w:cs="Times New Roman"/>
          <w:b/>
          <w:sz w:val="24"/>
          <w:szCs w:val="24"/>
        </w:rPr>
      </w:pPr>
    </w:p>
    <w:tbl>
      <w:tblPr>
        <w:tblW w:w="8647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75"/>
        <w:gridCol w:w="2467"/>
        <w:gridCol w:w="1001"/>
        <w:gridCol w:w="1732"/>
        <w:gridCol w:w="1263"/>
        <w:gridCol w:w="709"/>
      </w:tblGrid>
      <w:tr w:rsidR="00D8448F" w:rsidRPr="00D8448F" w14:paraId="37614DDD" w14:textId="77777777" w:rsidTr="00D8448F">
        <w:trPr>
          <w:trHeight w:val="880"/>
        </w:trPr>
        <w:tc>
          <w:tcPr>
            <w:tcW w:w="14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5FA0CA9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Protein accession</w:t>
            </w:r>
          </w:p>
        </w:tc>
        <w:tc>
          <w:tcPr>
            <w:tcW w:w="24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C4B72B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Protein description</w:t>
            </w:r>
          </w:p>
        </w:tc>
        <w:tc>
          <w:tcPr>
            <w:tcW w:w="10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B3A531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Gene name</w:t>
            </w:r>
          </w:p>
        </w:tc>
        <w:tc>
          <w:tcPr>
            <w:tcW w:w="17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BD527F5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  <w:lang w:val="pt-BR"/>
              </w:rPr>
              <w:t>Ratio</w:t>
            </w:r>
          </w:p>
          <w:p w14:paraId="1B6AD612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  <w:lang w:val="pt-BR"/>
              </w:rPr>
              <w:t>(HCEVs/NCEVs)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CA331E0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  <w:lang w:val="pt-BR"/>
              </w:rPr>
              <w:t>P value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BD4733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Type</w:t>
            </w:r>
          </w:p>
        </w:tc>
      </w:tr>
      <w:tr w:rsidR="00D8448F" w:rsidRPr="00D8448F" w14:paraId="3F3BBB81" w14:textId="77777777" w:rsidTr="00D8448F">
        <w:trPr>
          <w:trHeight w:val="589"/>
        </w:trPr>
        <w:tc>
          <w:tcPr>
            <w:tcW w:w="14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AF4E510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P00451</w:t>
            </w:r>
          </w:p>
        </w:tc>
        <w:tc>
          <w:tcPr>
            <w:tcW w:w="24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0045F1F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  <w:lang w:val="pt-BR"/>
              </w:rPr>
              <w:t>Coagulation factor VIII</w:t>
            </w:r>
          </w:p>
        </w:tc>
        <w:tc>
          <w:tcPr>
            <w:tcW w:w="10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2C1E69B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F8</w:t>
            </w:r>
          </w:p>
        </w:tc>
        <w:tc>
          <w:tcPr>
            <w:tcW w:w="17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3B88095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6.932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829976A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0.0079121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EA29BB0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Up</w:t>
            </w:r>
          </w:p>
        </w:tc>
      </w:tr>
      <w:tr w:rsidR="00D8448F" w:rsidRPr="00D8448F" w14:paraId="3C8A1AB0" w14:textId="77777777" w:rsidTr="00D8448F">
        <w:trPr>
          <w:trHeight w:val="589"/>
        </w:trPr>
        <w:tc>
          <w:tcPr>
            <w:tcW w:w="14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1951469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Q13093</w:t>
            </w:r>
          </w:p>
        </w:tc>
        <w:tc>
          <w:tcPr>
            <w:tcW w:w="24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F3CE418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 xml:space="preserve">Platelet-activating factor </w:t>
            </w:r>
            <w:proofErr w:type="spellStart"/>
            <w:r w:rsidRPr="00D8448F">
              <w:rPr>
                <w:rFonts w:cs="Times New Roman"/>
                <w:kern w:val="0"/>
                <w:sz w:val="24"/>
                <w:szCs w:val="24"/>
              </w:rPr>
              <w:t>acetylhydrolase</w:t>
            </w:r>
            <w:proofErr w:type="spellEnd"/>
          </w:p>
        </w:tc>
        <w:tc>
          <w:tcPr>
            <w:tcW w:w="10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E0778E8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PLA2G7</w:t>
            </w:r>
          </w:p>
        </w:tc>
        <w:tc>
          <w:tcPr>
            <w:tcW w:w="17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FB656CA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3.006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12C5C8B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0.002753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DE7468B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Up</w:t>
            </w:r>
          </w:p>
        </w:tc>
      </w:tr>
      <w:tr w:rsidR="00D8448F" w:rsidRPr="00D8448F" w14:paraId="6DAA2E26" w14:textId="77777777" w:rsidTr="00D8448F">
        <w:trPr>
          <w:trHeight w:val="589"/>
        </w:trPr>
        <w:tc>
          <w:tcPr>
            <w:tcW w:w="14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92EA3C3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V9GZ78</w:t>
            </w:r>
          </w:p>
        </w:tc>
        <w:tc>
          <w:tcPr>
            <w:tcW w:w="24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D4D30CE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C-1-tetrahydrofolate synthase, cytoplasmic</w:t>
            </w:r>
          </w:p>
        </w:tc>
        <w:tc>
          <w:tcPr>
            <w:tcW w:w="10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55614D3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MTHFD1</w:t>
            </w:r>
          </w:p>
        </w:tc>
        <w:tc>
          <w:tcPr>
            <w:tcW w:w="17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26988CA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2.56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5B198AE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0.0232117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93B293E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Up</w:t>
            </w:r>
          </w:p>
        </w:tc>
      </w:tr>
      <w:tr w:rsidR="00D8448F" w:rsidRPr="00D8448F" w14:paraId="1AE7117F" w14:textId="77777777" w:rsidTr="00D8448F">
        <w:trPr>
          <w:trHeight w:val="589"/>
        </w:trPr>
        <w:tc>
          <w:tcPr>
            <w:tcW w:w="14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4B9671C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A0A0D9SF54</w:t>
            </w:r>
          </w:p>
        </w:tc>
        <w:tc>
          <w:tcPr>
            <w:tcW w:w="24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7B56806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proofErr w:type="spellStart"/>
            <w:r w:rsidRPr="00D8448F">
              <w:rPr>
                <w:rFonts w:cs="Times New Roman"/>
                <w:kern w:val="0"/>
                <w:sz w:val="24"/>
                <w:szCs w:val="24"/>
              </w:rPr>
              <w:t>Spectrin</w:t>
            </w:r>
            <w:proofErr w:type="spellEnd"/>
            <w:r w:rsidRPr="00D8448F">
              <w:rPr>
                <w:rFonts w:cs="Times New Roman"/>
                <w:kern w:val="0"/>
                <w:sz w:val="24"/>
                <w:szCs w:val="24"/>
              </w:rPr>
              <w:t xml:space="preserve"> alpha chain, non-erythrocytic 1</w:t>
            </w:r>
          </w:p>
        </w:tc>
        <w:tc>
          <w:tcPr>
            <w:tcW w:w="10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56499A1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SPTAN1</w:t>
            </w:r>
          </w:p>
        </w:tc>
        <w:tc>
          <w:tcPr>
            <w:tcW w:w="17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F667B19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2.409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98D3E1B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0.041271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A946B59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Up</w:t>
            </w:r>
          </w:p>
        </w:tc>
      </w:tr>
      <w:tr w:rsidR="00D8448F" w:rsidRPr="00D8448F" w14:paraId="157BD081" w14:textId="77777777" w:rsidTr="00D8448F">
        <w:trPr>
          <w:trHeight w:val="589"/>
        </w:trPr>
        <w:tc>
          <w:tcPr>
            <w:tcW w:w="14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D96F8A6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P00746</w:t>
            </w:r>
          </w:p>
        </w:tc>
        <w:tc>
          <w:tcPr>
            <w:tcW w:w="24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3CDC509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  <w:lang w:val="pt-BR"/>
              </w:rPr>
              <w:t>Complement factor D</w:t>
            </w:r>
          </w:p>
        </w:tc>
        <w:tc>
          <w:tcPr>
            <w:tcW w:w="10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80C9DBE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CFD</w:t>
            </w:r>
          </w:p>
        </w:tc>
        <w:tc>
          <w:tcPr>
            <w:tcW w:w="17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70C7A0E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2.044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4B36AD7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0.0016715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2168867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Up</w:t>
            </w:r>
          </w:p>
        </w:tc>
      </w:tr>
      <w:tr w:rsidR="00D8448F" w:rsidRPr="00D8448F" w14:paraId="4051C2C1" w14:textId="77777777" w:rsidTr="00D8448F">
        <w:trPr>
          <w:trHeight w:val="589"/>
        </w:trPr>
        <w:tc>
          <w:tcPr>
            <w:tcW w:w="14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9FAACB8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P40189</w:t>
            </w:r>
          </w:p>
        </w:tc>
        <w:tc>
          <w:tcPr>
            <w:tcW w:w="24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0C0F01A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Interleukin-6 receptor subunit beta</w:t>
            </w:r>
          </w:p>
        </w:tc>
        <w:tc>
          <w:tcPr>
            <w:tcW w:w="10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4C7E671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IL6ST</w:t>
            </w:r>
          </w:p>
        </w:tc>
        <w:tc>
          <w:tcPr>
            <w:tcW w:w="17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3E06474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1.936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27A8318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0.0098522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103F819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Up</w:t>
            </w:r>
          </w:p>
        </w:tc>
      </w:tr>
      <w:tr w:rsidR="00D8448F" w:rsidRPr="00D8448F" w14:paraId="5BE4089E" w14:textId="77777777" w:rsidTr="00D8448F">
        <w:trPr>
          <w:trHeight w:val="589"/>
        </w:trPr>
        <w:tc>
          <w:tcPr>
            <w:tcW w:w="14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BA940B4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P02751</w:t>
            </w:r>
          </w:p>
        </w:tc>
        <w:tc>
          <w:tcPr>
            <w:tcW w:w="24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7240405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Fibronectin</w:t>
            </w:r>
          </w:p>
        </w:tc>
        <w:tc>
          <w:tcPr>
            <w:tcW w:w="10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BBB0A5C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FN1</w:t>
            </w:r>
          </w:p>
        </w:tc>
        <w:tc>
          <w:tcPr>
            <w:tcW w:w="17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1893D64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0.793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9051A97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0.0221518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3D9F6F7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Down</w:t>
            </w:r>
          </w:p>
        </w:tc>
      </w:tr>
      <w:tr w:rsidR="00D8448F" w:rsidRPr="00D8448F" w14:paraId="1B67CAAD" w14:textId="77777777" w:rsidTr="00D8448F">
        <w:trPr>
          <w:trHeight w:val="589"/>
        </w:trPr>
        <w:tc>
          <w:tcPr>
            <w:tcW w:w="14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62B79A7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D3DSM0</w:t>
            </w:r>
          </w:p>
        </w:tc>
        <w:tc>
          <w:tcPr>
            <w:tcW w:w="24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CE6D6DB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Integrin beta</w:t>
            </w:r>
          </w:p>
        </w:tc>
        <w:tc>
          <w:tcPr>
            <w:tcW w:w="10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ECD6B93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ITGB2</w:t>
            </w:r>
          </w:p>
        </w:tc>
        <w:tc>
          <w:tcPr>
            <w:tcW w:w="17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9A49BFA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0.715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B009ACA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0.027881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13F1078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Down</w:t>
            </w:r>
          </w:p>
        </w:tc>
      </w:tr>
      <w:tr w:rsidR="00D8448F" w:rsidRPr="00D8448F" w14:paraId="5AAE6608" w14:textId="77777777" w:rsidTr="00D8448F">
        <w:trPr>
          <w:trHeight w:val="589"/>
        </w:trPr>
        <w:tc>
          <w:tcPr>
            <w:tcW w:w="14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7D704B8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Q15582</w:t>
            </w:r>
          </w:p>
        </w:tc>
        <w:tc>
          <w:tcPr>
            <w:tcW w:w="24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EDCF7B0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Transforming growth factor-beta-induced protein ig-h3</w:t>
            </w:r>
          </w:p>
        </w:tc>
        <w:tc>
          <w:tcPr>
            <w:tcW w:w="10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E16E3B1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TGFBI</w:t>
            </w:r>
          </w:p>
        </w:tc>
        <w:tc>
          <w:tcPr>
            <w:tcW w:w="17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F29E573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0.696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554590C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0.0309769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FE90D41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Down</w:t>
            </w:r>
          </w:p>
        </w:tc>
      </w:tr>
      <w:tr w:rsidR="00D8448F" w:rsidRPr="00D8448F" w14:paraId="5D0C6B89" w14:textId="77777777" w:rsidTr="00D8448F">
        <w:trPr>
          <w:trHeight w:val="589"/>
        </w:trPr>
        <w:tc>
          <w:tcPr>
            <w:tcW w:w="14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F8D1EA4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Q14520</w:t>
            </w:r>
          </w:p>
        </w:tc>
        <w:tc>
          <w:tcPr>
            <w:tcW w:w="24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3DD5C56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Hyaluronan-binding protein 2</w:t>
            </w:r>
          </w:p>
        </w:tc>
        <w:tc>
          <w:tcPr>
            <w:tcW w:w="10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E2C124E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HABP2</w:t>
            </w:r>
          </w:p>
        </w:tc>
        <w:tc>
          <w:tcPr>
            <w:tcW w:w="17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BC7039D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0.602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CE2909A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0.0113982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AD23372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Down</w:t>
            </w:r>
          </w:p>
        </w:tc>
      </w:tr>
      <w:tr w:rsidR="00D8448F" w:rsidRPr="00D8448F" w14:paraId="737EA7EF" w14:textId="77777777" w:rsidTr="00D8448F">
        <w:trPr>
          <w:trHeight w:val="589"/>
        </w:trPr>
        <w:tc>
          <w:tcPr>
            <w:tcW w:w="14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0865FC7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lastRenderedPageBreak/>
              <w:t>Q9Y624</w:t>
            </w:r>
          </w:p>
        </w:tc>
        <w:tc>
          <w:tcPr>
            <w:tcW w:w="24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E153C8A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  <w:lang w:val="pt-BR"/>
              </w:rPr>
              <w:t>Junctional adhesion molecule A</w:t>
            </w:r>
          </w:p>
        </w:tc>
        <w:tc>
          <w:tcPr>
            <w:tcW w:w="10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FC085E1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F11R</w:t>
            </w:r>
          </w:p>
        </w:tc>
        <w:tc>
          <w:tcPr>
            <w:tcW w:w="17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7DCB312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0.51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8CEAB6F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0.0203295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B937865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Down</w:t>
            </w:r>
          </w:p>
        </w:tc>
      </w:tr>
      <w:tr w:rsidR="00D8448F" w:rsidRPr="00D8448F" w14:paraId="66DB86FC" w14:textId="77777777" w:rsidTr="00D8448F">
        <w:trPr>
          <w:trHeight w:val="589"/>
        </w:trPr>
        <w:tc>
          <w:tcPr>
            <w:tcW w:w="14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CFD7595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Q12907</w:t>
            </w:r>
          </w:p>
        </w:tc>
        <w:tc>
          <w:tcPr>
            <w:tcW w:w="24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294B56A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Vesicular integral-membrane protein VIP36</w:t>
            </w:r>
          </w:p>
        </w:tc>
        <w:tc>
          <w:tcPr>
            <w:tcW w:w="10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E0066A5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LMAN2</w:t>
            </w:r>
          </w:p>
        </w:tc>
        <w:tc>
          <w:tcPr>
            <w:tcW w:w="17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06E9832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0.492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DD16EE2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0.005125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697C132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Down</w:t>
            </w:r>
          </w:p>
        </w:tc>
      </w:tr>
      <w:tr w:rsidR="00D8448F" w:rsidRPr="00D8448F" w14:paraId="0B3E3309" w14:textId="77777777" w:rsidTr="00D8448F">
        <w:trPr>
          <w:trHeight w:val="589"/>
        </w:trPr>
        <w:tc>
          <w:tcPr>
            <w:tcW w:w="14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ED65A00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F5GZG1</w:t>
            </w:r>
          </w:p>
        </w:tc>
        <w:tc>
          <w:tcPr>
            <w:tcW w:w="24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0476D6B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Ras-related protein Rap-1b (Fragment)</w:t>
            </w:r>
          </w:p>
        </w:tc>
        <w:tc>
          <w:tcPr>
            <w:tcW w:w="10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F3D7D48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RAP1B</w:t>
            </w:r>
          </w:p>
        </w:tc>
        <w:tc>
          <w:tcPr>
            <w:tcW w:w="17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4FC2412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0.466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800BC79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0.0036696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F4B6A69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Down</w:t>
            </w:r>
          </w:p>
        </w:tc>
      </w:tr>
      <w:tr w:rsidR="00D8448F" w:rsidRPr="00D8448F" w14:paraId="2FCB710F" w14:textId="77777777" w:rsidTr="00D8448F">
        <w:trPr>
          <w:trHeight w:val="589"/>
        </w:trPr>
        <w:tc>
          <w:tcPr>
            <w:tcW w:w="14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C38A188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P23141</w:t>
            </w:r>
          </w:p>
        </w:tc>
        <w:tc>
          <w:tcPr>
            <w:tcW w:w="24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399C043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  <w:lang w:val="pt-BR"/>
              </w:rPr>
              <w:t>Liver carboxylesterase 1</w:t>
            </w:r>
          </w:p>
        </w:tc>
        <w:tc>
          <w:tcPr>
            <w:tcW w:w="10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C71ACDF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CES1</w:t>
            </w:r>
          </w:p>
        </w:tc>
        <w:tc>
          <w:tcPr>
            <w:tcW w:w="17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001BB62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0.214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D7E664F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0.0223185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527B806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Down</w:t>
            </w:r>
          </w:p>
        </w:tc>
      </w:tr>
      <w:tr w:rsidR="00D8448F" w:rsidRPr="00D8448F" w14:paraId="7135F0CD" w14:textId="77777777" w:rsidTr="00D8448F">
        <w:trPr>
          <w:trHeight w:val="589"/>
        </w:trPr>
        <w:tc>
          <w:tcPr>
            <w:tcW w:w="14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ABD0CBD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A0A075B6K6</w:t>
            </w:r>
          </w:p>
        </w:tc>
        <w:tc>
          <w:tcPr>
            <w:tcW w:w="24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19E82A8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Immunoglobulin lambda variable 4-3</w:t>
            </w:r>
          </w:p>
        </w:tc>
        <w:tc>
          <w:tcPr>
            <w:tcW w:w="10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9073243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IGLV4-3</w:t>
            </w:r>
          </w:p>
        </w:tc>
        <w:tc>
          <w:tcPr>
            <w:tcW w:w="17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41FF5E8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0.146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9297649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0.0089645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6ABA06B" w14:textId="77777777" w:rsidR="00D8448F" w:rsidRPr="00D8448F" w:rsidRDefault="00D8448F" w:rsidP="00D8448F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 w:rsidRPr="00D8448F">
              <w:rPr>
                <w:rFonts w:cs="Times New Roman"/>
                <w:kern w:val="0"/>
                <w:sz w:val="24"/>
                <w:szCs w:val="24"/>
              </w:rPr>
              <w:t>Down</w:t>
            </w:r>
          </w:p>
        </w:tc>
      </w:tr>
    </w:tbl>
    <w:p w14:paraId="72D457B7" w14:textId="77777777" w:rsidR="00D8448F" w:rsidRPr="00D8448F" w:rsidRDefault="00D8448F" w:rsidP="00D8448F">
      <w:pPr>
        <w:spacing w:line="480" w:lineRule="auto"/>
        <w:rPr>
          <w:b/>
          <w:bCs/>
          <w:sz w:val="24"/>
          <w:szCs w:val="24"/>
        </w:rPr>
      </w:pPr>
      <w:r w:rsidRPr="00D8448F">
        <w:rPr>
          <w:b/>
          <w:bCs/>
          <w:sz w:val="24"/>
          <w:szCs w:val="24"/>
        </w:rPr>
        <w:t>Supplemental Table 1. The different CEVs proteins in CNEVs and CHEVs identified by quantitative mass spectrometry</w:t>
      </w:r>
    </w:p>
    <w:p w14:paraId="573603B6" w14:textId="77777777" w:rsidR="00D8448F" w:rsidRPr="00D8448F" w:rsidRDefault="00D8448F" w:rsidP="00D8448F">
      <w:pPr>
        <w:spacing w:line="480" w:lineRule="auto"/>
        <w:rPr>
          <w:sz w:val="24"/>
          <w:szCs w:val="24"/>
        </w:rPr>
      </w:pPr>
      <w:r w:rsidRPr="00D8448F">
        <w:rPr>
          <w:sz w:val="24"/>
          <w:szCs w:val="24"/>
        </w:rPr>
        <w:t xml:space="preserve">A change in differential expression of more than 1.2 was used as the threshold of change for significant upregulation and less than 1/1.2 as the threshold of change for significant downregulation. Significant test for the intergroup variables were analyzed with the </w:t>
      </w:r>
      <w:proofErr w:type="gramStart"/>
      <w:r w:rsidRPr="00D8448F">
        <w:rPr>
          <w:sz w:val="24"/>
          <w:szCs w:val="24"/>
        </w:rPr>
        <w:t>Student’s</w:t>
      </w:r>
      <w:proofErr w:type="gramEnd"/>
      <w:r w:rsidRPr="00D8448F">
        <w:rPr>
          <w:sz w:val="24"/>
          <w:szCs w:val="24"/>
        </w:rPr>
        <w:t xml:space="preserve"> t-test with p≤ 0.05 considered statistically significant. </w:t>
      </w:r>
    </w:p>
    <w:p w14:paraId="3ED1AEE3" w14:textId="0004D1E6" w:rsidR="00D8448F" w:rsidRDefault="00F221A9" w:rsidP="00C005D5">
      <w:pPr>
        <w:spacing w:line="480" w:lineRule="auto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53F51B40" wp14:editId="5B01B7BD">
            <wp:extent cx="5274310" cy="7039610"/>
            <wp:effectExtent l="0" t="0" r="2540" b="8890"/>
            <wp:docPr id="8701577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157740" name="图片 87015774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5CB0A" w14:textId="77777777" w:rsidR="00F221A9" w:rsidRPr="00F221A9" w:rsidRDefault="00F221A9" w:rsidP="00F221A9">
      <w:pPr>
        <w:spacing w:line="480" w:lineRule="auto"/>
        <w:rPr>
          <w:b/>
          <w:bCs/>
          <w:sz w:val="24"/>
          <w:szCs w:val="24"/>
        </w:rPr>
      </w:pPr>
      <w:r w:rsidRPr="00F221A9">
        <w:rPr>
          <w:rFonts w:hint="eastAsia"/>
          <w:b/>
          <w:bCs/>
          <w:sz w:val="24"/>
          <w:szCs w:val="24"/>
        </w:rPr>
        <w:t>Supplemental figure 1. GO analysis of differentially expressed proteins.</w:t>
      </w:r>
    </w:p>
    <w:p w14:paraId="2C6AECDD" w14:textId="77777777" w:rsidR="00F221A9" w:rsidRPr="00F221A9" w:rsidRDefault="00F221A9" w:rsidP="00F221A9">
      <w:pPr>
        <w:spacing w:line="480" w:lineRule="auto"/>
        <w:rPr>
          <w:sz w:val="24"/>
          <w:szCs w:val="24"/>
        </w:rPr>
      </w:pPr>
      <w:r w:rsidRPr="00F221A9">
        <w:rPr>
          <w:rFonts w:hint="eastAsia"/>
          <w:sz w:val="24"/>
          <w:szCs w:val="24"/>
        </w:rPr>
        <w:t>GO analysis of all differentially proteins (A), up-regulated proteins (B) and down-regulated proteins (C).</w:t>
      </w:r>
    </w:p>
    <w:p w14:paraId="58751B22" w14:textId="4309E0AA" w:rsidR="00F221A9" w:rsidRDefault="00F221A9" w:rsidP="00C005D5">
      <w:pPr>
        <w:spacing w:line="480" w:lineRule="auto"/>
        <w:rPr>
          <w:b/>
          <w:bCs/>
          <w:sz w:val="24"/>
          <w:szCs w:val="24"/>
        </w:rPr>
      </w:pPr>
      <w:r>
        <w:rPr>
          <w:rFonts w:hint="eastAsia"/>
          <w:b/>
          <w:bCs/>
          <w:noProof/>
          <w:sz w:val="24"/>
          <w:szCs w:val="24"/>
        </w:rPr>
        <w:lastRenderedPageBreak/>
        <w:drawing>
          <wp:inline distT="0" distB="0" distL="0" distR="0" wp14:anchorId="6CFCB3BF" wp14:editId="6BC72C58">
            <wp:extent cx="5274310" cy="6773545"/>
            <wp:effectExtent l="0" t="0" r="2540" b="8255"/>
            <wp:docPr id="188104005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040052" name="图片 188104005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7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87F2E" w14:textId="77777777" w:rsidR="00F221A9" w:rsidRPr="00F221A9" w:rsidRDefault="00F221A9" w:rsidP="00F221A9">
      <w:pPr>
        <w:spacing w:line="480" w:lineRule="auto"/>
        <w:rPr>
          <w:b/>
          <w:bCs/>
          <w:sz w:val="24"/>
          <w:szCs w:val="24"/>
        </w:rPr>
      </w:pPr>
      <w:r w:rsidRPr="00F221A9">
        <w:rPr>
          <w:rFonts w:hint="eastAsia"/>
          <w:b/>
          <w:bCs/>
          <w:sz w:val="24"/>
          <w:szCs w:val="24"/>
        </w:rPr>
        <w:t>Supplemental figure 2. GO analysis of differentially expressed proteins.</w:t>
      </w:r>
    </w:p>
    <w:p w14:paraId="1C63E825" w14:textId="77777777" w:rsidR="00F221A9" w:rsidRPr="00F221A9" w:rsidRDefault="00F221A9" w:rsidP="00F221A9">
      <w:pPr>
        <w:spacing w:line="480" w:lineRule="auto"/>
        <w:rPr>
          <w:sz w:val="24"/>
          <w:szCs w:val="24"/>
        </w:rPr>
      </w:pPr>
      <w:r w:rsidRPr="00F221A9">
        <w:rPr>
          <w:sz w:val="24"/>
          <w:szCs w:val="24"/>
        </w:rPr>
        <w:t>Biological processes</w:t>
      </w:r>
      <w:r w:rsidRPr="00F221A9">
        <w:rPr>
          <w:rFonts w:hint="eastAsia"/>
          <w:sz w:val="24"/>
          <w:szCs w:val="24"/>
        </w:rPr>
        <w:t xml:space="preserve"> functional enrichment analysis of up-(A) and down-regulated (B) proteins.</w:t>
      </w:r>
    </w:p>
    <w:p w14:paraId="5313627F" w14:textId="545FC8FA" w:rsidR="00F221A9" w:rsidRDefault="00F221A9" w:rsidP="00C005D5">
      <w:pPr>
        <w:spacing w:line="480" w:lineRule="auto"/>
        <w:rPr>
          <w:b/>
          <w:bCs/>
          <w:sz w:val="24"/>
          <w:szCs w:val="24"/>
        </w:rPr>
      </w:pPr>
      <w:r>
        <w:rPr>
          <w:rFonts w:hint="eastAsia"/>
          <w:b/>
          <w:bCs/>
          <w:noProof/>
          <w:sz w:val="24"/>
          <w:szCs w:val="24"/>
        </w:rPr>
        <w:lastRenderedPageBreak/>
        <w:drawing>
          <wp:inline distT="0" distB="0" distL="0" distR="0" wp14:anchorId="79AE10DC" wp14:editId="033E75C0">
            <wp:extent cx="5274310" cy="3961765"/>
            <wp:effectExtent l="0" t="0" r="2540" b="635"/>
            <wp:docPr id="136839603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396032" name="图片 136839603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6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B038B" w14:textId="77777777" w:rsidR="00F221A9" w:rsidRPr="00F221A9" w:rsidRDefault="00F221A9" w:rsidP="00F221A9">
      <w:pPr>
        <w:spacing w:line="480" w:lineRule="auto"/>
        <w:rPr>
          <w:b/>
          <w:bCs/>
          <w:sz w:val="24"/>
          <w:szCs w:val="24"/>
        </w:rPr>
      </w:pPr>
      <w:r w:rsidRPr="00F221A9">
        <w:rPr>
          <w:rFonts w:hint="eastAsia"/>
          <w:b/>
          <w:bCs/>
          <w:sz w:val="24"/>
          <w:szCs w:val="24"/>
        </w:rPr>
        <w:t xml:space="preserve">Supplemental figure 3. HCEVs failed to promote TAG hydrolysis and apoptosis. </w:t>
      </w:r>
    </w:p>
    <w:p w14:paraId="56139DD9" w14:textId="77777777" w:rsidR="00F221A9" w:rsidRDefault="00F221A9" w:rsidP="00F221A9">
      <w:pPr>
        <w:spacing w:line="480" w:lineRule="auto"/>
        <w:rPr>
          <w:sz w:val="24"/>
          <w:szCs w:val="24"/>
        </w:rPr>
      </w:pPr>
      <w:r w:rsidRPr="00F221A9">
        <w:rPr>
          <w:rFonts w:hint="eastAsia"/>
          <w:sz w:val="24"/>
          <w:szCs w:val="24"/>
        </w:rPr>
        <w:t xml:space="preserve">(A) </w:t>
      </w:r>
      <w:r w:rsidRPr="00F221A9">
        <w:rPr>
          <w:sz w:val="24"/>
          <w:szCs w:val="24"/>
        </w:rPr>
        <w:t xml:space="preserve">Representative TUNEL (Red) stain images. Bar=5 </w:t>
      </w:r>
      <w:proofErr w:type="spellStart"/>
      <w:r w:rsidRPr="00F221A9">
        <w:rPr>
          <w:sz w:val="24"/>
          <w:szCs w:val="24"/>
        </w:rPr>
        <w:t>μm</w:t>
      </w:r>
      <w:proofErr w:type="spellEnd"/>
      <w:r w:rsidRPr="00F221A9">
        <w:rPr>
          <w:sz w:val="24"/>
          <w:szCs w:val="24"/>
        </w:rPr>
        <w:t xml:space="preserve"> (B) Quantification of TUNEL positive cells (n=6). (C) </w:t>
      </w:r>
      <w:r w:rsidRPr="00F221A9">
        <w:rPr>
          <w:rFonts w:hint="eastAsia"/>
          <w:sz w:val="24"/>
          <w:szCs w:val="24"/>
        </w:rPr>
        <w:t>The assays of LC3B, caspase3 and GAPDH after 3-MA (5mM) pretreatment was analyzed by WB.</w:t>
      </w:r>
      <w:r w:rsidRPr="00F221A9">
        <w:rPr>
          <w:sz w:val="24"/>
          <w:szCs w:val="24"/>
        </w:rPr>
        <w:t xml:space="preserve"> </w:t>
      </w:r>
    </w:p>
    <w:p w14:paraId="6EC8CEBD" w14:textId="77777777" w:rsidR="003A26BC" w:rsidRPr="00F221A9" w:rsidRDefault="003A26BC" w:rsidP="00F221A9">
      <w:pPr>
        <w:spacing w:line="480" w:lineRule="auto"/>
        <w:rPr>
          <w:sz w:val="24"/>
          <w:szCs w:val="24"/>
        </w:rPr>
      </w:pPr>
    </w:p>
    <w:p w14:paraId="1575EA03" w14:textId="5BDB5105" w:rsidR="00F221A9" w:rsidRDefault="003A26BC" w:rsidP="00C005D5">
      <w:pPr>
        <w:spacing w:line="480" w:lineRule="auto"/>
        <w:rPr>
          <w:b/>
          <w:bCs/>
          <w:sz w:val="24"/>
          <w:szCs w:val="24"/>
        </w:rPr>
      </w:pPr>
      <w:r w:rsidRPr="003A26BC">
        <w:rPr>
          <w:b/>
          <w:bCs/>
          <w:sz w:val="24"/>
          <w:szCs w:val="24"/>
        </w:rPr>
        <w:drawing>
          <wp:inline distT="0" distB="0" distL="0" distR="0" wp14:anchorId="07C0078F" wp14:editId="6F544E26">
            <wp:extent cx="5274310" cy="1760220"/>
            <wp:effectExtent l="0" t="0" r="2540" b="0"/>
            <wp:docPr id="14951153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11539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6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13009" w14:textId="70FBCF16" w:rsidR="003A26BC" w:rsidRDefault="003A26BC" w:rsidP="00C005D5">
      <w:pPr>
        <w:spacing w:line="480" w:lineRule="auto"/>
        <w:rPr>
          <w:b/>
          <w:bCs/>
          <w:sz w:val="24"/>
          <w:szCs w:val="24"/>
        </w:rPr>
      </w:pPr>
      <w:r w:rsidRPr="00F221A9">
        <w:rPr>
          <w:rFonts w:hint="eastAsia"/>
          <w:b/>
          <w:bCs/>
          <w:sz w:val="24"/>
          <w:szCs w:val="24"/>
        </w:rPr>
        <w:t xml:space="preserve">Supplemental figure </w:t>
      </w:r>
      <w:r>
        <w:rPr>
          <w:rFonts w:hint="eastAsia"/>
          <w:b/>
          <w:bCs/>
          <w:sz w:val="24"/>
          <w:szCs w:val="24"/>
        </w:rPr>
        <w:t>4</w:t>
      </w:r>
      <w:r w:rsidRPr="00F221A9">
        <w:rPr>
          <w:rFonts w:hint="eastAsia"/>
          <w:b/>
          <w:bCs/>
          <w:sz w:val="24"/>
          <w:szCs w:val="24"/>
        </w:rPr>
        <w:t xml:space="preserve">. </w:t>
      </w:r>
      <w:r w:rsidRPr="003A26BC">
        <w:rPr>
          <w:b/>
          <w:bCs/>
          <w:sz w:val="24"/>
          <w:szCs w:val="24"/>
        </w:rPr>
        <w:t>Validation of CEVs differential proteins.</w:t>
      </w:r>
    </w:p>
    <w:p w14:paraId="6580A492" w14:textId="5FB68706" w:rsidR="003A26BC" w:rsidRPr="003A26BC" w:rsidRDefault="003A26BC" w:rsidP="00C005D5">
      <w:pPr>
        <w:spacing w:line="480" w:lineRule="auto"/>
        <w:rPr>
          <w:rFonts w:hint="eastAsia"/>
          <w:sz w:val="24"/>
          <w:szCs w:val="24"/>
        </w:rPr>
      </w:pPr>
      <w:r w:rsidRPr="003A26BC">
        <w:rPr>
          <w:sz w:val="24"/>
          <w:szCs w:val="24"/>
        </w:rPr>
        <w:t xml:space="preserve">The protein expression levels of MTHFD1 and CES1 in NCEVs and HCEVs were </w:t>
      </w:r>
      <w:r w:rsidRPr="003A26BC">
        <w:rPr>
          <w:sz w:val="24"/>
          <w:szCs w:val="24"/>
        </w:rPr>
        <w:lastRenderedPageBreak/>
        <w:t>detected by WB.</w:t>
      </w:r>
    </w:p>
    <w:sectPr w:rsidR="003A26BC" w:rsidRPr="003A26BC"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DC7065" w14:textId="77777777" w:rsidR="00CD2575" w:rsidRDefault="00CD2575" w:rsidP="00C005D5">
      <w:r>
        <w:separator/>
      </w:r>
    </w:p>
  </w:endnote>
  <w:endnote w:type="continuationSeparator" w:id="0">
    <w:p w14:paraId="5B72C8E3" w14:textId="77777777" w:rsidR="00CD2575" w:rsidRDefault="00CD2575" w:rsidP="00C00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12866680"/>
      <w:docPartObj>
        <w:docPartGallery w:val="Page Numbers (Bottom of Page)"/>
        <w:docPartUnique/>
      </w:docPartObj>
    </w:sdtPr>
    <w:sdtContent>
      <w:p w14:paraId="3FDACE54" w14:textId="77777777" w:rsidR="00000000" w:rsidRDefault="000000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82A38CB" w14:textId="77777777" w:rsidR="00000000" w:rsidRDefault="00000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2D9557" w14:textId="77777777" w:rsidR="00CD2575" w:rsidRDefault="00CD2575" w:rsidP="00C005D5">
      <w:r>
        <w:separator/>
      </w:r>
    </w:p>
  </w:footnote>
  <w:footnote w:type="continuationSeparator" w:id="0">
    <w:p w14:paraId="030B2636" w14:textId="77777777" w:rsidR="00CD2575" w:rsidRDefault="00CD2575" w:rsidP="00C005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7E1492"/>
    <w:multiLevelType w:val="hybridMultilevel"/>
    <w:tmpl w:val="C49E7FE6"/>
    <w:lvl w:ilvl="0" w:tplc="3BCA39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8F25848"/>
    <w:multiLevelType w:val="multilevel"/>
    <w:tmpl w:val="DC1496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95B0939"/>
    <w:multiLevelType w:val="multilevel"/>
    <w:tmpl w:val="8796126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default"/>
      </w:rPr>
    </w:lvl>
  </w:abstractNum>
  <w:abstractNum w:abstractNumId="3" w15:restartNumberingAfterBreak="0">
    <w:nsid w:val="46823CBF"/>
    <w:multiLevelType w:val="hybridMultilevel"/>
    <w:tmpl w:val="E8F6D99C"/>
    <w:lvl w:ilvl="0" w:tplc="664620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88F59BE"/>
    <w:multiLevelType w:val="hybridMultilevel"/>
    <w:tmpl w:val="18BC3FCE"/>
    <w:lvl w:ilvl="0" w:tplc="778A61AA">
      <w:start w:val="1"/>
      <w:numFmt w:val="upperLetter"/>
      <w:lvlText w:val="%1)"/>
      <w:lvlJc w:val="left"/>
      <w:pPr>
        <w:ind w:left="360" w:hanging="360"/>
      </w:pPr>
      <w:rPr>
        <w:rFonts w:eastAsia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1507ED4"/>
    <w:multiLevelType w:val="hybridMultilevel"/>
    <w:tmpl w:val="12DE40EE"/>
    <w:lvl w:ilvl="0" w:tplc="113CA5D2">
      <w:start w:val="1"/>
      <w:numFmt w:val="upperLetter"/>
      <w:lvlText w:val="(%1)"/>
      <w:lvlJc w:val="left"/>
      <w:pPr>
        <w:ind w:left="360" w:hanging="360"/>
      </w:pPr>
      <w:rPr>
        <w:rFonts w:eastAsia="宋体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720F0772"/>
    <w:multiLevelType w:val="hybridMultilevel"/>
    <w:tmpl w:val="E356E21C"/>
    <w:lvl w:ilvl="0" w:tplc="B560D1E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7FB924E3"/>
    <w:multiLevelType w:val="multilevel"/>
    <w:tmpl w:val="DC1496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34812419">
    <w:abstractNumId w:val="0"/>
  </w:num>
  <w:num w:numId="2" w16cid:durableId="1582134453">
    <w:abstractNumId w:val="3"/>
  </w:num>
  <w:num w:numId="3" w16cid:durableId="539704825">
    <w:abstractNumId w:val="6"/>
  </w:num>
  <w:num w:numId="4" w16cid:durableId="829954162">
    <w:abstractNumId w:val="5"/>
  </w:num>
  <w:num w:numId="5" w16cid:durableId="141234571">
    <w:abstractNumId w:val="4"/>
  </w:num>
  <w:num w:numId="6" w16cid:durableId="860704217">
    <w:abstractNumId w:val="2"/>
  </w:num>
  <w:num w:numId="7" w16cid:durableId="928000548">
    <w:abstractNumId w:val="1"/>
  </w:num>
  <w:num w:numId="8" w16cid:durableId="13979015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71"/>
    <w:rsid w:val="00026375"/>
    <w:rsid w:val="000354EE"/>
    <w:rsid w:val="00271C28"/>
    <w:rsid w:val="003A26BC"/>
    <w:rsid w:val="004B2F60"/>
    <w:rsid w:val="006E5D87"/>
    <w:rsid w:val="00C005D5"/>
    <w:rsid w:val="00C12C71"/>
    <w:rsid w:val="00C20DED"/>
    <w:rsid w:val="00CA574D"/>
    <w:rsid w:val="00CD2575"/>
    <w:rsid w:val="00D573E9"/>
    <w:rsid w:val="00D8448F"/>
    <w:rsid w:val="00E8640B"/>
    <w:rsid w:val="00F12D9F"/>
    <w:rsid w:val="00F2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3EA4D1"/>
  <w15:chartTrackingRefBased/>
  <w15:docId w15:val="{73750D2D-C613-4E73-B04B-853D3649C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05D5"/>
    <w:pPr>
      <w:widowControl w:val="0"/>
      <w:jc w:val="both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C005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05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005D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005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005D5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C005D5"/>
    <w:rPr>
      <w:rFonts w:ascii="Times New Roman" w:hAnsi="Times New Roman"/>
      <w:b/>
      <w:bCs/>
      <w:kern w:val="44"/>
      <w:sz w:val="44"/>
      <w:szCs w:val="44"/>
    </w:rPr>
  </w:style>
  <w:style w:type="paragraph" w:styleId="a7">
    <w:name w:val="List Paragraph"/>
    <w:basedOn w:val="a"/>
    <w:uiPriority w:val="34"/>
    <w:qFormat/>
    <w:rsid w:val="00C005D5"/>
    <w:pPr>
      <w:ind w:firstLineChars="200" w:firstLine="420"/>
    </w:pPr>
  </w:style>
  <w:style w:type="character" w:styleId="a8">
    <w:name w:val="annotation reference"/>
    <w:basedOn w:val="a0"/>
    <w:uiPriority w:val="99"/>
    <w:semiHidden/>
    <w:unhideWhenUsed/>
    <w:rsid w:val="00C005D5"/>
    <w:rPr>
      <w:sz w:val="21"/>
      <w:szCs w:val="21"/>
    </w:rPr>
  </w:style>
  <w:style w:type="paragraph" w:styleId="a9">
    <w:name w:val="annotation text"/>
    <w:basedOn w:val="a"/>
    <w:link w:val="aa"/>
    <w:uiPriority w:val="99"/>
    <w:unhideWhenUsed/>
    <w:rsid w:val="00C005D5"/>
    <w:pPr>
      <w:jc w:val="left"/>
    </w:pPr>
  </w:style>
  <w:style w:type="character" w:customStyle="1" w:styleId="aa">
    <w:name w:val="批注文字 字符"/>
    <w:basedOn w:val="a0"/>
    <w:link w:val="a9"/>
    <w:uiPriority w:val="99"/>
    <w:rsid w:val="00C005D5"/>
    <w:rPr>
      <w:rFonts w:ascii="Times New Roman" w:hAnsi="Times New Roman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005D5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C005D5"/>
    <w:rPr>
      <w:rFonts w:ascii="Times New Roman" w:hAnsi="Times New Roman"/>
      <w:b/>
      <w:bCs/>
    </w:rPr>
  </w:style>
  <w:style w:type="paragraph" w:customStyle="1" w:styleId="EndNoteBibliographyTitle">
    <w:name w:val="EndNote Bibliography Title"/>
    <w:basedOn w:val="a"/>
    <w:link w:val="EndNoteBibliographyTitle0"/>
    <w:rsid w:val="00C005D5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C005D5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C005D5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C005D5"/>
    <w:rPr>
      <w:rFonts w:ascii="等线" w:eastAsia="等线" w:hAnsi="等线"/>
      <w:noProof/>
      <w:sz w:val="20"/>
    </w:rPr>
  </w:style>
  <w:style w:type="paragraph" w:styleId="ad">
    <w:name w:val="Revision"/>
    <w:hidden/>
    <w:uiPriority w:val="99"/>
    <w:semiHidden/>
    <w:rsid w:val="00C005D5"/>
  </w:style>
  <w:style w:type="paragraph" w:styleId="ae">
    <w:name w:val="No Spacing"/>
    <w:link w:val="af"/>
    <w:uiPriority w:val="1"/>
    <w:qFormat/>
    <w:rsid w:val="00C005D5"/>
    <w:rPr>
      <w:kern w:val="0"/>
      <w:sz w:val="22"/>
    </w:rPr>
  </w:style>
  <w:style w:type="character" w:customStyle="1" w:styleId="af">
    <w:name w:val="无间隔 字符"/>
    <w:basedOn w:val="a0"/>
    <w:link w:val="ae"/>
    <w:uiPriority w:val="1"/>
    <w:rsid w:val="00C005D5"/>
    <w:rPr>
      <w:kern w:val="0"/>
      <w:sz w:val="22"/>
    </w:rPr>
  </w:style>
  <w:style w:type="table" w:styleId="af0">
    <w:name w:val="Table Grid"/>
    <w:basedOn w:val="a1"/>
    <w:uiPriority w:val="39"/>
    <w:rsid w:val="00C00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C005D5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C005D5"/>
    <w:rPr>
      <w:color w:val="605E5C"/>
      <w:shd w:val="clear" w:color="auto" w:fill="E1DFDD"/>
    </w:rPr>
  </w:style>
  <w:style w:type="character" w:customStyle="1" w:styleId="authors-list-item">
    <w:name w:val="authors-list-item"/>
    <w:basedOn w:val="a0"/>
    <w:rsid w:val="00C005D5"/>
  </w:style>
  <w:style w:type="character" w:customStyle="1" w:styleId="author-sup-separator">
    <w:name w:val="author-sup-separator"/>
    <w:basedOn w:val="a0"/>
    <w:rsid w:val="00C005D5"/>
  </w:style>
  <w:style w:type="character" w:customStyle="1" w:styleId="comma">
    <w:name w:val="comma"/>
    <w:basedOn w:val="a0"/>
    <w:rsid w:val="00C005D5"/>
  </w:style>
  <w:style w:type="paragraph" w:styleId="TOC">
    <w:name w:val="TOC Heading"/>
    <w:basedOn w:val="1"/>
    <w:next w:val="a"/>
    <w:uiPriority w:val="39"/>
    <w:unhideWhenUsed/>
    <w:qFormat/>
    <w:rsid w:val="00C005D5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styleId="af3">
    <w:name w:val="FollowedHyperlink"/>
    <w:basedOn w:val="a0"/>
    <w:uiPriority w:val="99"/>
    <w:semiHidden/>
    <w:unhideWhenUsed/>
    <w:rsid w:val="00C005D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17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313</Words>
  <Characters>1999</Characters>
  <Application>Microsoft Office Word</Application>
  <DocSecurity>0</DocSecurity>
  <Lines>136</Lines>
  <Paragraphs>108</Paragraphs>
  <ScaleCrop>false</ScaleCrop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甄 珂</dc:creator>
  <cp:keywords/>
  <dc:description/>
  <cp:lastModifiedBy>HUAWEI</cp:lastModifiedBy>
  <cp:revision>6</cp:revision>
  <cp:lastPrinted>2024-09-18T14:52:00Z</cp:lastPrinted>
  <dcterms:created xsi:type="dcterms:W3CDTF">2022-09-21T05:26:00Z</dcterms:created>
  <dcterms:modified xsi:type="dcterms:W3CDTF">2024-09-18T14:52:00Z</dcterms:modified>
</cp:coreProperties>
</file>