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31" w:type="dxa"/>
        <w:tblLayout w:type="fixed"/>
        <w:tblLook w:val="0000" w:firstRow="0" w:lastRow="0" w:firstColumn="0" w:lastColumn="0" w:noHBand="0" w:noVBand="0"/>
      </w:tblPr>
      <w:tblGrid>
        <w:gridCol w:w="3969"/>
        <w:gridCol w:w="1502"/>
        <w:gridCol w:w="1502"/>
        <w:gridCol w:w="1502"/>
        <w:gridCol w:w="250"/>
        <w:gridCol w:w="1502"/>
        <w:gridCol w:w="1502"/>
        <w:gridCol w:w="1454"/>
        <w:gridCol w:w="48"/>
      </w:tblGrid>
      <w:tr w:rsidR="00A62A9E" w14:paraId="5D52A2B1" w14:textId="77777777">
        <w:tc>
          <w:tcPr>
            <w:tcW w:w="13183" w:type="dxa"/>
            <w:gridSpan w:val="8"/>
            <w:tcBorders>
              <w:bottom w:val="single" w:sz="4" w:space="0" w:color="000000"/>
            </w:tcBorders>
          </w:tcPr>
          <w:p w14:paraId="0AED97F0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Supplementary Table 2. Univariate and multivariate analyses of clinical factors associated with FN + severe neutropenia with pegfilgrastim, excluding locoregional recurrence cases (N = 350)</w:t>
            </w:r>
          </w:p>
        </w:tc>
        <w:tc>
          <w:tcPr>
            <w:tcW w:w="48" w:type="dxa"/>
            <w:tcMar>
              <w:left w:w="0" w:type="dxa"/>
              <w:right w:w="0" w:type="dxa"/>
            </w:tcMar>
          </w:tcPr>
          <w:p w14:paraId="57EA9493" w14:textId="77777777" w:rsidR="00A62A9E" w:rsidRDefault="00A62A9E">
            <w:pPr>
              <w:snapToGrid w:val="0"/>
              <w:rPr>
                <w:rFonts w:ascii="Times New Roman" w:hAnsi="Times New Roman"/>
                <w:sz w:val="22"/>
              </w:rPr>
            </w:pPr>
          </w:p>
        </w:tc>
      </w:tr>
      <w:tr w:rsidR="00A62A9E" w14:paraId="755B3198" w14:textId="77777777">
        <w:tc>
          <w:tcPr>
            <w:tcW w:w="3969" w:type="dxa"/>
            <w:tcBorders>
              <w:top w:val="single" w:sz="4" w:space="0" w:color="000000"/>
            </w:tcBorders>
          </w:tcPr>
          <w:p w14:paraId="46385198" w14:textId="77777777" w:rsidR="00A62A9E" w:rsidRDefault="00A62A9E">
            <w:pPr>
              <w:snapToGrid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9F0045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DA3EEA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Univariate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6AC8DEB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50" w:type="dxa"/>
            <w:tcBorders>
              <w:top w:val="single" w:sz="4" w:space="0" w:color="000000"/>
            </w:tcBorders>
            <w:vAlign w:val="center"/>
          </w:tcPr>
          <w:p w14:paraId="64CD5453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28D9D5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398684" w14:textId="77777777" w:rsidR="00A62A9E" w:rsidRDefault="00000000">
            <w:pPr>
              <w:jc w:val="center"/>
            </w:pPr>
            <w:r>
              <w:rPr>
                <w:rFonts w:ascii="Times New Roman" w:hAnsi="Times New Roman"/>
                <w:sz w:val="22"/>
              </w:rPr>
              <w:t>Multivariate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EA2A08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78FC27EC" w14:textId="77777777">
        <w:tc>
          <w:tcPr>
            <w:tcW w:w="3969" w:type="dxa"/>
            <w:tcBorders>
              <w:bottom w:val="single" w:sz="4" w:space="0" w:color="000000"/>
            </w:tcBorders>
          </w:tcPr>
          <w:p w14:paraId="468A995E" w14:textId="77777777" w:rsidR="00A62A9E" w:rsidRDefault="00A62A9E">
            <w:pPr>
              <w:snapToGrid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2A7C72" w14:textId="77777777" w:rsidR="00A62A9E" w:rsidRDefault="00000000">
            <w:pPr>
              <w:jc w:val="center"/>
            </w:pPr>
            <w:r>
              <w:rPr>
                <w:rFonts w:ascii="Times New Roman" w:hAnsi="Times New Roman"/>
                <w:sz w:val="22"/>
              </w:rPr>
              <w:t>OR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F4FE53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95% CI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7CD98FC" w14:textId="560903EF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P</w:t>
            </w:r>
            <w:r>
              <w:rPr>
                <w:rFonts w:ascii="Times New Roman" w:hAnsi="Times New Roman"/>
                <w:sz w:val="22"/>
              </w:rPr>
              <w:t xml:space="preserve"> value*</w:t>
            </w:r>
            <w:r w:rsidR="00820E4A">
              <w:rPr>
                <w:rFonts w:ascii="Times New Roman" w:eastAsia="Times New Roman" w:hAnsi="Times New Roman"/>
                <w:sz w:val="22"/>
              </w:rPr>
              <w:t>*</w:t>
            </w:r>
          </w:p>
        </w:tc>
        <w:tc>
          <w:tcPr>
            <w:tcW w:w="250" w:type="dxa"/>
            <w:tcBorders>
              <w:bottom w:val="single" w:sz="4" w:space="0" w:color="000000"/>
            </w:tcBorders>
            <w:vAlign w:val="center"/>
          </w:tcPr>
          <w:p w14:paraId="1572C56E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F0CC42E" w14:textId="77777777" w:rsidR="00A62A9E" w:rsidRDefault="00000000">
            <w:pPr>
              <w:jc w:val="center"/>
            </w:pPr>
            <w:r>
              <w:rPr>
                <w:rFonts w:ascii="Times New Roman" w:hAnsi="Times New Roman"/>
                <w:sz w:val="22"/>
              </w:rPr>
              <w:t>OR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7CF13E4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95% CI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3B0358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P</w:t>
            </w:r>
            <w:r>
              <w:rPr>
                <w:rFonts w:ascii="Times New Roman" w:hAnsi="Times New Roman"/>
                <w:sz w:val="22"/>
              </w:rPr>
              <w:t xml:space="preserve"> value*</w:t>
            </w:r>
            <w:r>
              <w:rPr>
                <w:rFonts w:ascii="Times New Roman" w:eastAsia="Times New Roman" w:hAnsi="Times New Roman"/>
                <w:sz w:val="22"/>
              </w:rPr>
              <w:t>*</w:t>
            </w:r>
          </w:p>
        </w:tc>
      </w:tr>
      <w:tr w:rsidR="00A62A9E" w14:paraId="248F8FFE" w14:textId="77777777">
        <w:tc>
          <w:tcPr>
            <w:tcW w:w="3969" w:type="dxa"/>
            <w:tcBorders>
              <w:top w:val="single" w:sz="4" w:space="0" w:color="000000"/>
            </w:tcBorders>
          </w:tcPr>
          <w:p w14:paraId="7C948A95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Age: continuous</w:t>
            </w:r>
            <w:r>
              <w:rPr>
                <w:rFonts w:ascii="Times New Roman" w:hAnsi="Times New Roman" w:hint="eastAsia"/>
                <w:sz w:val="22"/>
              </w:rPr>
              <w:t xml:space="preserve"> (per 1 year)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14:paraId="69956E16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14:paraId="24AD3ADA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1.00–1.10</w:t>
            </w:r>
          </w:p>
        </w:tc>
        <w:tc>
          <w:tcPr>
            <w:tcW w:w="1502" w:type="dxa"/>
            <w:tcBorders>
              <w:top w:val="single" w:sz="4" w:space="0" w:color="000000"/>
            </w:tcBorders>
          </w:tcPr>
          <w:p w14:paraId="24B79683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0.04</w:t>
            </w:r>
          </w:p>
        </w:tc>
        <w:tc>
          <w:tcPr>
            <w:tcW w:w="250" w:type="dxa"/>
            <w:tcBorders>
              <w:top w:val="single" w:sz="4" w:space="0" w:color="000000"/>
            </w:tcBorders>
            <w:vAlign w:val="center"/>
          </w:tcPr>
          <w:p w14:paraId="3215E6D9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top w:val="single" w:sz="4" w:space="0" w:color="000000"/>
            </w:tcBorders>
            <w:vAlign w:val="center"/>
          </w:tcPr>
          <w:p w14:paraId="0D45E2B6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1.04</w:t>
            </w:r>
          </w:p>
        </w:tc>
        <w:tc>
          <w:tcPr>
            <w:tcW w:w="1502" w:type="dxa"/>
            <w:tcBorders>
              <w:top w:val="single" w:sz="4" w:space="0" w:color="000000"/>
            </w:tcBorders>
            <w:vAlign w:val="center"/>
          </w:tcPr>
          <w:p w14:paraId="4D17055B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cs="Times New Roman"/>
                <w:sz w:val="22"/>
                <w:szCs w:val="22"/>
              </w:rPr>
              <w:t>0.99-1.09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</w:tcBorders>
            <w:vAlign w:val="center"/>
          </w:tcPr>
          <w:p w14:paraId="07355877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0.15</w:t>
            </w:r>
          </w:p>
        </w:tc>
      </w:tr>
      <w:tr w:rsidR="00A62A9E" w14:paraId="2C49960A" w14:textId="77777777">
        <w:tc>
          <w:tcPr>
            <w:tcW w:w="3969" w:type="dxa"/>
          </w:tcPr>
          <w:p w14:paraId="3293D70B" w14:textId="77777777" w:rsidR="00A62A9E" w:rsidRDefault="00000000">
            <w:r>
              <w:rPr>
                <w:rFonts w:ascii="Times New Roman" w:hAnsi="Times New Roman"/>
                <w:sz w:val="22"/>
              </w:rPr>
              <w:t>Stage*: 3- (ref) vs 1-2</w:t>
            </w:r>
          </w:p>
        </w:tc>
        <w:tc>
          <w:tcPr>
            <w:tcW w:w="1502" w:type="dxa"/>
          </w:tcPr>
          <w:p w14:paraId="6CAD9DAE" w14:textId="6E6980F1" w:rsidR="00A62A9E" w:rsidRDefault="00A62A9E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502" w:type="dxa"/>
          </w:tcPr>
          <w:p w14:paraId="5B871080" w14:textId="7ADE385D" w:rsidR="00A62A9E" w:rsidRDefault="00A62A9E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502" w:type="dxa"/>
          </w:tcPr>
          <w:p w14:paraId="6790D4BE" w14:textId="586020FC" w:rsidR="00A62A9E" w:rsidRDefault="00A62A9E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0" w:type="dxa"/>
            <w:vAlign w:val="center"/>
          </w:tcPr>
          <w:p w14:paraId="3A3E597C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04FBC96F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4A6B6391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14D78D04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556AC30A" w14:textId="77777777">
        <w:tc>
          <w:tcPr>
            <w:tcW w:w="3969" w:type="dxa"/>
          </w:tcPr>
          <w:p w14:paraId="1E0DD155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Chemotherapy History: No(ref) vs Yes</w:t>
            </w:r>
          </w:p>
        </w:tc>
        <w:tc>
          <w:tcPr>
            <w:tcW w:w="1502" w:type="dxa"/>
          </w:tcPr>
          <w:p w14:paraId="1324593D" w14:textId="60848E9E" w:rsidR="00A62A9E" w:rsidRDefault="00A62A9E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02" w:type="dxa"/>
          </w:tcPr>
          <w:p w14:paraId="748024D7" w14:textId="41142001" w:rsidR="00A62A9E" w:rsidRDefault="00A62A9E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02" w:type="dxa"/>
          </w:tcPr>
          <w:p w14:paraId="73124855" w14:textId="3A25394D" w:rsidR="00A62A9E" w:rsidRDefault="00A62A9E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250" w:type="dxa"/>
            <w:vAlign w:val="center"/>
          </w:tcPr>
          <w:p w14:paraId="1F6DEB61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56EB9D83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28068A0D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1DEAD7F0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37EE9743" w14:textId="77777777">
        <w:tc>
          <w:tcPr>
            <w:tcW w:w="3969" w:type="dxa"/>
          </w:tcPr>
          <w:p w14:paraId="7BC940F4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Adjuvant: Adjuvant(ref) vs NAC</w:t>
            </w:r>
          </w:p>
        </w:tc>
        <w:tc>
          <w:tcPr>
            <w:tcW w:w="1502" w:type="dxa"/>
          </w:tcPr>
          <w:p w14:paraId="72CDC72D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0.71</w:t>
            </w:r>
          </w:p>
        </w:tc>
        <w:tc>
          <w:tcPr>
            <w:tcW w:w="1502" w:type="dxa"/>
          </w:tcPr>
          <w:p w14:paraId="5B5EF0F9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0.23–2.24</w:t>
            </w:r>
          </w:p>
        </w:tc>
        <w:tc>
          <w:tcPr>
            <w:tcW w:w="1502" w:type="dxa"/>
          </w:tcPr>
          <w:p w14:paraId="644F6263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0.56</w:t>
            </w:r>
          </w:p>
        </w:tc>
        <w:tc>
          <w:tcPr>
            <w:tcW w:w="250" w:type="dxa"/>
            <w:vAlign w:val="center"/>
          </w:tcPr>
          <w:p w14:paraId="547E5950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0E353ABE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2B1B34FC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4DCC7699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728794C2" w14:textId="77777777">
        <w:tc>
          <w:tcPr>
            <w:tcW w:w="3969" w:type="dxa"/>
          </w:tcPr>
          <w:p w14:paraId="572DAA59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Regimen: Dose dense(ref)</w:t>
            </w:r>
          </w:p>
        </w:tc>
        <w:tc>
          <w:tcPr>
            <w:tcW w:w="1502" w:type="dxa"/>
          </w:tcPr>
          <w:p w14:paraId="0DECFD57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02" w:type="dxa"/>
          </w:tcPr>
          <w:p w14:paraId="57BFA063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02" w:type="dxa"/>
          </w:tcPr>
          <w:p w14:paraId="6D78CF21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250" w:type="dxa"/>
            <w:vAlign w:val="center"/>
          </w:tcPr>
          <w:p w14:paraId="4EAF04AC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2B5312AD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2D0048AC" w14:textId="77777777" w:rsidR="00A62A9E" w:rsidRDefault="00A62A9E">
            <w:pPr>
              <w:pStyle w:val="Web"/>
              <w:snapToGrid w:val="0"/>
              <w:spacing w:before="0" w:after="0"/>
              <w:ind w:firstLineChars="50" w:firstLine="110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7EF0AF72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4F1B91A1" w14:textId="77777777">
        <w:tc>
          <w:tcPr>
            <w:tcW w:w="3969" w:type="dxa"/>
          </w:tcPr>
          <w:p w14:paraId="5662C97E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Tri-weekly</w:t>
            </w:r>
          </w:p>
        </w:tc>
        <w:tc>
          <w:tcPr>
            <w:tcW w:w="1502" w:type="dxa"/>
          </w:tcPr>
          <w:p w14:paraId="26D8B9B9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0.84</w:t>
            </w:r>
          </w:p>
        </w:tc>
        <w:tc>
          <w:tcPr>
            <w:tcW w:w="1502" w:type="dxa"/>
          </w:tcPr>
          <w:p w14:paraId="6359A49A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0.09–7.63</w:t>
            </w:r>
          </w:p>
        </w:tc>
        <w:tc>
          <w:tcPr>
            <w:tcW w:w="1502" w:type="dxa"/>
            <w:vAlign w:val="bottom"/>
          </w:tcPr>
          <w:p w14:paraId="010CA335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0.87</w:t>
            </w:r>
          </w:p>
        </w:tc>
        <w:tc>
          <w:tcPr>
            <w:tcW w:w="250" w:type="dxa"/>
            <w:vAlign w:val="center"/>
          </w:tcPr>
          <w:p w14:paraId="5CDDD403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451B53ED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446F926C" w14:textId="77777777" w:rsidR="00A62A9E" w:rsidRDefault="00A62A9E">
            <w:pPr>
              <w:pStyle w:val="Web"/>
              <w:snapToGrid w:val="0"/>
              <w:spacing w:before="0" w:after="0"/>
              <w:ind w:firstLineChars="50" w:firstLine="110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07512596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07E9A72D" w14:textId="77777777">
        <w:tc>
          <w:tcPr>
            <w:tcW w:w="3969" w:type="dxa"/>
          </w:tcPr>
          <w:p w14:paraId="6FAEB8C8" w14:textId="77777777" w:rsidR="00A62A9E" w:rsidRDefault="00000000" w:rsidP="00820E4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Anti-HER2</w:t>
            </w:r>
          </w:p>
        </w:tc>
        <w:tc>
          <w:tcPr>
            <w:tcW w:w="1502" w:type="dxa"/>
          </w:tcPr>
          <w:p w14:paraId="1CF3D50F" w14:textId="77777777" w:rsidR="00A62A9E" w:rsidRDefault="00000000" w:rsidP="00820E4A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3.73</w:t>
            </w:r>
          </w:p>
        </w:tc>
        <w:tc>
          <w:tcPr>
            <w:tcW w:w="1502" w:type="dxa"/>
          </w:tcPr>
          <w:p w14:paraId="5141526D" w14:textId="77777777" w:rsidR="00A62A9E" w:rsidRDefault="00000000" w:rsidP="00820E4A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0.97–14.31</w:t>
            </w:r>
          </w:p>
        </w:tc>
        <w:tc>
          <w:tcPr>
            <w:tcW w:w="1502" w:type="dxa"/>
            <w:vAlign w:val="bottom"/>
          </w:tcPr>
          <w:p w14:paraId="5203FF5B" w14:textId="77777777" w:rsidR="00A62A9E" w:rsidRDefault="00000000" w:rsidP="00820E4A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0.05</w:t>
            </w:r>
          </w:p>
        </w:tc>
        <w:tc>
          <w:tcPr>
            <w:tcW w:w="250" w:type="dxa"/>
            <w:vAlign w:val="center"/>
          </w:tcPr>
          <w:p w14:paraId="7E682524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7C65C32C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66FD5ACE" w14:textId="77777777" w:rsidR="00A62A9E" w:rsidRDefault="00A62A9E">
            <w:pPr>
              <w:pStyle w:val="Web"/>
              <w:snapToGrid w:val="0"/>
              <w:spacing w:before="0" w:after="0"/>
              <w:ind w:firstLineChars="50" w:firstLine="110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2091795D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459267FF" w14:textId="77777777">
        <w:trPr>
          <w:trHeight w:val="170"/>
        </w:trPr>
        <w:tc>
          <w:tcPr>
            <w:tcW w:w="3969" w:type="dxa"/>
          </w:tcPr>
          <w:p w14:paraId="29BF1A47" w14:textId="77777777" w:rsidR="00A62A9E" w:rsidRDefault="00000000" w:rsidP="00820E4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ICI</w:t>
            </w:r>
          </w:p>
        </w:tc>
        <w:tc>
          <w:tcPr>
            <w:tcW w:w="1502" w:type="dxa"/>
          </w:tcPr>
          <w:p w14:paraId="235FE0B9" w14:textId="77777777" w:rsidR="00A62A9E" w:rsidRDefault="00000000" w:rsidP="00820E4A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5.11</w:t>
            </w:r>
          </w:p>
        </w:tc>
        <w:tc>
          <w:tcPr>
            <w:tcW w:w="1502" w:type="dxa"/>
          </w:tcPr>
          <w:p w14:paraId="303CE543" w14:textId="77777777" w:rsidR="00A62A9E" w:rsidRDefault="00000000" w:rsidP="00820E4A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0.88–29.72</w:t>
            </w:r>
          </w:p>
        </w:tc>
        <w:tc>
          <w:tcPr>
            <w:tcW w:w="1502" w:type="dxa"/>
            <w:vAlign w:val="bottom"/>
          </w:tcPr>
          <w:p w14:paraId="2B33FCD4" w14:textId="77777777" w:rsidR="00A62A9E" w:rsidRDefault="00000000" w:rsidP="00820E4A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250" w:type="dxa"/>
            <w:vAlign w:val="center"/>
          </w:tcPr>
          <w:p w14:paraId="0477216B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6949B586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4BC5C399" w14:textId="77777777" w:rsidR="00A62A9E" w:rsidRDefault="00A62A9E">
            <w:pPr>
              <w:pStyle w:val="Web"/>
              <w:snapToGrid w:val="0"/>
              <w:spacing w:before="0" w:after="0"/>
              <w:ind w:firstLineChars="50" w:firstLine="110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7CEDB053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2A287624" w14:textId="77777777">
        <w:tc>
          <w:tcPr>
            <w:tcW w:w="3969" w:type="dxa"/>
          </w:tcPr>
          <w:p w14:paraId="1CAC879E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ANC: continuous</w:t>
            </w:r>
            <w:r>
              <w:rPr>
                <w:rFonts w:ascii="Times New Roman" w:hAnsi="Times New Roman" w:hint="eastAsia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per 1/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μL</w:t>
            </w:r>
            <w:proofErr w:type="spellEnd"/>
            <w:r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1502" w:type="dxa"/>
          </w:tcPr>
          <w:p w14:paraId="21DB740B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1502" w:type="dxa"/>
          </w:tcPr>
          <w:p w14:paraId="7AFF93F2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1.00–1.00</w:t>
            </w:r>
          </w:p>
        </w:tc>
        <w:tc>
          <w:tcPr>
            <w:tcW w:w="1502" w:type="dxa"/>
          </w:tcPr>
          <w:p w14:paraId="39DBB5D5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0.07</w:t>
            </w:r>
          </w:p>
        </w:tc>
        <w:tc>
          <w:tcPr>
            <w:tcW w:w="250" w:type="dxa"/>
            <w:vAlign w:val="center"/>
          </w:tcPr>
          <w:p w14:paraId="3CDB7D3A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4B5FF389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1.00</w:t>
            </w:r>
          </w:p>
        </w:tc>
        <w:tc>
          <w:tcPr>
            <w:tcW w:w="1502" w:type="dxa"/>
            <w:vAlign w:val="center"/>
          </w:tcPr>
          <w:p w14:paraId="3B0EA3F7" w14:textId="77777777" w:rsidR="00A62A9E" w:rsidRDefault="00000000">
            <w:pPr>
              <w:pStyle w:val="Web"/>
              <w:spacing w:before="0" w:after="0"/>
              <w:ind w:firstLineChars="50" w:firstLine="110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cs="Times New Roman"/>
                <w:sz w:val="22"/>
                <w:szCs w:val="22"/>
              </w:rPr>
              <w:t>1.00–1.00</w:t>
            </w:r>
          </w:p>
        </w:tc>
        <w:tc>
          <w:tcPr>
            <w:tcW w:w="1502" w:type="dxa"/>
            <w:gridSpan w:val="2"/>
            <w:vAlign w:val="center"/>
          </w:tcPr>
          <w:p w14:paraId="3BB5025D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0.36</w:t>
            </w:r>
          </w:p>
        </w:tc>
      </w:tr>
      <w:tr w:rsidR="00A62A9E" w14:paraId="19C2E4A9" w14:textId="77777777">
        <w:tc>
          <w:tcPr>
            <w:tcW w:w="3969" w:type="dxa"/>
          </w:tcPr>
          <w:p w14:paraId="6D48FA13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ALC: continuous</w:t>
            </w:r>
            <w:r>
              <w:rPr>
                <w:rFonts w:ascii="Times New Roman" w:hAnsi="Times New Roman" w:hint="eastAsia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per 1/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μL</w:t>
            </w:r>
            <w:proofErr w:type="spellEnd"/>
            <w:r>
              <w:rPr>
                <w:rFonts w:ascii="Times New Roman" w:hAnsi="Times New Roman" w:hint="eastAsia"/>
                <w:sz w:val="22"/>
              </w:rPr>
              <w:t>)</w:t>
            </w:r>
          </w:p>
        </w:tc>
        <w:tc>
          <w:tcPr>
            <w:tcW w:w="1502" w:type="dxa"/>
          </w:tcPr>
          <w:p w14:paraId="23AE912E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1.00</w:t>
            </w:r>
          </w:p>
        </w:tc>
        <w:tc>
          <w:tcPr>
            <w:tcW w:w="1502" w:type="dxa"/>
          </w:tcPr>
          <w:p w14:paraId="7B04694D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1.00–1.00</w:t>
            </w:r>
          </w:p>
        </w:tc>
        <w:tc>
          <w:tcPr>
            <w:tcW w:w="1502" w:type="dxa"/>
          </w:tcPr>
          <w:p w14:paraId="734895C5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0.59</w:t>
            </w:r>
          </w:p>
        </w:tc>
        <w:tc>
          <w:tcPr>
            <w:tcW w:w="250" w:type="dxa"/>
            <w:vAlign w:val="center"/>
          </w:tcPr>
          <w:p w14:paraId="42A6AEDC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0F8F1759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7F7F7A9C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588FA53C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30B8CE12" w14:textId="77777777">
        <w:tc>
          <w:tcPr>
            <w:tcW w:w="3969" w:type="dxa"/>
          </w:tcPr>
          <w:p w14:paraId="64CAF684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Hemoglobin: continuous</w:t>
            </w:r>
            <w:r>
              <w:rPr>
                <w:rFonts w:ascii="Times New Roman" w:hAnsi="Times New Roman" w:hint="eastAsia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per 1 g/dL</w:t>
            </w:r>
            <w:r>
              <w:rPr>
                <w:rFonts w:ascii="Times New Roman" w:hAnsi="Times New Roman" w:hint="eastAsia"/>
                <w:sz w:val="24"/>
                <w:szCs w:val="24"/>
              </w:rPr>
              <w:t>)</w:t>
            </w:r>
          </w:p>
        </w:tc>
        <w:tc>
          <w:tcPr>
            <w:tcW w:w="1502" w:type="dxa"/>
          </w:tcPr>
          <w:p w14:paraId="59601EF6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1502" w:type="dxa"/>
          </w:tcPr>
          <w:p w14:paraId="5790AA9E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0.65–1.61</w:t>
            </w:r>
          </w:p>
        </w:tc>
        <w:tc>
          <w:tcPr>
            <w:tcW w:w="1502" w:type="dxa"/>
          </w:tcPr>
          <w:p w14:paraId="63EE54C6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0.93</w:t>
            </w:r>
          </w:p>
        </w:tc>
        <w:tc>
          <w:tcPr>
            <w:tcW w:w="250" w:type="dxa"/>
            <w:vAlign w:val="center"/>
          </w:tcPr>
          <w:p w14:paraId="493726EA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63DCC9EE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283B9105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10373354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05610A2A" w14:textId="77777777">
        <w:tc>
          <w:tcPr>
            <w:tcW w:w="3969" w:type="dxa"/>
          </w:tcPr>
          <w:p w14:paraId="3CC656FD" w14:textId="77777777" w:rsidR="00A62A9E" w:rsidRDefault="00000000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Platelet: continuous</w:t>
            </w:r>
            <w:r>
              <w:rPr>
                <w:rFonts w:ascii="Times New Roman" w:hAnsi="Times New Roman" w:hint="eastAsia"/>
                <w:sz w:val="22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per 1 ×10⁴/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μL</w:t>
            </w:r>
            <w:proofErr w:type="spellEnd"/>
            <w:r>
              <w:rPr>
                <w:rFonts w:ascii="Times New Roman" w:hAnsi="Times New Roman" w:hint="eastAsia"/>
                <w:sz w:val="22"/>
              </w:rPr>
              <w:t>)</w:t>
            </w:r>
          </w:p>
        </w:tc>
        <w:tc>
          <w:tcPr>
            <w:tcW w:w="1502" w:type="dxa"/>
          </w:tcPr>
          <w:p w14:paraId="20040892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0.98</w:t>
            </w:r>
          </w:p>
        </w:tc>
        <w:tc>
          <w:tcPr>
            <w:tcW w:w="1502" w:type="dxa"/>
          </w:tcPr>
          <w:p w14:paraId="55C988A7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0.97–0.99</w:t>
            </w:r>
          </w:p>
        </w:tc>
        <w:tc>
          <w:tcPr>
            <w:tcW w:w="1502" w:type="dxa"/>
          </w:tcPr>
          <w:p w14:paraId="2F8C50AD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0.01</w:t>
            </w:r>
          </w:p>
        </w:tc>
        <w:tc>
          <w:tcPr>
            <w:tcW w:w="250" w:type="dxa"/>
            <w:vAlign w:val="center"/>
          </w:tcPr>
          <w:p w14:paraId="34FFC6CE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537A8B07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0.98</w:t>
            </w:r>
          </w:p>
        </w:tc>
        <w:tc>
          <w:tcPr>
            <w:tcW w:w="1502" w:type="dxa"/>
            <w:vAlign w:val="center"/>
          </w:tcPr>
          <w:p w14:paraId="1F345C3E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>
              <w:rPr>
                <w:rFonts w:ascii="Times New Roman" w:eastAsia="游明朝" w:hAnsi="Times New Roman" w:cs="Times New Roman"/>
                <w:sz w:val="22"/>
                <w:szCs w:val="22"/>
              </w:rPr>
              <w:t>0.97–1.00</w:t>
            </w:r>
          </w:p>
        </w:tc>
        <w:tc>
          <w:tcPr>
            <w:tcW w:w="1502" w:type="dxa"/>
            <w:gridSpan w:val="2"/>
            <w:vAlign w:val="center"/>
          </w:tcPr>
          <w:p w14:paraId="36C3820D" w14:textId="77777777" w:rsidR="00A62A9E" w:rsidRDefault="00000000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0.01</w:t>
            </w:r>
          </w:p>
        </w:tc>
      </w:tr>
      <w:tr w:rsidR="00A62A9E" w14:paraId="62DF1FF6" w14:textId="77777777">
        <w:tc>
          <w:tcPr>
            <w:tcW w:w="3969" w:type="dxa"/>
          </w:tcPr>
          <w:p w14:paraId="76CF8DC6" w14:textId="77777777" w:rsidR="00A62A9E" w:rsidRDefault="00000000">
            <w:pPr>
              <w:ind w:right="113"/>
            </w:pPr>
            <w:r>
              <w:rPr>
                <w:rFonts w:ascii="Times New Roman" w:hAnsi="Times New Roman"/>
                <w:sz w:val="22"/>
              </w:rPr>
              <w:t xml:space="preserve">AST: &lt; 30 vs </w:t>
            </w:r>
            <w:r>
              <w:rPr>
                <w:rFonts w:ascii="Cambria Math" w:hAnsi="Cambria Math" w:cs="Cambria Math"/>
                <w:sz w:val="22"/>
              </w:rPr>
              <w:t>≧</w:t>
            </w:r>
            <w:r>
              <w:rPr>
                <w:rFonts w:ascii="Times New Roman" w:hAnsi="Times New Roman"/>
                <w:sz w:val="22"/>
              </w:rPr>
              <w:t xml:space="preserve"> 30</w:t>
            </w:r>
          </w:p>
        </w:tc>
        <w:tc>
          <w:tcPr>
            <w:tcW w:w="1502" w:type="dxa"/>
          </w:tcPr>
          <w:p w14:paraId="137EDEB1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1502" w:type="dxa"/>
          </w:tcPr>
          <w:p w14:paraId="0531E639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0.09–5.70</w:t>
            </w:r>
          </w:p>
        </w:tc>
        <w:tc>
          <w:tcPr>
            <w:tcW w:w="1502" w:type="dxa"/>
          </w:tcPr>
          <w:p w14:paraId="6659DBD7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250" w:type="dxa"/>
            <w:vAlign w:val="center"/>
          </w:tcPr>
          <w:p w14:paraId="2053BDB8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47A203ED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vAlign w:val="center"/>
          </w:tcPr>
          <w:p w14:paraId="2D7D6AE6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vAlign w:val="center"/>
          </w:tcPr>
          <w:p w14:paraId="3F7ABE30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A62A9E" w14:paraId="5DE17986" w14:textId="77777777">
        <w:tc>
          <w:tcPr>
            <w:tcW w:w="3969" w:type="dxa"/>
            <w:tcBorders>
              <w:bottom w:val="single" w:sz="4" w:space="0" w:color="000000"/>
            </w:tcBorders>
          </w:tcPr>
          <w:p w14:paraId="24DA091E" w14:textId="77777777" w:rsidR="00A62A9E" w:rsidRDefault="00000000">
            <w:pPr>
              <w:ind w:right="113"/>
            </w:pPr>
            <w:r>
              <w:rPr>
                <w:rFonts w:ascii="Times New Roman" w:hAnsi="Times New Roman"/>
                <w:sz w:val="22"/>
              </w:rPr>
              <w:t xml:space="preserve">ALT: &lt; 30 vs </w:t>
            </w:r>
            <w:r>
              <w:rPr>
                <w:rFonts w:ascii="Cambria Math" w:hAnsi="Cambria Math" w:cs="Cambria Math"/>
                <w:sz w:val="22"/>
              </w:rPr>
              <w:t>≧</w:t>
            </w:r>
            <w:r>
              <w:rPr>
                <w:rFonts w:ascii="Times New Roman" w:hAnsi="Times New Roman"/>
                <w:sz w:val="22"/>
              </w:rPr>
              <w:t xml:space="preserve"> 30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14:paraId="5B9C9B30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0.72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14:paraId="21FA71BB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0.09–5.70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14:paraId="1FE9DEFD" w14:textId="77777777" w:rsidR="00A62A9E" w:rsidRDefault="00000000">
            <w:pPr>
              <w:pStyle w:val="Web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0.75</w:t>
            </w:r>
          </w:p>
        </w:tc>
        <w:tc>
          <w:tcPr>
            <w:tcW w:w="250" w:type="dxa"/>
            <w:tcBorders>
              <w:bottom w:val="single" w:sz="4" w:space="0" w:color="000000"/>
            </w:tcBorders>
            <w:vAlign w:val="center"/>
          </w:tcPr>
          <w:p w14:paraId="6A1C5165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bottom w:val="single" w:sz="4" w:space="0" w:color="000000"/>
            </w:tcBorders>
            <w:vAlign w:val="center"/>
          </w:tcPr>
          <w:p w14:paraId="5B6B8674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502" w:type="dxa"/>
            <w:tcBorders>
              <w:bottom w:val="single" w:sz="4" w:space="0" w:color="000000"/>
            </w:tcBorders>
            <w:vAlign w:val="center"/>
          </w:tcPr>
          <w:p w14:paraId="4711E628" w14:textId="77777777" w:rsidR="00A62A9E" w:rsidRDefault="00A62A9E">
            <w:pPr>
              <w:pStyle w:val="Web"/>
              <w:snapToGrid w:val="0"/>
              <w:spacing w:before="0" w:after="0"/>
              <w:jc w:val="center"/>
              <w:rPr>
                <w:rFonts w:ascii="Times New Roman" w:eastAsia="游明朝" w:hAnsi="Times New Roman" w:cs="Times New Roman"/>
                <w:kern w:val="2"/>
                <w:sz w:val="22"/>
                <w:szCs w:val="22"/>
              </w:rPr>
            </w:pPr>
          </w:p>
        </w:tc>
        <w:tc>
          <w:tcPr>
            <w:tcW w:w="1502" w:type="dxa"/>
            <w:gridSpan w:val="2"/>
            <w:tcBorders>
              <w:bottom w:val="single" w:sz="4" w:space="0" w:color="000000"/>
            </w:tcBorders>
            <w:vAlign w:val="center"/>
          </w:tcPr>
          <w:p w14:paraId="14B77A74" w14:textId="77777777" w:rsidR="00A62A9E" w:rsidRDefault="00A62A9E">
            <w:pPr>
              <w:snapToGrid w:val="0"/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14:paraId="2DFFEB2A" w14:textId="32E8C496" w:rsidR="00A62A9E" w:rsidRDefault="00000000">
      <w:bookmarkStart w:id="0" w:name="_Hlk186051076"/>
      <w:r>
        <w:rPr>
          <w:rFonts w:ascii="Times New Roman" w:hAnsi="Times New Roman" w:hint="eastAsia"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Staging was based on clinical stage for patients receiving neoadjuvant chemotherapy and on pathological stage for those who did not.</w:t>
      </w:r>
      <w:r>
        <w:rPr>
          <w:rFonts w:ascii="Times New Roman" w:hAnsi="Times New Roman"/>
          <w:sz w:val="24"/>
          <w:szCs w:val="24"/>
        </w:rPr>
        <w:br/>
        <w:t xml:space="preserve">Abbreviations: </w:t>
      </w:r>
      <w:r>
        <w:rPr>
          <w:rFonts w:ascii="Times New Roman" w:hAnsi="Times New Roman" w:hint="eastAsia"/>
          <w:sz w:val="24"/>
          <w:szCs w:val="24"/>
        </w:rPr>
        <w:t>FN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febrile neutropenia</w:t>
      </w:r>
      <w:r>
        <w:rPr>
          <w:rFonts w:ascii="Times New Roman" w:hAnsi="Times New Roman"/>
          <w:sz w:val="24"/>
          <w:szCs w:val="24"/>
        </w:rPr>
        <w:t xml:space="preserve">; OR, odds ratio; CI confidence interval; </w:t>
      </w:r>
      <w:r>
        <w:rPr>
          <w:rFonts w:ascii="Times New Roman" w:hAnsi="Times New Roman" w:hint="eastAsia"/>
          <w:sz w:val="24"/>
          <w:szCs w:val="24"/>
        </w:rPr>
        <w:t>ANC</w:t>
      </w:r>
      <w:r>
        <w:rPr>
          <w:rFonts w:ascii="Times New Roman" w:hAnsi="Times New Roman"/>
          <w:sz w:val="24"/>
          <w:szCs w:val="24"/>
        </w:rPr>
        <w:t>, absolute neutrophil count</w:t>
      </w:r>
      <w:r>
        <w:rPr>
          <w:rFonts w:ascii="Times New Roman" w:hAnsi="Times New Roman" w:hint="eastAsia"/>
          <w:sz w:val="24"/>
          <w:szCs w:val="24"/>
        </w:rPr>
        <w:t xml:space="preserve">; ALC, </w:t>
      </w:r>
      <w:r>
        <w:rPr>
          <w:rFonts w:ascii="Times New Roman" w:hAnsi="Times New Roman"/>
          <w:sz w:val="24"/>
          <w:szCs w:val="24"/>
        </w:rPr>
        <w:t>absolute lymphocyte count</w:t>
      </w:r>
      <w:r>
        <w:rPr>
          <w:rFonts w:ascii="Times New Roman" w:hAnsi="Times New Roman"/>
          <w:kern w:val="0"/>
          <w:sz w:val="24"/>
          <w:szCs w:val="24"/>
        </w:rPr>
        <w:t xml:space="preserve">;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AST, </w:t>
      </w:r>
      <w:r>
        <w:rPr>
          <w:rFonts w:ascii="Times New Roman" w:hAnsi="Times New Roman"/>
          <w:kern w:val="0"/>
          <w:sz w:val="24"/>
          <w:szCs w:val="24"/>
        </w:rPr>
        <w:t>aspartate aminotransferase</w:t>
      </w:r>
      <w:r>
        <w:rPr>
          <w:rFonts w:ascii="Times New Roman" w:hAnsi="Times New Roman" w:hint="eastAsia"/>
          <w:kern w:val="0"/>
          <w:sz w:val="24"/>
          <w:szCs w:val="24"/>
        </w:rPr>
        <w:t>;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ALT, </w:t>
      </w:r>
      <w:r>
        <w:rPr>
          <w:rFonts w:ascii="Times New Roman" w:hAnsi="Times New Roman"/>
          <w:kern w:val="0"/>
          <w:sz w:val="24"/>
          <w:szCs w:val="24"/>
        </w:rPr>
        <w:t>alanine aminotransferase</w:t>
      </w:r>
      <w:r>
        <w:rPr>
          <w:rFonts w:ascii="Times New Roman" w:hAnsi="Times New Roman" w:hint="eastAsia"/>
          <w:kern w:val="0"/>
          <w:sz w:val="24"/>
          <w:szCs w:val="24"/>
        </w:rPr>
        <w:t>;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eastAsia="Times New Roman" w:hAnsi="Times New Roman"/>
          <w:sz w:val="22"/>
        </w:rPr>
        <w:t>*</w:t>
      </w:r>
      <w:r>
        <w:rPr>
          <w:rFonts w:ascii="Times New Roman" w:hAnsi="Times New Roman"/>
          <w:sz w:val="24"/>
          <w:szCs w:val="24"/>
        </w:rPr>
        <w:t>Logistic regression</w:t>
      </w:r>
      <w:bookmarkEnd w:id="0"/>
      <w:r>
        <w:rPr>
          <w:rFonts w:ascii="Times New Roman" w:hAnsi="Times New Roman"/>
          <w:sz w:val="24"/>
        </w:rPr>
        <w:br/>
        <w:t xml:space="preserve">NE, not estimable. </w:t>
      </w:r>
    </w:p>
    <w:sectPr w:rsidR="00A62A9E">
      <w:pgSz w:w="16838" w:h="11906" w:orient="landscape"/>
      <w:pgMar w:top="1701" w:right="1985" w:bottom="1701" w:left="1701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panose1 w:val="00000000000000000000"/>
    <w:charset w:val="0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autoHyphenation/>
  <w:hyphenationZone w:val="0"/>
  <w:characterSpacingControl w:val="doNotCompress"/>
  <w:compat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A9E"/>
    <w:rsid w:val="006D2D9B"/>
    <w:rsid w:val="00820E4A"/>
    <w:rsid w:val="00A6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FD60EA"/>
  <w15:docId w15:val="{1E1CF8BC-B0BC-45D5-B32E-08E7E9C2D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ＭＳ 明朝" w:hAnsi="Liberation Serif" w:cs="DejaVu Sans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游明朝" w:eastAsia="游明朝" w:hAnsi="游明朝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character" w:customStyle="1" w:styleId="a5">
    <w:name w:val="吹き出し (文字)"/>
    <w:qFormat/>
    <w:rPr>
      <w:rFonts w:ascii="游ゴシック Light" w:eastAsia="游ゴシック Light" w:hAnsi="游ゴシック Light" w:cs="Times New Roman"/>
      <w:sz w:val="18"/>
      <w:szCs w:val="18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Noto Sans CJK SC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DejaVu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DejaVu Sans"/>
    </w:rPr>
  </w:style>
  <w:style w:type="paragraph" w:styleId="Web">
    <w:name w:val="Normal (Web)"/>
    <w:basedOn w:val="a"/>
    <w:qFormat/>
    <w:pPr>
      <w:widowControl/>
      <w:spacing w:before="280" w:after="28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ＭＳ ゴシック"/>
        <a:cs typeface="DejaVu Sans"/>
      </a:majorFont>
      <a:minorFont>
        <a:latin typeface="Arial"/>
        <a:ea typeface="ＭＳ 明朝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大阪大学</dc:creator>
  <cp:keywords/>
  <dc:description/>
  <cp:lastModifiedBy>日馬 弘貴</cp:lastModifiedBy>
  <cp:revision>4</cp:revision>
  <cp:lastPrinted>2018-07-20T15:35:00Z</cp:lastPrinted>
  <dcterms:created xsi:type="dcterms:W3CDTF">2026-05-31T12:43:00Z</dcterms:created>
  <dcterms:modified xsi:type="dcterms:W3CDTF">2026-07-25T06:29:00Z</dcterms:modified>
  <dc:language>en-US</dc:language>
</cp:coreProperties>
</file>