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0C4D5" w14:textId="77777777" w:rsidR="00784562" w:rsidRDefault="00784562" w:rsidP="00A80CBF">
      <w:pPr>
        <w:spacing w:after="0" w:line="480" w:lineRule="auto"/>
        <w:ind w:left="567" w:hanging="567"/>
        <w:rPr>
          <w:rStyle w:val="Hyperlink"/>
          <w:rFonts w:ascii="Times New Roman" w:hAnsi="Times New Roman" w:cs="Times New Roman"/>
          <w:color w:val="auto"/>
        </w:rPr>
      </w:pPr>
      <w:bookmarkStart w:id="0" w:name="_GoBack"/>
      <w:bookmarkEnd w:id="0"/>
    </w:p>
    <w:p w14:paraId="0124EA31" w14:textId="7A4163AE" w:rsidR="00336706" w:rsidRPr="00336706" w:rsidRDefault="00336706" w:rsidP="00336706">
      <w:pPr>
        <w:spacing w:after="0" w:line="480" w:lineRule="auto"/>
        <w:rPr>
          <w:rFonts w:ascii="Times New Roman" w:hAnsi="Times New Roman" w:cs="Times New Roman"/>
          <w:b/>
          <w:bCs/>
        </w:rPr>
      </w:pPr>
      <w:r>
        <w:rPr>
          <w:rFonts w:ascii="Times New Roman" w:hAnsi="Times New Roman" w:cs="Times New Roman"/>
          <w:b/>
          <w:bCs/>
        </w:rPr>
        <w:t>Supplementary Table 1. Main themes, subthemes, codes, descriptive content, and representative participant quotations describing school counselors’ challenges in the context of shared earthquake trauma.</w:t>
      </w:r>
    </w:p>
    <w:tbl>
      <w:tblPr>
        <w:tblW w:w="0" w:type="auto"/>
        <w:tblCellSpacing w:w="15"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035"/>
        <w:gridCol w:w="1850"/>
        <w:gridCol w:w="2585"/>
        <w:gridCol w:w="2965"/>
        <w:gridCol w:w="3525"/>
      </w:tblGrid>
      <w:tr w:rsidR="00336706" w:rsidRPr="00336706" w14:paraId="7692F9F4" w14:textId="77777777" w:rsidTr="00336706">
        <w:trPr>
          <w:tblHeader/>
          <w:tblCellSpacing w:w="15" w:type="dxa"/>
        </w:trPr>
        <w:tc>
          <w:tcPr>
            <w:tcW w:w="0" w:type="auto"/>
            <w:vAlign w:val="center"/>
            <w:hideMark/>
          </w:tcPr>
          <w:p w14:paraId="38A11748" w14:textId="77777777" w:rsidR="00336706" w:rsidRPr="00336706" w:rsidRDefault="00336706" w:rsidP="00336706">
            <w:pPr>
              <w:spacing w:after="0" w:line="480" w:lineRule="auto"/>
              <w:ind w:left="567" w:hanging="45"/>
              <w:jc w:val="center"/>
              <w:rPr>
                <w:rFonts w:ascii="Times New Roman" w:hAnsi="Times New Roman" w:cs="Times New Roman"/>
                <w:b/>
                <w:bCs/>
                <w:sz w:val="20"/>
                <w:szCs w:val="20"/>
              </w:rPr>
            </w:pPr>
            <w:r>
              <w:rPr>
                <w:rFonts w:ascii="Times New Roman" w:hAnsi="Times New Roman" w:cs="Times New Roman"/>
                <w:b/>
                <w:bCs/>
                <w:sz w:val="20"/>
                <w:szCs w:val="20"/>
              </w:rPr>
              <w:t>Main Theme</w:t>
            </w:r>
          </w:p>
        </w:tc>
        <w:tc>
          <w:tcPr>
            <w:tcW w:w="0" w:type="auto"/>
            <w:vAlign w:val="center"/>
            <w:hideMark/>
          </w:tcPr>
          <w:p w14:paraId="170708F7" w14:textId="77777777" w:rsidR="00336706" w:rsidRPr="00336706" w:rsidRDefault="00336706" w:rsidP="00336706">
            <w:pPr>
              <w:spacing w:after="0" w:line="480" w:lineRule="auto"/>
              <w:ind w:left="567" w:firstLine="31"/>
              <w:jc w:val="center"/>
              <w:rPr>
                <w:rFonts w:ascii="Times New Roman" w:hAnsi="Times New Roman" w:cs="Times New Roman"/>
                <w:b/>
                <w:bCs/>
                <w:sz w:val="20"/>
                <w:szCs w:val="20"/>
              </w:rPr>
            </w:pPr>
            <w:r>
              <w:rPr>
                <w:rFonts w:ascii="Times New Roman" w:hAnsi="Times New Roman" w:cs="Times New Roman"/>
                <w:b/>
                <w:bCs/>
                <w:sz w:val="20"/>
                <w:szCs w:val="20"/>
              </w:rPr>
              <w:t>Subtheme</w:t>
            </w:r>
          </w:p>
        </w:tc>
        <w:tc>
          <w:tcPr>
            <w:tcW w:w="0" w:type="auto"/>
            <w:vAlign w:val="center"/>
            <w:hideMark/>
          </w:tcPr>
          <w:p w14:paraId="03EF9D1D" w14:textId="77777777" w:rsidR="00336706" w:rsidRPr="00336706" w:rsidRDefault="00336706" w:rsidP="00336706">
            <w:pPr>
              <w:spacing w:after="0" w:line="480" w:lineRule="auto"/>
              <w:ind w:left="567" w:firstLine="33"/>
              <w:jc w:val="center"/>
              <w:rPr>
                <w:rFonts w:ascii="Times New Roman" w:hAnsi="Times New Roman" w:cs="Times New Roman"/>
                <w:b/>
                <w:bCs/>
                <w:sz w:val="20"/>
                <w:szCs w:val="20"/>
              </w:rPr>
            </w:pPr>
            <w:r>
              <w:rPr>
                <w:rFonts w:ascii="Times New Roman" w:hAnsi="Times New Roman" w:cs="Times New Roman"/>
                <w:b/>
                <w:bCs/>
                <w:sz w:val="20"/>
                <w:szCs w:val="20"/>
              </w:rPr>
              <w:t>Codes</w:t>
            </w:r>
          </w:p>
        </w:tc>
        <w:tc>
          <w:tcPr>
            <w:tcW w:w="0" w:type="auto"/>
            <w:vAlign w:val="center"/>
            <w:hideMark/>
          </w:tcPr>
          <w:p w14:paraId="1A6B098D" w14:textId="77777777" w:rsidR="00336706" w:rsidRPr="00336706" w:rsidRDefault="00336706" w:rsidP="00336706">
            <w:pPr>
              <w:spacing w:after="0" w:line="480" w:lineRule="auto"/>
              <w:ind w:left="510" w:hanging="15"/>
              <w:jc w:val="center"/>
              <w:rPr>
                <w:rFonts w:ascii="Times New Roman" w:hAnsi="Times New Roman" w:cs="Times New Roman"/>
                <w:b/>
                <w:bCs/>
                <w:sz w:val="20"/>
                <w:szCs w:val="20"/>
              </w:rPr>
            </w:pPr>
            <w:r>
              <w:rPr>
                <w:rFonts w:ascii="Times New Roman" w:hAnsi="Times New Roman" w:cs="Times New Roman"/>
                <w:b/>
                <w:bCs/>
                <w:sz w:val="20"/>
                <w:szCs w:val="20"/>
              </w:rPr>
              <w:t>Descriptive Content (Detailed Explanation)</w:t>
            </w:r>
          </w:p>
        </w:tc>
        <w:tc>
          <w:tcPr>
            <w:tcW w:w="0" w:type="auto"/>
            <w:vAlign w:val="center"/>
            <w:hideMark/>
          </w:tcPr>
          <w:p w14:paraId="175A198D" w14:textId="77777777" w:rsidR="00336706" w:rsidRPr="00336706" w:rsidRDefault="00336706" w:rsidP="00336706">
            <w:pPr>
              <w:spacing w:after="0" w:line="480" w:lineRule="auto"/>
              <w:ind w:left="567" w:hanging="15"/>
              <w:jc w:val="center"/>
              <w:rPr>
                <w:rFonts w:ascii="Times New Roman" w:hAnsi="Times New Roman" w:cs="Times New Roman"/>
                <w:b/>
                <w:bCs/>
                <w:sz w:val="20"/>
                <w:szCs w:val="20"/>
              </w:rPr>
            </w:pPr>
            <w:r>
              <w:rPr>
                <w:rFonts w:ascii="Times New Roman" w:hAnsi="Times New Roman" w:cs="Times New Roman"/>
                <w:b/>
                <w:bCs/>
                <w:sz w:val="20"/>
                <w:szCs w:val="20"/>
              </w:rPr>
              <w:t>Representative Participant Quote</w:t>
            </w:r>
          </w:p>
        </w:tc>
      </w:tr>
      <w:tr w:rsidR="00336706" w:rsidRPr="00336706" w14:paraId="0A9053E5" w14:textId="77777777" w:rsidTr="00336706">
        <w:trPr>
          <w:tblCellSpacing w:w="15" w:type="dxa"/>
        </w:trPr>
        <w:tc>
          <w:tcPr>
            <w:tcW w:w="0" w:type="auto"/>
            <w:vAlign w:val="center"/>
            <w:hideMark/>
          </w:tcPr>
          <w:p w14:paraId="7F8C0DA2"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1. Empathy–Sympathy Cycle</w:t>
            </w:r>
          </w:p>
        </w:tc>
        <w:tc>
          <w:tcPr>
            <w:tcW w:w="0" w:type="auto"/>
            <w:vAlign w:val="center"/>
            <w:hideMark/>
          </w:tcPr>
          <w:p w14:paraId="3AF3F3C4"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1.1. Empathy facilitated by shared trauma</w:t>
            </w:r>
          </w:p>
        </w:tc>
        <w:tc>
          <w:tcPr>
            <w:tcW w:w="0" w:type="auto"/>
            <w:vAlign w:val="center"/>
            <w:hideMark/>
          </w:tcPr>
          <w:p w14:paraId="3BDB800B"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Trust through shared experience; Direct access to the student’s emotional world; Empathy strengthening the counseling relationship</w:t>
            </w:r>
          </w:p>
        </w:tc>
        <w:tc>
          <w:tcPr>
            <w:tcW w:w="0" w:type="auto"/>
            <w:vAlign w:val="center"/>
            <w:hideMark/>
          </w:tcPr>
          <w:p w14:paraId="6ECBF7AA" w14:textId="6B8E4248"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The counselor identifies with the student’s described emotions through their own lived experience and uses this connection to build rapport. Empathy creates a sense of “we survived this together.”</w:t>
            </w:r>
          </w:p>
        </w:tc>
        <w:tc>
          <w:tcPr>
            <w:tcW w:w="0" w:type="auto"/>
            <w:vAlign w:val="center"/>
            <w:hideMark/>
          </w:tcPr>
          <w:p w14:paraId="21E93483"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“I felt the same fear, so I understand them very well. Having experienced the same trauma makes it easier for me to empathize and helps the student trust me more quickly.”</w:t>
            </w:r>
          </w:p>
        </w:tc>
      </w:tr>
      <w:tr w:rsidR="00336706" w:rsidRPr="00336706" w14:paraId="33202234" w14:textId="77777777" w:rsidTr="00336706">
        <w:trPr>
          <w:tblCellSpacing w:w="15" w:type="dxa"/>
        </w:trPr>
        <w:tc>
          <w:tcPr>
            <w:tcW w:w="0" w:type="auto"/>
            <w:vAlign w:val="center"/>
            <w:hideMark/>
          </w:tcPr>
          <w:p w14:paraId="5DEF248C"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1. Empathy–Sympathy Cycle</w:t>
            </w:r>
          </w:p>
        </w:tc>
        <w:tc>
          <w:tcPr>
            <w:tcW w:w="0" w:type="auto"/>
            <w:vAlign w:val="center"/>
            <w:hideMark/>
          </w:tcPr>
          <w:p w14:paraId="3A59FD14"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1.2. Shift from empathy to sympathy</w:t>
            </w:r>
          </w:p>
        </w:tc>
        <w:tc>
          <w:tcPr>
            <w:tcW w:w="0" w:type="auto"/>
            <w:vAlign w:val="center"/>
            <w:hideMark/>
          </w:tcPr>
          <w:p w14:paraId="294EC986"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Emotional overflow (crying together); Urge to comfort immediately; Emotional boundaries becoming blurred</w:t>
            </w:r>
          </w:p>
        </w:tc>
        <w:tc>
          <w:tcPr>
            <w:tcW w:w="0" w:type="auto"/>
            <w:vAlign w:val="center"/>
            <w:hideMark/>
          </w:tcPr>
          <w:p w14:paraId="4E95EAAD"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As empathic resonance intensifies, professional distance weakens. The counselor begins to mirror the student’s distress (crying, anger, pity) and moves into a rescuing stance rather than a reflective stance.</w:t>
            </w:r>
          </w:p>
        </w:tc>
        <w:tc>
          <w:tcPr>
            <w:tcW w:w="0" w:type="auto"/>
            <w:vAlign w:val="center"/>
            <w:hideMark/>
          </w:tcPr>
          <w:p w14:paraId="6858D63F"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 xml:space="preserve">“When I work with students affected by the earthquake, I find myself leaning more toward sympathy. There were times when we just cried and cried together. In those moments, instead of supporting the client’s process, we </w:t>
            </w:r>
            <w:proofErr w:type="gramStart"/>
            <w:r>
              <w:rPr>
                <w:rFonts w:ascii="Times New Roman" w:hAnsi="Times New Roman" w:cs="Times New Roman"/>
                <w:sz w:val="20"/>
                <w:szCs w:val="20"/>
              </w:rPr>
              <w:t>were</w:t>
            </w:r>
            <w:proofErr w:type="gramEnd"/>
            <w:r>
              <w:rPr>
                <w:rFonts w:ascii="Times New Roman" w:hAnsi="Times New Roman" w:cs="Times New Roman"/>
                <w:sz w:val="20"/>
                <w:szCs w:val="20"/>
              </w:rPr>
              <w:t xml:space="preserve"> almost inside the same emotion.”</w:t>
            </w:r>
          </w:p>
        </w:tc>
      </w:tr>
      <w:tr w:rsidR="00336706" w:rsidRPr="00336706" w14:paraId="6C888733" w14:textId="77777777" w:rsidTr="00336706">
        <w:trPr>
          <w:tblCellSpacing w:w="15" w:type="dxa"/>
        </w:trPr>
        <w:tc>
          <w:tcPr>
            <w:tcW w:w="0" w:type="auto"/>
            <w:vAlign w:val="center"/>
            <w:hideMark/>
          </w:tcPr>
          <w:p w14:paraId="72CCED45"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1. Empathy–Sympathy Cycle</w:t>
            </w:r>
          </w:p>
        </w:tc>
        <w:tc>
          <w:tcPr>
            <w:tcW w:w="0" w:type="auto"/>
            <w:vAlign w:val="center"/>
            <w:hideMark/>
          </w:tcPr>
          <w:p w14:paraId="3AB75BBD"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1.3. Emotional self-monitoring and recovery</w:t>
            </w:r>
          </w:p>
        </w:tc>
        <w:tc>
          <w:tcPr>
            <w:tcW w:w="0" w:type="auto"/>
            <w:vAlign w:val="center"/>
            <w:hideMark/>
          </w:tcPr>
          <w:p w14:paraId="27473C40"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Observing one’s own reactions; Re-centering on the client; Recalling the professional role</w:t>
            </w:r>
          </w:p>
        </w:tc>
        <w:tc>
          <w:tcPr>
            <w:tcW w:w="0" w:type="auto"/>
            <w:vAlign w:val="center"/>
            <w:hideMark/>
          </w:tcPr>
          <w:p w14:paraId="72DF2DE0"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The counselor notices the moment the emotional line is crossed and actively brings the focus back to the student’s needs. Self-regulation is used to restore professional stance.</w:t>
            </w:r>
          </w:p>
        </w:tc>
        <w:tc>
          <w:tcPr>
            <w:tcW w:w="0" w:type="auto"/>
            <w:vAlign w:val="center"/>
            <w:hideMark/>
          </w:tcPr>
          <w:p w14:paraId="76EFE747"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“My student was furious at the contractor whose building collapsed. I realized I was getting equally angry and expressing it out loud. Then I caught myself thinking, ‘What am I doing? I need to focus on my student’s feelings.’ I pulled myself together and shifted back to listening.”</w:t>
            </w:r>
          </w:p>
        </w:tc>
      </w:tr>
      <w:tr w:rsidR="00336706" w:rsidRPr="00336706" w14:paraId="066C395D" w14:textId="77777777" w:rsidTr="00336706">
        <w:trPr>
          <w:tblCellSpacing w:w="15" w:type="dxa"/>
        </w:trPr>
        <w:tc>
          <w:tcPr>
            <w:tcW w:w="0" w:type="auto"/>
            <w:vAlign w:val="center"/>
            <w:hideMark/>
          </w:tcPr>
          <w:p w14:paraId="4CB7ABD5" w14:textId="17AAE820"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 xml:space="preserve">2. </w:t>
            </w:r>
            <w:r>
              <w:rPr>
                <w:rFonts w:ascii="Times New Roman" w:hAnsi="Times New Roman"/>
                <w:b/>
                <w:color w:val="000000"/>
                <w:sz w:val="20"/>
              </w:rPr>
              <w:t>Self-Disclosure Continuum Impacts the Collective Healing Process</w:t>
            </w:r>
          </w:p>
        </w:tc>
        <w:tc>
          <w:tcPr>
            <w:tcW w:w="0" w:type="auto"/>
            <w:vAlign w:val="center"/>
            <w:hideMark/>
          </w:tcPr>
          <w:p w14:paraId="3D47F168"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2.1. Self-disclosure to build trust and safety</w:t>
            </w:r>
          </w:p>
        </w:tc>
        <w:tc>
          <w:tcPr>
            <w:tcW w:w="0" w:type="auto"/>
            <w:vAlign w:val="center"/>
            <w:hideMark/>
          </w:tcPr>
          <w:p w14:paraId="0C04F342"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Normalizing the student’s reactions; Expressing ‘you are not alone’; Reducing isolation through shared experience</w:t>
            </w:r>
          </w:p>
        </w:tc>
        <w:tc>
          <w:tcPr>
            <w:tcW w:w="0" w:type="auto"/>
            <w:vAlign w:val="center"/>
            <w:hideMark/>
          </w:tcPr>
          <w:p w14:paraId="34F4E19A"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The counselor shares having lived through the earthquake to increase the student’s sense of safety and belonging. Deliberate, controlled self-disclosure is used to create credibility and reduce shame.</w:t>
            </w:r>
          </w:p>
        </w:tc>
        <w:tc>
          <w:tcPr>
            <w:tcW w:w="0" w:type="auto"/>
            <w:vAlign w:val="center"/>
            <w:hideMark/>
          </w:tcPr>
          <w:p w14:paraId="317F9462"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“When the earthquake comes up in session, I sometimes say that I also went through it. That helps the student feel safer with me. I explain how I coped with loss and grief and, when it fits, I share the methods that helped me.”</w:t>
            </w:r>
          </w:p>
        </w:tc>
      </w:tr>
      <w:tr w:rsidR="00336706" w:rsidRPr="00336706" w14:paraId="21638829" w14:textId="77777777" w:rsidTr="00336706">
        <w:trPr>
          <w:tblCellSpacing w:w="15" w:type="dxa"/>
        </w:trPr>
        <w:tc>
          <w:tcPr>
            <w:tcW w:w="0" w:type="auto"/>
            <w:vAlign w:val="center"/>
            <w:hideMark/>
          </w:tcPr>
          <w:p w14:paraId="00E15C63"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 xml:space="preserve">2. </w:t>
            </w:r>
            <w:r>
              <w:rPr>
                <w:rFonts w:ascii="Times New Roman" w:hAnsi="Times New Roman"/>
                <w:b/>
                <w:color w:val="000000"/>
                <w:sz w:val="20"/>
              </w:rPr>
              <w:t>Self-Disclosure Continuum Impacts the Collective Healing Process</w:t>
            </w:r>
          </w:p>
          <w:p w14:paraId="7CB7CA98" w14:textId="77777777" w:rsidR="00336706" w:rsidRPr="00336706" w:rsidRDefault="00336706" w:rsidP="00336706">
            <w:pPr>
              <w:spacing w:after="0" w:line="480" w:lineRule="auto"/>
              <w:ind w:left="567" w:hanging="45"/>
              <w:rPr>
                <w:rFonts w:ascii="Times New Roman" w:hAnsi="Times New Roman" w:cs="Times New Roman"/>
                <w:b/>
                <w:bCs/>
                <w:sz w:val="20"/>
                <w:szCs w:val="20"/>
              </w:rPr>
            </w:pPr>
          </w:p>
        </w:tc>
        <w:tc>
          <w:tcPr>
            <w:tcW w:w="0" w:type="auto"/>
            <w:vAlign w:val="center"/>
            <w:hideMark/>
          </w:tcPr>
          <w:p w14:paraId="60A1ECE6"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2.2. Awareness of over-disclosure</w:t>
            </w:r>
          </w:p>
        </w:tc>
        <w:tc>
          <w:tcPr>
            <w:tcW w:w="0" w:type="auto"/>
            <w:vAlign w:val="center"/>
            <w:hideMark/>
          </w:tcPr>
          <w:p w14:paraId="3F0A1078"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Talking too much about oneself; Losing focus on the student’s story; Interfering with the student’s narrative flow</w:t>
            </w:r>
          </w:p>
        </w:tc>
        <w:tc>
          <w:tcPr>
            <w:tcW w:w="0" w:type="auto"/>
            <w:vAlign w:val="center"/>
            <w:hideMark/>
          </w:tcPr>
          <w:p w14:paraId="00269387"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In intense emotional moments, the counselor notices they are giving many personal examples. They later question whether this amount of sharing was clinically appropriate.</w:t>
            </w:r>
          </w:p>
        </w:tc>
        <w:tc>
          <w:tcPr>
            <w:tcW w:w="0" w:type="auto"/>
            <w:vAlign w:val="center"/>
            <w:hideMark/>
          </w:tcPr>
          <w:p w14:paraId="62F663E7"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“Sometimes I catch myself giving too many personal examples because I’ve had similar experiences. Then I ask myself, ‘Did I talk about myself too much?’ When I notice that, I remind myself to refocus on the student because too much self-disclosure can block a healthy counseling process.”</w:t>
            </w:r>
          </w:p>
        </w:tc>
      </w:tr>
      <w:tr w:rsidR="00336706" w:rsidRPr="00336706" w14:paraId="62EE1805" w14:textId="77777777" w:rsidTr="00336706">
        <w:trPr>
          <w:tblCellSpacing w:w="15" w:type="dxa"/>
        </w:trPr>
        <w:tc>
          <w:tcPr>
            <w:tcW w:w="0" w:type="auto"/>
            <w:vAlign w:val="center"/>
            <w:hideMark/>
          </w:tcPr>
          <w:p w14:paraId="026B5CB2"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 xml:space="preserve">2. </w:t>
            </w:r>
            <w:r>
              <w:rPr>
                <w:rFonts w:ascii="Times New Roman" w:hAnsi="Times New Roman"/>
                <w:b/>
                <w:color w:val="000000"/>
                <w:sz w:val="20"/>
              </w:rPr>
              <w:t>Self-Disclosure Continuum Impacts the Collective Healing Process</w:t>
            </w:r>
          </w:p>
          <w:p w14:paraId="31E4156B" w14:textId="77777777" w:rsidR="00336706" w:rsidRPr="00336706" w:rsidRDefault="00336706" w:rsidP="00336706">
            <w:pPr>
              <w:spacing w:after="0" w:line="480" w:lineRule="auto"/>
              <w:ind w:left="567" w:hanging="45"/>
              <w:rPr>
                <w:rFonts w:ascii="Times New Roman" w:hAnsi="Times New Roman" w:cs="Times New Roman"/>
                <w:b/>
                <w:bCs/>
                <w:sz w:val="20"/>
                <w:szCs w:val="20"/>
              </w:rPr>
            </w:pPr>
          </w:p>
        </w:tc>
        <w:tc>
          <w:tcPr>
            <w:tcW w:w="0" w:type="auto"/>
            <w:vAlign w:val="center"/>
            <w:hideMark/>
          </w:tcPr>
          <w:p w14:paraId="6BCFDD4C"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2.3. Sense of mutual healing (“healing together”)</w:t>
            </w:r>
          </w:p>
        </w:tc>
        <w:tc>
          <w:tcPr>
            <w:tcW w:w="0" w:type="auto"/>
            <w:vAlign w:val="center"/>
            <w:hideMark/>
          </w:tcPr>
          <w:p w14:paraId="20699524"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Counselor’s emotional relief in session; Shared recovery narrative (“we are getting out of this together”); Feeling strengthened by joint processing</w:t>
            </w:r>
          </w:p>
        </w:tc>
        <w:tc>
          <w:tcPr>
            <w:tcW w:w="0" w:type="auto"/>
            <w:vAlign w:val="center"/>
            <w:hideMark/>
          </w:tcPr>
          <w:p w14:paraId="0D8B391C"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The counselor experiences the session not only as support for the student but also as a space where the counselor’s own unresolved pain is relieved. The moment is experienced as mutual healing rather than one-directional support.</w:t>
            </w:r>
          </w:p>
        </w:tc>
        <w:tc>
          <w:tcPr>
            <w:tcW w:w="0" w:type="auto"/>
            <w:vAlign w:val="center"/>
            <w:hideMark/>
          </w:tcPr>
          <w:p w14:paraId="311A8F09"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“When we talked about the night of the earthquake, it sometimes felt like I wasn’t only helping the student but also healing a part of myself. It was like we were both walking out of the rubble together.”</w:t>
            </w:r>
          </w:p>
        </w:tc>
      </w:tr>
      <w:tr w:rsidR="00336706" w:rsidRPr="00336706" w14:paraId="0D5A63F2" w14:textId="77777777" w:rsidTr="00336706">
        <w:trPr>
          <w:tblCellSpacing w:w="15" w:type="dxa"/>
        </w:trPr>
        <w:tc>
          <w:tcPr>
            <w:tcW w:w="0" w:type="auto"/>
            <w:vAlign w:val="center"/>
            <w:hideMark/>
          </w:tcPr>
          <w:p w14:paraId="631C6A28"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 xml:space="preserve">2. </w:t>
            </w:r>
            <w:r>
              <w:rPr>
                <w:rFonts w:ascii="Times New Roman" w:hAnsi="Times New Roman"/>
                <w:b/>
                <w:color w:val="000000"/>
                <w:sz w:val="20"/>
              </w:rPr>
              <w:t>Self-Disclosure Continuum Impacts the Collective Healing Process</w:t>
            </w:r>
          </w:p>
          <w:p w14:paraId="16166870" w14:textId="77777777" w:rsidR="00336706" w:rsidRPr="00336706" w:rsidRDefault="00336706" w:rsidP="00336706">
            <w:pPr>
              <w:spacing w:after="0" w:line="480" w:lineRule="auto"/>
              <w:ind w:left="567" w:hanging="45"/>
              <w:rPr>
                <w:rFonts w:ascii="Times New Roman" w:hAnsi="Times New Roman" w:cs="Times New Roman"/>
                <w:b/>
                <w:bCs/>
                <w:sz w:val="20"/>
                <w:szCs w:val="20"/>
              </w:rPr>
            </w:pPr>
          </w:p>
        </w:tc>
        <w:tc>
          <w:tcPr>
            <w:tcW w:w="0" w:type="auto"/>
            <w:vAlign w:val="center"/>
            <w:hideMark/>
          </w:tcPr>
          <w:p w14:paraId="5421616A"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2.4. Ongoing effort to protect professional boundaries</w:t>
            </w:r>
          </w:p>
        </w:tc>
        <w:tc>
          <w:tcPr>
            <w:tcW w:w="0" w:type="auto"/>
            <w:vAlign w:val="center"/>
            <w:hideMark/>
          </w:tcPr>
          <w:p w14:paraId="1FA2F407"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Role awareness (“I am still the counselor”); Intention to move unresolved material to personal therapy; Ethical attention to limits</w:t>
            </w:r>
          </w:p>
        </w:tc>
        <w:tc>
          <w:tcPr>
            <w:tcW w:w="0" w:type="auto"/>
            <w:vAlign w:val="center"/>
            <w:hideMark/>
          </w:tcPr>
          <w:p w14:paraId="49788630"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The counselor recognizes that some emotional content belongs in their own therapy or supervision, not in the student’s session. They actively try to redraw the line between ‘supportive sharing’ and ‘therapeutic drift.’</w:t>
            </w:r>
          </w:p>
        </w:tc>
        <w:tc>
          <w:tcPr>
            <w:tcW w:w="0" w:type="auto"/>
            <w:vAlign w:val="center"/>
            <w:hideMark/>
          </w:tcPr>
          <w:p w14:paraId="2FC0AA84"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“I realized that some of the things I was saying were actually things I needed to process in my own therapy, not in the student’s session. So I told myself, ‘Stay in the counselor role. Keep the focus on the student.’”</w:t>
            </w:r>
          </w:p>
        </w:tc>
      </w:tr>
      <w:tr w:rsidR="00336706" w:rsidRPr="00336706" w14:paraId="7D5C4E61" w14:textId="77777777" w:rsidTr="00336706">
        <w:trPr>
          <w:tblCellSpacing w:w="15" w:type="dxa"/>
        </w:trPr>
        <w:tc>
          <w:tcPr>
            <w:tcW w:w="0" w:type="auto"/>
            <w:vAlign w:val="center"/>
            <w:hideMark/>
          </w:tcPr>
          <w:p w14:paraId="5FB8F428"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3. The Wounded Healer’s Increasing Need for Professional Support</w:t>
            </w:r>
          </w:p>
        </w:tc>
        <w:tc>
          <w:tcPr>
            <w:tcW w:w="0" w:type="auto"/>
            <w:vAlign w:val="center"/>
            <w:hideMark/>
          </w:tcPr>
          <w:p w14:paraId="557B9A0A"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3.1. Lack of supervision and consultation</w:t>
            </w:r>
          </w:p>
        </w:tc>
        <w:tc>
          <w:tcPr>
            <w:tcW w:w="0" w:type="auto"/>
            <w:vAlign w:val="center"/>
            <w:hideMark/>
          </w:tcPr>
          <w:p w14:paraId="01D166FA"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Uncertainty about correct intervention; Feeling professionally alone; Needing structured guidance</w:t>
            </w:r>
          </w:p>
        </w:tc>
        <w:tc>
          <w:tcPr>
            <w:tcW w:w="0" w:type="auto"/>
            <w:vAlign w:val="center"/>
            <w:hideMark/>
          </w:tcPr>
          <w:p w14:paraId="5968232A"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After the earthquake, counselors reported providing crisis counseling with almost no clinical supervision. They felt unsure whether their interventions were ethically and clinically appropriate.</w:t>
            </w:r>
          </w:p>
        </w:tc>
        <w:tc>
          <w:tcPr>
            <w:tcW w:w="0" w:type="auto"/>
            <w:vAlign w:val="center"/>
            <w:hideMark/>
          </w:tcPr>
          <w:p w14:paraId="0B19F1C2"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“We didn’t really know whether what we were doing was right or wrong. There should have been supervision. We needed someone to guide us through this.”</w:t>
            </w:r>
          </w:p>
        </w:tc>
      </w:tr>
      <w:tr w:rsidR="00336706" w:rsidRPr="00336706" w14:paraId="28B34FE5" w14:textId="77777777" w:rsidTr="00336706">
        <w:trPr>
          <w:tblCellSpacing w:w="15" w:type="dxa"/>
        </w:trPr>
        <w:tc>
          <w:tcPr>
            <w:tcW w:w="0" w:type="auto"/>
            <w:vAlign w:val="center"/>
            <w:hideMark/>
          </w:tcPr>
          <w:p w14:paraId="5937D433"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3. The Wounded Healer’s Increasing Need for Professional Support</w:t>
            </w:r>
          </w:p>
        </w:tc>
        <w:tc>
          <w:tcPr>
            <w:tcW w:w="0" w:type="auto"/>
            <w:vAlign w:val="center"/>
            <w:hideMark/>
          </w:tcPr>
          <w:p w14:paraId="4DD49732"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3.2. Need for personal therapy</w:t>
            </w:r>
          </w:p>
        </w:tc>
        <w:tc>
          <w:tcPr>
            <w:tcW w:w="0" w:type="auto"/>
            <w:vAlign w:val="center"/>
            <w:hideMark/>
          </w:tcPr>
          <w:p w14:paraId="6FB93DDD"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Noticing unprocessed trauma; Psychological overload; Desire to protect one’s own well-being</w:t>
            </w:r>
          </w:p>
        </w:tc>
        <w:tc>
          <w:tcPr>
            <w:tcW w:w="0" w:type="auto"/>
            <w:vAlign w:val="center"/>
            <w:hideMark/>
          </w:tcPr>
          <w:p w14:paraId="30874C49"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Counselors reported that they were expected to immediately care for others without first receiving psychological support themselves. They emphasized that they personally needed therapy before being asked to intervene with students.</w:t>
            </w:r>
          </w:p>
        </w:tc>
        <w:tc>
          <w:tcPr>
            <w:tcW w:w="0" w:type="auto"/>
            <w:vAlign w:val="center"/>
            <w:hideMark/>
          </w:tcPr>
          <w:p w14:paraId="51864FE1"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“We should have received psychological counseling ourselves first. People expected us to stay strong and respond right away, without any time to rest or recover. That was a serious disadvantage for us.”</w:t>
            </w:r>
          </w:p>
        </w:tc>
      </w:tr>
      <w:tr w:rsidR="00336706" w:rsidRPr="00336706" w14:paraId="359F4E75" w14:textId="77777777" w:rsidTr="00336706">
        <w:trPr>
          <w:tblCellSpacing w:w="15" w:type="dxa"/>
        </w:trPr>
        <w:tc>
          <w:tcPr>
            <w:tcW w:w="0" w:type="auto"/>
            <w:vAlign w:val="center"/>
            <w:hideMark/>
          </w:tcPr>
          <w:p w14:paraId="020CBFEA"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3. The Wounded Healer’s Increasing Need for Professional Support</w:t>
            </w:r>
          </w:p>
        </w:tc>
        <w:tc>
          <w:tcPr>
            <w:tcW w:w="0" w:type="auto"/>
            <w:vAlign w:val="center"/>
            <w:hideMark/>
          </w:tcPr>
          <w:p w14:paraId="3E2B1E91"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3.3. Peer support and professional solidarity</w:t>
            </w:r>
          </w:p>
        </w:tc>
        <w:tc>
          <w:tcPr>
            <w:tcW w:w="0" w:type="auto"/>
            <w:vAlign w:val="center"/>
            <w:hideMark/>
          </w:tcPr>
          <w:p w14:paraId="1740811D"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Emotional relief through colleague sharing; Feeling less alone professionally; Relying on coworkers in the field</w:t>
            </w:r>
          </w:p>
        </w:tc>
        <w:tc>
          <w:tcPr>
            <w:tcW w:w="0" w:type="auto"/>
            <w:vAlign w:val="center"/>
            <w:hideMark/>
          </w:tcPr>
          <w:p w14:paraId="20A5F740"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Counselors described informal peer discussions as a source of relief. These exchanges provided emotional containment, even if they were not a substitute for formal supervision.</w:t>
            </w:r>
          </w:p>
        </w:tc>
        <w:tc>
          <w:tcPr>
            <w:tcW w:w="0" w:type="auto"/>
            <w:vAlign w:val="center"/>
            <w:hideMark/>
          </w:tcPr>
          <w:p w14:paraId="1A0B1131"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“Talking to colleagues who were going through the same thing helped. Sharing with each other made it easier, even though sometimes it still wasn’t enough.”</w:t>
            </w:r>
          </w:p>
        </w:tc>
      </w:tr>
      <w:tr w:rsidR="00336706" w:rsidRPr="00336706" w14:paraId="66FA650C" w14:textId="77777777" w:rsidTr="00336706">
        <w:trPr>
          <w:tblCellSpacing w:w="15" w:type="dxa"/>
        </w:trPr>
        <w:tc>
          <w:tcPr>
            <w:tcW w:w="0" w:type="auto"/>
            <w:vAlign w:val="center"/>
            <w:hideMark/>
          </w:tcPr>
          <w:p w14:paraId="3B91A72F" w14:textId="77777777" w:rsidR="00336706" w:rsidRPr="00336706" w:rsidRDefault="00336706" w:rsidP="00336706">
            <w:pPr>
              <w:spacing w:after="0" w:line="480" w:lineRule="auto"/>
              <w:ind w:left="567" w:hanging="45"/>
              <w:rPr>
                <w:rFonts w:ascii="Times New Roman" w:hAnsi="Times New Roman" w:cs="Times New Roman"/>
                <w:b/>
                <w:bCs/>
                <w:sz w:val="20"/>
                <w:szCs w:val="20"/>
              </w:rPr>
            </w:pPr>
            <w:r>
              <w:rPr>
                <w:rFonts w:ascii="Times New Roman" w:hAnsi="Times New Roman" w:cs="Times New Roman"/>
                <w:b/>
                <w:bCs/>
                <w:sz w:val="20"/>
                <w:szCs w:val="20"/>
              </w:rPr>
              <w:t>3. The Wounded Healer’s Increasing Need for Professional Support</w:t>
            </w:r>
          </w:p>
        </w:tc>
        <w:tc>
          <w:tcPr>
            <w:tcW w:w="0" w:type="auto"/>
            <w:vAlign w:val="center"/>
            <w:hideMark/>
          </w:tcPr>
          <w:p w14:paraId="5DC79741" w14:textId="77777777" w:rsidR="00336706" w:rsidRPr="00336706" w:rsidRDefault="00336706" w:rsidP="00336706">
            <w:pPr>
              <w:spacing w:after="0" w:line="480" w:lineRule="auto"/>
              <w:ind w:left="567" w:firstLine="31"/>
              <w:rPr>
                <w:rFonts w:ascii="Times New Roman" w:hAnsi="Times New Roman" w:cs="Times New Roman"/>
                <w:sz w:val="20"/>
                <w:szCs w:val="20"/>
              </w:rPr>
            </w:pPr>
            <w:r>
              <w:rPr>
                <w:rFonts w:ascii="Times New Roman" w:hAnsi="Times New Roman" w:cs="Times New Roman"/>
                <w:sz w:val="20"/>
                <w:szCs w:val="20"/>
              </w:rPr>
              <w:t>3.4. Limited institutional support</w:t>
            </w:r>
          </w:p>
        </w:tc>
        <w:tc>
          <w:tcPr>
            <w:tcW w:w="0" w:type="auto"/>
            <w:vAlign w:val="center"/>
            <w:hideMark/>
          </w:tcPr>
          <w:p w14:paraId="4D028901" w14:textId="77777777" w:rsidR="00336706" w:rsidRPr="00336706" w:rsidRDefault="00336706" w:rsidP="00336706">
            <w:pPr>
              <w:spacing w:after="0" w:line="480" w:lineRule="auto"/>
              <w:ind w:left="567" w:firstLine="33"/>
              <w:rPr>
                <w:rFonts w:ascii="Times New Roman" w:hAnsi="Times New Roman" w:cs="Times New Roman"/>
                <w:sz w:val="20"/>
                <w:szCs w:val="20"/>
              </w:rPr>
            </w:pPr>
            <w:r>
              <w:rPr>
                <w:rFonts w:ascii="Times New Roman" w:hAnsi="Times New Roman" w:cs="Times New Roman"/>
                <w:sz w:val="20"/>
                <w:szCs w:val="20"/>
              </w:rPr>
              <w:t>Short-term trainings; Lack of follow-up or continuity; Feeling abandoned after initial response</w:t>
            </w:r>
          </w:p>
        </w:tc>
        <w:tc>
          <w:tcPr>
            <w:tcW w:w="0" w:type="auto"/>
            <w:vAlign w:val="center"/>
            <w:hideMark/>
          </w:tcPr>
          <w:p w14:paraId="754ED6E2" w14:textId="77777777" w:rsidR="00336706" w:rsidRPr="00336706" w:rsidRDefault="00336706" w:rsidP="00336706">
            <w:pPr>
              <w:spacing w:after="0" w:line="480" w:lineRule="auto"/>
              <w:ind w:left="510" w:hanging="15"/>
              <w:rPr>
                <w:rFonts w:ascii="Times New Roman" w:hAnsi="Times New Roman" w:cs="Times New Roman"/>
                <w:sz w:val="20"/>
                <w:szCs w:val="20"/>
              </w:rPr>
            </w:pPr>
            <w:r>
              <w:rPr>
                <w:rFonts w:ascii="Times New Roman" w:hAnsi="Times New Roman" w:cs="Times New Roman"/>
                <w:sz w:val="20"/>
                <w:szCs w:val="20"/>
              </w:rPr>
              <w:t>Post-earthquake trainings were described as practical and useful, but also brief and not sustained. Counselors felt they were left to manage chronic trauma conditions without long-term structural support.</w:t>
            </w:r>
          </w:p>
        </w:tc>
        <w:tc>
          <w:tcPr>
            <w:tcW w:w="0" w:type="auto"/>
            <w:vAlign w:val="center"/>
            <w:hideMark/>
          </w:tcPr>
          <w:p w14:paraId="6C968F0A" w14:textId="77777777" w:rsidR="00336706" w:rsidRPr="00336706" w:rsidRDefault="00336706" w:rsidP="00336706">
            <w:pPr>
              <w:spacing w:after="0" w:line="480" w:lineRule="auto"/>
              <w:ind w:left="567" w:hanging="15"/>
              <w:rPr>
                <w:rFonts w:ascii="Times New Roman" w:hAnsi="Times New Roman" w:cs="Times New Roman"/>
                <w:sz w:val="20"/>
                <w:szCs w:val="20"/>
              </w:rPr>
            </w:pPr>
            <w:r>
              <w:rPr>
                <w:rFonts w:ascii="Times New Roman" w:hAnsi="Times New Roman" w:cs="Times New Roman"/>
                <w:sz w:val="20"/>
                <w:szCs w:val="20"/>
              </w:rPr>
              <w:t>“We had a two-day training and then everyone was basically left on their own. The expectations stayed, but the support didn’t continue.”</w:t>
            </w:r>
          </w:p>
        </w:tc>
      </w:tr>
    </w:tbl>
    <w:p w14:paraId="43686C97" w14:textId="77777777" w:rsidR="00336706" w:rsidRPr="00336706" w:rsidRDefault="00336706" w:rsidP="00A80CBF">
      <w:pPr>
        <w:spacing w:after="0" w:line="480" w:lineRule="auto"/>
        <w:ind w:left="567" w:hanging="567"/>
        <w:rPr>
          <w:rFonts w:ascii="Times New Roman" w:hAnsi="Times New Roman" w:cs="Times New Roman"/>
          <w:b/>
          <w:bCs/>
        </w:rPr>
      </w:pPr>
    </w:p>
    <w:sectPr w:rsidR="00336706" w:rsidRPr="00336706" w:rsidSect="00336706">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AB45C" w14:textId="77777777" w:rsidR="00C82C3F" w:rsidRDefault="00C82C3F">
      <w:pPr>
        <w:spacing w:after="0" w:line="240" w:lineRule="auto"/>
      </w:pPr>
      <w:r>
        <w:separator/>
      </w:r>
    </w:p>
  </w:endnote>
  <w:endnote w:type="continuationSeparator" w:id="0">
    <w:p w14:paraId="455F5023" w14:textId="77777777" w:rsidR="00C82C3F" w:rsidRDefault="00C8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rlito">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476D6" w14:textId="77777777" w:rsidR="00C82C3F" w:rsidRDefault="00C82C3F">
      <w:pPr>
        <w:spacing w:after="0" w:line="240" w:lineRule="auto"/>
      </w:pPr>
      <w:r>
        <w:separator/>
      </w:r>
    </w:p>
  </w:footnote>
  <w:footnote w:type="continuationSeparator" w:id="0">
    <w:p w14:paraId="25E3E754" w14:textId="77777777" w:rsidR="00C82C3F" w:rsidRDefault="00C82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A2638" w14:textId="731A76F5" w:rsidR="00A15809" w:rsidRDefault="00A1580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9C1C41"/>
    <w:multiLevelType w:val="multilevel"/>
    <w:tmpl w:val="338A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AA43B0"/>
    <w:multiLevelType w:val="multilevel"/>
    <w:tmpl w:val="4ABA4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809"/>
    <w:rsid w:val="000F4C26"/>
    <w:rsid w:val="00134E66"/>
    <w:rsid w:val="001435C1"/>
    <w:rsid w:val="001E4F16"/>
    <w:rsid w:val="001F338A"/>
    <w:rsid w:val="00250E1A"/>
    <w:rsid w:val="002C476D"/>
    <w:rsid w:val="002E4B43"/>
    <w:rsid w:val="003120EB"/>
    <w:rsid w:val="00336706"/>
    <w:rsid w:val="00351EEC"/>
    <w:rsid w:val="00451201"/>
    <w:rsid w:val="004667C9"/>
    <w:rsid w:val="00482F51"/>
    <w:rsid w:val="005073D3"/>
    <w:rsid w:val="00544C58"/>
    <w:rsid w:val="00583A29"/>
    <w:rsid w:val="00622B22"/>
    <w:rsid w:val="006567DA"/>
    <w:rsid w:val="0069560E"/>
    <w:rsid w:val="006D05D8"/>
    <w:rsid w:val="006E12D6"/>
    <w:rsid w:val="0070325B"/>
    <w:rsid w:val="00784562"/>
    <w:rsid w:val="007C6373"/>
    <w:rsid w:val="00825B59"/>
    <w:rsid w:val="00866DBD"/>
    <w:rsid w:val="009B314A"/>
    <w:rsid w:val="009C0308"/>
    <w:rsid w:val="00A04752"/>
    <w:rsid w:val="00A15809"/>
    <w:rsid w:val="00A368EA"/>
    <w:rsid w:val="00A80CBF"/>
    <w:rsid w:val="00B35CA2"/>
    <w:rsid w:val="00B66F8D"/>
    <w:rsid w:val="00B906B1"/>
    <w:rsid w:val="00C70C8B"/>
    <w:rsid w:val="00C82C3F"/>
    <w:rsid w:val="00CB214C"/>
    <w:rsid w:val="00CB3B71"/>
    <w:rsid w:val="00D02C9A"/>
    <w:rsid w:val="00D40EFC"/>
    <w:rsid w:val="00D51E03"/>
    <w:rsid w:val="00D909DA"/>
    <w:rsid w:val="00E261AE"/>
    <w:rsid w:val="00E44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0F3FD"/>
  <w15:docId w15:val="{73D8EA02-4B76-754E-903A-6DC22AFD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tr-TR" w:eastAsia="tr-TR" w:bidi="ar-SA"/>
        <w14:ligatures w14:val="standardContextual"/>
      </w:rPr>
    </w:rPrDefault>
    <w:pPrDefault>
      <w:pPr>
        <w:spacing w:after="160" w:line="278"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1"/>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1"/>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1"/>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1"/>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1"/>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1"/>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1"/>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1"/>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1"/>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1"/>
    <w:uiPriority w:val="29"/>
    <w:qFormat/>
    <w:pPr>
      <w:spacing w:before="160"/>
      <w:jc w:val="center"/>
    </w:pPr>
    <w:rPr>
      <w:i/>
      <w:iCs/>
      <w:color w:val="404040" w:themeColor="text1" w:themeTint="BF"/>
    </w:rPr>
  </w:style>
  <w:style w:type="character" w:customStyle="1" w:styleId="QuoteChar1">
    <w:name w:val="Quote Char1"/>
    <w:basedOn w:val="DefaultParagraphFont"/>
    <w:link w:val="Quote"/>
    <w:uiPriority w:val="29"/>
    <w:rPr>
      <w:i/>
      <w:iCs/>
      <w:color w:val="404040" w:themeColor="text1" w:themeTint="BF"/>
    </w:rPr>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1">
    <w:name w:val="Footer Char1"/>
    <w:link w:val="Footer"/>
    <w:uiPriority w:val="99"/>
  </w:style>
  <w:style w:type="paragraph" w:styleId="Subtitle">
    <w:name w:val="Subtitle"/>
    <w:basedOn w:val="Normal"/>
    <w:next w:val="Normal"/>
    <w:link w:val="SubtitleChar1"/>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1">
    <w:name w:val="Subtitle Char1"/>
    <w:basedOn w:val="DefaultParagraphFont"/>
    <w:link w:val="Subtitle"/>
    <w:uiPriority w:val="11"/>
    <w:rPr>
      <w:rFonts w:eastAsiaTheme="majorEastAsia" w:cstheme="majorBidi"/>
      <w:color w:val="595959" w:themeColor="text1" w:themeTint="A6"/>
      <w:spacing w:val="15"/>
      <w:sz w:val="28"/>
      <w:szCs w:val="28"/>
    </w:rPr>
  </w:style>
  <w:style w:type="paragraph" w:styleId="NoSpacing">
    <w:name w:val="No Spacing"/>
    <w:uiPriority w:val="1"/>
    <w:qFormat/>
    <w:pPr>
      <w:spacing w:after="0" w:line="240" w:lineRule="auto"/>
    </w:pPr>
  </w:style>
  <w:style w:type="character" w:customStyle="1" w:styleId="Heading1Char1">
    <w:name w:val="Heading 1 Char1"/>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1">
    <w:name w:val="Heading 2 Char1"/>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1">
    <w:name w:val="Heading 3 Char1"/>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1">
    <w:name w:val="Heading 4 Char1"/>
    <w:basedOn w:val="DefaultParagraphFont"/>
    <w:link w:val="Heading4"/>
    <w:uiPriority w:val="9"/>
    <w:semiHidden/>
    <w:rPr>
      <w:rFonts w:eastAsiaTheme="majorEastAsia" w:cstheme="majorBidi"/>
      <w:i/>
      <w:iCs/>
      <w:color w:val="0F4761" w:themeColor="accent1" w:themeShade="BF"/>
    </w:rPr>
  </w:style>
  <w:style w:type="character" w:customStyle="1" w:styleId="Heading5Char1">
    <w:name w:val="Heading 5 Char1"/>
    <w:basedOn w:val="DefaultParagraphFont"/>
    <w:link w:val="Heading5"/>
    <w:uiPriority w:val="9"/>
    <w:semiHidden/>
    <w:rPr>
      <w:rFonts w:eastAsiaTheme="majorEastAsia" w:cstheme="majorBidi"/>
      <w:color w:val="0F4761" w:themeColor="accent1" w:themeShade="BF"/>
    </w:rPr>
  </w:style>
  <w:style w:type="character" w:customStyle="1" w:styleId="Heading6Char1">
    <w:name w:val="Heading 6 Char1"/>
    <w:basedOn w:val="DefaultParagraphFont"/>
    <w:link w:val="Heading6"/>
    <w:uiPriority w:val="9"/>
    <w:semiHidden/>
    <w:rPr>
      <w:rFonts w:eastAsiaTheme="majorEastAsia" w:cstheme="majorBidi"/>
      <w:i/>
      <w:iCs/>
      <w:color w:val="595959" w:themeColor="text1" w:themeTint="A6"/>
    </w:rPr>
  </w:style>
  <w:style w:type="character" w:customStyle="1" w:styleId="Heading7Char1">
    <w:name w:val="Heading 7 Char1"/>
    <w:basedOn w:val="DefaultParagraphFont"/>
    <w:link w:val="Heading7"/>
    <w:uiPriority w:val="9"/>
    <w:semiHidden/>
    <w:rPr>
      <w:rFonts w:eastAsiaTheme="majorEastAsia" w:cstheme="majorBidi"/>
      <w:color w:val="595959" w:themeColor="text1" w:themeTint="A6"/>
    </w:rPr>
  </w:style>
  <w:style w:type="character" w:customStyle="1" w:styleId="Heading8Char1">
    <w:name w:val="Heading 8 Char1"/>
    <w:basedOn w:val="DefaultParagraphFont"/>
    <w:link w:val="Heading8"/>
    <w:uiPriority w:val="9"/>
    <w:semiHidden/>
    <w:rPr>
      <w:rFonts w:eastAsiaTheme="majorEastAsia" w:cstheme="majorBidi"/>
      <w:i/>
      <w:iCs/>
      <w:color w:val="272727" w:themeColor="text1" w:themeTint="D8"/>
    </w:rPr>
  </w:style>
  <w:style w:type="character" w:customStyle="1" w:styleId="Heading9Char1">
    <w:name w:val="Heading 9 Char1"/>
    <w:basedOn w:val="DefaultParagraphFont"/>
    <w:link w:val="Heading9"/>
    <w:uiPriority w:val="9"/>
    <w:semiHidden/>
    <w:rPr>
      <w:rFonts w:eastAsiaTheme="majorEastAsia" w:cstheme="majorBidi"/>
      <w:color w:val="272727" w:themeColor="text1" w:themeTint="D8"/>
    </w:r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BorderedampLined-Accent">
    <w:name w:val="Bordered &amp;amp;Lined - Accent"/>
    <w:basedOn w:val="TableNormal"/>
    <w:uiPriority w:val="99"/>
    <w:pPr>
      <w:spacing w:after="0" w:line="240" w:lineRule="auto"/>
    </w:pPr>
    <w:rPr>
      <w:color w:val="404040"/>
      <w:sz w:val="20"/>
      <w:szCs w:val="20"/>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basedOn w:val="TableNormal"/>
    <w:uiPriority w:val="99"/>
    <w:pPr>
      <w:spacing w:after="0" w:line="240" w:lineRule="auto"/>
    </w:pPr>
    <w:rPr>
      <w:color w:val="404040"/>
      <w:sz w:val="20"/>
      <w:szCs w:val="20"/>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ampLined-Accent2">
    <w:name w:val="Bordered &amp;amp;Lined - Accent 2"/>
    <w:basedOn w:val="TableNormal"/>
    <w:uiPriority w:val="99"/>
    <w:pPr>
      <w:spacing w:after="0" w:line="240" w:lineRule="auto"/>
    </w:pPr>
    <w:rPr>
      <w:color w:val="404040"/>
      <w:sz w:val="20"/>
      <w:szCs w:val="20"/>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ampLined-Accent3">
    <w:name w:val="Bordered &amp;amp;Lined - Accent 3"/>
    <w:basedOn w:val="TableNormal"/>
    <w:uiPriority w:val="99"/>
    <w:pPr>
      <w:spacing w:after="0" w:line="240" w:lineRule="auto"/>
    </w:pPr>
    <w:rPr>
      <w:color w:val="404040"/>
      <w:sz w:val="20"/>
      <w:szCs w:val="20"/>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ampLined-Accent4">
    <w:name w:val="Bordered &amp;amp;Lined - Accent 4"/>
    <w:basedOn w:val="TableNormal"/>
    <w:uiPriority w:val="99"/>
    <w:pPr>
      <w:spacing w:after="0" w:line="240" w:lineRule="auto"/>
    </w:pPr>
    <w:rPr>
      <w:color w:val="404040"/>
      <w:sz w:val="20"/>
      <w:szCs w:val="20"/>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ampLined-Accent5">
    <w:name w:val="Bordered &amp;amp;Lined - Accent 5"/>
    <w:basedOn w:val="TableNormal"/>
    <w:uiPriority w:val="99"/>
    <w:pPr>
      <w:spacing w:after="0" w:line="240" w:lineRule="auto"/>
    </w:pPr>
    <w:rPr>
      <w:color w:val="404040"/>
      <w:sz w:val="20"/>
      <w:szCs w:val="20"/>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ampLined-Accent6">
    <w:name w:val="Bordered &amp;amp;Lined - Accent 6"/>
    <w:basedOn w:val="TableNormal"/>
    <w:uiPriority w:val="99"/>
    <w:pPr>
      <w:spacing w:after="0" w:line="240" w:lineRule="auto"/>
    </w:pPr>
    <w:rPr>
      <w:color w:val="404040"/>
      <w:sz w:val="20"/>
      <w:szCs w:val="20"/>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character" w:customStyle="1" w:styleId="CaptionChar">
    <w:name w:val="Caption Char"/>
    <w:uiPriority w:val="99"/>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1"/>
    <w:uiPriority w:val="99"/>
    <w:semiHidden/>
    <w:unhideWhenUsed/>
    <w:pPr>
      <w:spacing w:after="40" w:line="240" w:lineRule="auto"/>
    </w:pPr>
    <w:rPr>
      <w:sz w:val="18"/>
    </w:rPr>
  </w:style>
  <w:style w:type="character" w:customStyle="1" w:styleId="FootnoteTextChar1">
    <w:name w:val="Footnote Text Char1"/>
    <w:link w:val="FootnoteText"/>
    <w:uiPriority w:val="99"/>
    <w:rPr>
      <w:sz w:val="18"/>
    </w:r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character" w:customStyle="1" w:styleId="EndnoteTextChar">
    <w:name w:val="Endnote Text Char"/>
    <w:uiPriority w:val="99"/>
    <w:rPr>
      <w:sz w:val="20"/>
    </w:rPr>
  </w:style>
  <w:style w:type="character" w:customStyle="1" w:styleId="FooterChar">
    <w:name w:val="Footer Char"/>
    <w:basedOn w:val="DefaultParagraphFont"/>
    <w:uiPriority w:val="99"/>
  </w:style>
  <w:style w:type="character" w:customStyle="1" w:styleId="FootnoteTextChar">
    <w:name w:val="Footnote Text Char"/>
    <w:uiPriority w:val="99"/>
    <w:rPr>
      <w:sz w:val="18"/>
    </w:rPr>
  </w:style>
  <w:style w:type="paragraph" w:styleId="IntenseQuote">
    <w:name w:val="Intense Quote"/>
    <w:basedOn w:val="Normal"/>
    <w:next w:val="Normal"/>
    <w:link w:val="IntenseQuoteChar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1">
    <w:name w:val="Intense Quote Char1"/>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IntenseEmphasis">
    <w:name w:val="Intense Emphasis"/>
    <w:basedOn w:val="DefaultParagraphFont"/>
    <w:uiPriority w:val="21"/>
    <w:qFormat/>
    <w:rPr>
      <w:i/>
      <w:iCs/>
      <w:color w:val="0F4761" w:themeColor="accent1" w:themeShade="BF"/>
    </w:r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000000"/>
          <w:left w:val="none" w:sz="0" w:space="0" w:color="000000"/>
          <w:bottom w:val="single" w:sz="4" w:space="0" w:color="63BDE6" w:themeColor="accent1" w:themeTint="80"/>
          <w:right w:val="none" w:sz="0"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000000"/>
          <w:left w:val="none" w:sz="0" w:space="0" w:color="000000"/>
          <w:bottom w:val="none" w:sz="0"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000000"/>
          <w:left w:val="single" w:sz="4" w:space="0" w:color="63BDE6" w:themeColor="accent1" w:themeTint="80"/>
          <w:bottom w:val="none" w:sz="0" w:space="0" w:color="000000"/>
          <w:right w:val="none" w:sz="0"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000000"/>
          <w:left w:val="none" w:sz="0" w:space="0" w:color="000000"/>
          <w:bottom w:val="single" w:sz="4" w:space="0" w:color="F2AA85" w:themeColor="accent2" w:themeTint="97"/>
          <w:right w:val="none" w:sz="0"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000000"/>
          <w:left w:val="none" w:sz="0" w:space="0" w:color="000000"/>
          <w:bottom w:val="none" w:sz="0"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000000"/>
          <w:left w:val="single" w:sz="4" w:space="0" w:color="F2AA85" w:themeColor="accent2" w:themeTint="97"/>
          <w:bottom w:val="none" w:sz="0" w:space="0" w:color="000000"/>
          <w:right w:val="none" w:sz="0"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000000"/>
          <w:left w:val="none" w:sz="0" w:space="0" w:color="000000"/>
          <w:bottom w:val="single" w:sz="4" w:space="0" w:color="196C24" w:themeColor="accent3" w:themeTint="FE"/>
          <w:right w:val="none" w:sz="0"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000000"/>
          <w:left w:val="none" w:sz="0" w:space="0" w:color="000000"/>
          <w:bottom w:val="none" w:sz="0"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000000"/>
          <w:left w:val="single" w:sz="4" w:space="0" w:color="196C24" w:themeColor="accent3" w:themeTint="FE"/>
          <w:bottom w:val="none" w:sz="0" w:space="0" w:color="000000"/>
          <w:right w:val="none" w:sz="0"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000000"/>
          <w:left w:val="none" w:sz="0" w:space="0" w:color="000000"/>
          <w:bottom w:val="single" w:sz="4" w:space="0" w:color="5FCAF3" w:themeColor="accent4" w:themeTint="9A"/>
          <w:right w:val="none" w:sz="0"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000000"/>
          <w:left w:val="none" w:sz="0" w:space="0" w:color="000000"/>
          <w:bottom w:val="none" w:sz="0"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000000"/>
          <w:left w:val="single" w:sz="4" w:space="0" w:color="5FCAF3" w:themeColor="accent4" w:themeTint="9A"/>
          <w:bottom w:val="none" w:sz="0" w:space="0" w:color="000000"/>
          <w:right w:val="none" w:sz="0"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000000"/>
          <w:left w:val="none" w:sz="0" w:space="0" w:color="000000"/>
          <w:bottom w:val="single" w:sz="4" w:space="0" w:color="DA76CE" w:themeColor="accent5" w:themeTint="90"/>
          <w:right w:val="none" w:sz="0"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000000"/>
          <w:left w:val="none" w:sz="0" w:space="0" w:color="000000"/>
          <w:bottom w:val="none" w:sz="0"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000000"/>
          <w:left w:val="single" w:sz="4" w:space="0" w:color="DA76CE" w:themeColor="accent5" w:themeTint="90"/>
          <w:bottom w:val="none" w:sz="0" w:space="0" w:color="000000"/>
          <w:right w:val="none" w:sz="0"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000000"/>
          <w:left w:val="none" w:sz="0" w:space="0" w:color="000000"/>
          <w:bottom w:val="single" w:sz="4" w:space="0" w:color="94DA7B" w:themeColor="accent6" w:themeTint="90"/>
          <w:right w:val="none" w:sz="0"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000000"/>
          <w:left w:val="none" w:sz="0" w:space="0" w:color="000000"/>
          <w:bottom w:val="none" w:sz="0"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000000"/>
          <w:left w:val="single" w:sz="4" w:space="0" w:color="94DA7B" w:themeColor="accent6" w:themeTint="90"/>
          <w:bottom w:val="none" w:sz="0" w:space="0" w:color="000000"/>
          <w:right w:val="none" w:sz="0"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character" w:customStyle="1" w:styleId="HeaderChar">
    <w:name w:val="Header Char"/>
    <w:basedOn w:val="DefaultParagraphFont"/>
    <w:uiPriority w:val="99"/>
  </w:style>
  <w:style w:type="character" w:customStyle="1" w:styleId="Heading1Char">
    <w:name w:val="Heading 1 Char"/>
    <w:basedOn w:val="DefaultParagraphFont"/>
    <w:uiPriority w:val="9"/>
    <w:rPr>
      <w:rFonts w:ascii="Arial" w:eastAsia="Arial" w:hAnsi="Arial" w:cs="Arial"/>
      <w:sz w:val="40"/>
      <w:szCs w:val="40"/>
    </w:rPr>
  </w:style>
  <w:style w:type="character" w:customStyle="1" w:styleId="Heading2Char">
    <w:name w:val="Heading 2 Char"/>
    <w:basedOn w:val="DefaultParagraphFont"/>
    <w:uiPriority w:val="9"/>
    <w:rPr>
      <w:rFonts w:ascii="Arial" w:eastAsia="Arial" w:hAnsi="Arial" w:cs="Arial"/>
      <w:sz w:val="34"/>
    </w:rPr>
  </w:style>
  <w:style w:type="character" w:customStyle="1" w:styleId="Heading3Char">
    <w:name w:val="Heading 3 Char"/>
    <w:basedOn w:val="DefaultParagraphFont"/>
    <w:uiPriority w:val="9"/>
    <w:rPr>
      <w:rFonts w:ascii="Arial" w:eastAsia="Arial" w:hAnsi="Arial" w:cs="Arial"/>
      <w:sz w:val="30"/>
      <w:szCs w:val="30"/>
    </w:rPr>
  </w:style>
  <w:style w:type="character" w:customStyle="1" w:styleId="Heading4Char">
    <w:name w:val="Heading 4 Char"/>
    <w:basedOn w:val="DefaultParagraphFont"/>
    <w:uiPriority w:val="9"/>
    <w:rPr>
      <w:rFonts w:ascii="Arial" w:eastAsia="Arial" w:hAnsi="Arial" w:cs="Arial"/>
      <w:b/>
      <w:bCs/>
      <w:sz w:val="26"/>
      <w:szCs w:val="26"/>
    </w:rPr>
  </w:style>
  <w:style w:type="character" w:customStyle="1" w:styleId="Heading5Char">
    <w:name w:val="Heading 5 Char"/>
    <w:basedOn w:val="DefaultParagraphFont"/>
    <w:uiPriority w:val="9"/>
    <w:rPr>
      <w:rFonts w:ascii="Arial" w:eastAsia="Arial" w:hAnsi="Arial" w:cs="Arial"/>
      <w:b/>
      <w:bCs/>
      <w:sz w:val="24"/>
      <w:szCs w:val="24"/>
    </w:rPr>
  </w:style>
  <w:style w:type="character" w:customStyle="1" w:styleId="Heading6Char">
    <w:name w:val="Heading 6 Char"/>
    <w:basedOn w:val="DefaultParagraphFont"/>
    <w:uiPriority w:val="9"/>
    <w:rPr>
      <w:rFonts w:ascii="Arial" w:eastAsia="Arial" w:hAnsi="Arial" w:cs="Arial"/>
      <w:b/>
      <w:bCs/>
      <w:sz w:val="22"/>
      <w:szCs w:val="22"/>
    </w:rPr>
  </w:style>
  <w:style w:type="character" w:customStyle="1" w:styleId="Heading7Char">
    <w:name w:val="Heading 7 Char"/>
    <w:basedOn w:val="DefaultParagraphFont"/>
    <w:uiPriority w:val="9"/>
    <w:rPr>
      <w:rFonts w:ascii="Arial" w:eastAsia="Arial" w:hAnsi="Arial" w:cs="Arial"/>
      <w:b/>
      <w:bCs/>
      <w:i/>
      <w:iCs/>
      <w:sz w:val="22"/>
      <w:szCs w:val="22"/>
    </w:rPr>
  </w:style>
  <w:style w:type="character" w:customStyle="1" w:styleId="Heading8Char">
    <w:name w:val="Heading 8 Char"/>
    <w:basedOn w:val="DefaultParagraphFont"/>
    <w:uiPriority w:val="9"/>
    <w:rPr>
      <w:rFonts w:ascii="Arial" w:eastAsia="Arial" w:hAnsi="Arial" w:cs="Arial"/>
      <w:i/>
      <w:iCs/>
      <w:sz w:val="22"/>
      <w:szCs w:val="22"/>
    </w:rPr>
  </w:style>
  <w:style w:type="character" w:customStyle="1" w:styleId="Heading9Char">
    <w:name w:val="Heading 9 Char"/>
    <w:basedOn w:val="DefaultParagraphFont"/>
    <w:uiPriority w:val="9"/>
    <w:rPr>
      <w:rFonts w:ascii="Arial" w:eastAsia="Arial" w:hAnsi="Arial" w:cs="Arial"/>
      <w:i/>
      <w:iCs/>
      <w:sz w:val="21"/>
      <w:szCs w:val="21"/>
    </w:rPr>
  </w:style>
  <w:style w:type="character" w:customStyle="1" w:styleId="IntenseQuoteChar">
    <w:name w:val="Intense Quote Char"/>
    <w:uiPriority w:val="30"/>
    <w:rPr>
      <w:i/>
    </w:r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paragraph" w:styleId="Title">
    <w:name w:val="Title"/>
    <w:basedOn w:val="Normal"/>
    <w:next w:val="Normal"/>
    <w:link w:val="TitleChar1"/>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leChar1">
    <w:name w:val="Title Char1"/>
    <w:basedOn w:val="DefaultParagraphFont"/>
    <w:link w:val="Title"/>
    <w:uiPriority w:val="10"/>
    <w:rPr>
      <w:rFonts w:asciiTheme="majorHAnsi" w:eastAsiaTheme="majorEastAsia" w:hAnsiTheme="majorHAnsi" w:cstheme="majorBidi"/>
      <w:spacing w:val="-10"/>
      <w:sz w:val="56"/>
      <w:szCs w:val="56"/>
    </w:rPr>
  </w:style>
  <w:style w:type="character" w:styleId="Hyperlink">
    <w:name w:val="Hyperlink"/>
    <w:uiPriority w:val="99"/>
    <w:unhideWhenUsed/>
    <w:rPr>
      <w:color w:val="467886" w:themeColor="hyperlink"/>
      <w:u w:val="single"/>
    </w:rPr>
  </w:style>
  <w:style w:type="table" w:customStyle="1" w:styleId="Lined-Accent">
    <w:name w:val="Lined - Accent"/>
    <w:basedOn w:val="Table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000000"/>
          <w:left w:val="none" w:sz="0" w:space="0" w:color="000000"/>
          <w:bottom w:val="single" w:sz="4" w:space="0" w:color="156082" w:themeColor="accent1"/>
          <w:right w:val="none" w:sz="0"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000000"/>
          <w:left w:val="none" w:sz="0" w:space="0" w:color="000000"/>
          <w:bottom w:val="none" w:sz="0"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000000"/>
          <w:left w:val="single" w:sz="4" w:space="0" w:color="156082" w:themeColor="accent1"/>
          <w:bottom w:val="none" w:sz="0" w:space="0" w:color="000000"/>
          <w:right w:val="none" w:sz="0"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000000"/>
          <w:left w:val="none" w:sz="0" w:space="0" w:color="000000"/>
          <w:bottom w:val="single" w:sz="4" w:space="0" w:color="F2AA85" w:themeColor="accent2" w:themeTint="97"/>
          <w:right w:val="none" w:sz="0"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000000"/>
          <w:left w:val="none" w:sz="0" w:space="0" w:color="000000"/>
          <w:bottom w:val="none" w:sz="0"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000000"/>
          <w:left w:val="single" w:sz="4" w:space="0" w:color="F2AA85" w:themeColor="accent2" w:themeTint="97"/>
          <w:bottom w:val="none" w:sz="0" w:space="0" w:color="000000"/>
          <w:right w:val="none" w:sz="0"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000000"/>
          <w:left w:val="none" w:sz="0" w:space="0" w:color="000000"/>
          <w:bottom w:val="single" w:sz="4" w:space="0" w:color="48D45B" w:themeColor="accent3" w:themeTint="98"/>
          <w:right w:val="none" w:sz="0"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000000"/>
          <w:left w:val="none" w:sz="0" w:space="0" w:color="000000"/>
          <w:bottom w:val="none" w:sz="0"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000000"/>
          <w:left w:val="single" w:sz="4" w:space="0" w:color="48D45B" w:themeColor="accent3" w:themeTint="98"/>
          <w:bottom w:val="none" w:sz="0" w:space="0" w:color="000000"/>
          <w:right w:val="none" w:sz="0"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000000"/>
          <w:left w:val="none" w:sz="0" w:space="0" w:color="000000"/>
          <w:bottom w:val="single" w:sz="4" w:space="0" w:color="5FCAF3" w:themeColor="accent4" w:themeTint="9A"/>
          <w:right w:val="none" w:sz="0"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000000"/>
          <w:left w:val="none" w:sz="0" w:space="0" w:color="000000"/>
          <w:bottom w:val="none" w:sz="0"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000000"/>
          <w:left w:val="single" w:sz="4" w:space="0" w:color="5FCAF3" w:themeColor="accent4" w:themeTint="9A"/>
          <w:bottom w:val="none" w:sz="0" w:space="0" w:color="000000"/>
          <w:right w:val="none" w:sz="0"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000000"/>
          <w:left w:val="none" w:sz="0" w:space="0" w:color="000000"/>
          <w:bottom w:val="single" w:sz="4" w:space="0" w:color="D76CCB" w:themeColor="accent5" w:themeTint="9A"/>
          <w:right w:val="none" w:sz="0"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000000"/>
          <w:left w:val="none" w:sz="0" w:space="0" w:color="000000"/>
          <w:bottom w:val="none" w:sz="0"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000000"/>
          <w:left w:val="single" w:sz="4" w:space="0" w:color="D76CCB" w:themeColor="accent5" w:themeTint="9A"/>
          <w:bottom w:val="none" w:sz="0" w:space="0" w:color="000000"/>
          <w:right w:val="none" w:sz="0"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000000"/>
          <w:left w:val="none" w:sz="0" w:space="0" w:color="000000"/>
          <w:bottom w:val="single" w:sz="4" w:space="0" w:color="8ED873" w:themeColor="accent6" w:themeTint="98"/>
          <w:right w:val="none" w:sz="0"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000000"/>
          <w:left w:val="none" w:sz="0" w:space="0" w:color="000000"/>
          <w:bottom w:val="none" w:sz="0"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000000"/>
          <w:left w:val="single" w:sz="4" w:space="0" w:color="8ED873" w:themeColor="accent6" w:themeTint="98"/>
          <w:bottom w:val="none" w:sz="0" w:space="0" w:color="000000"/>
          <w:right w:val="none" w:sz="0"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paragraph" w:styleId="ListParagraph">
    <w:name w:val="List Paragraph"/>
    <w:basedOn w:val="Normal"/>
    <w:uiPriority w:val="34"/>
    <w:qFormat/>
    <w:pPr>
      <w:ind w:left="720"/>
      <w:contextualSpacing/>
    </w:p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NormalWeb">
    <w:name w:val="Normal (Web)"/>
    <w:basedOn w:val="Normal"/>
    <w:uiPriority w:val="99"/>
    <w:semiHidden/>
    <w:unhideWhenUsed/>
    <w:rsid w:val="00E445C0"/>
    <w:rPr>
      <w:rFonts w:ascii="Times New Roman" w:hAnsi="Times New Roman" w:cs="Times New Roman"/>
    </w:rPr>
  </w:style>
  <w:style w:type="character" w:customStyle="1" w:styleId="QuoteChar">
    <w:name w:val="Quote Char"/>
    <w:uiPriority w:val="29"/>
    <w:rPr>
      <w:i/>
    </w:rPr>
  </w:style>
  <w:style w:type="paragraph" w:styleId="Caption">
    <w:name w:val="caption"/>
    <w:basedOn w:val="Normal"/>
    <w:next w:val="Normal"/>
    <w:uiPriority w:val="35"/>
    <w:semiHidden/>
    <w:unhideWhenUsed/>
    <w:qFormat/>
    <w:pPr>
      <w:spacing w:line="276" w:lineRule="auto"/>
    </w:pPr>
    <w:rPr>
      <w:b/>
      <w:bCs/>
      <w:color w:val="156082" w:themeColor="accent1"/>
      <w:sz w:val="18"/>
      <w:szCs w:val="18"/>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1"/>
    <w:uiPriority w:val="99"/>
    <w:semiHidden/>
    <w:unhideWhenUsed/>
    <w:pPr>
      <w:spacing w:after="0" w:line="240" w:lineRule="auto"/>
    </w:pPr>
    <w:rPr>
      <w:sz w:val="20"/>
    </w:rPr>
  </w:style>
  <w:style w:type="character" w:customStyle="1" w:styleId="EndnoteTextChar1">
    <w:name w:val="Endnote Text Char1"/>
    <w:link w:val="EndnoteText"/>
    <w:uiPriority w:val="99"/>
    <w:rPr>
      <w:sz w:val="20"/>
    </w:rPr>
  </w:style>
  <w:style w:type="character" w:customStyle="1" w:styleId="SubtitleChar">
    <w:name w:val="Subtitle Char"/>
    <w:basedOn w:val="DefaultParagraphFont"/>
    <w:uiPriority w:val="11"/>
    <w:rPr>
      <w:sz w:val="24"/>
      <w:szCs w:val="24"/>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basedOn w:val="DefaultParagraphFont"/>
    <w:uiPriority w:val="10"/>
    <w:rPr>
      <w:sz w:val="48"/>
      <w:szCs w:val="48"/>
    </w:rPr>
  </w:style>
  <w:style w:type="paragraph" w:styleId="TableofFigures">
    <w:name w:val="table of figures"/>
    <w:basedOn w:val="Normal"/>
    <w:next w:val="Normal"/>
    <w:uiPriority w:val="99"/>
    <w:unhideWhenUsed/>
    <w:pPr>
      <w:spacing w:after="0"/>
    </w:pPr>
  </w:style>
  <w:style w:type="paragraph" w:customStyle="1" w:styleId="p1">
    <w:name w:val="p1"/>
    <w:basedOn w:val="Normal"/>
    <w:pPr>
      <w:spacing w:after="0" w:line="240" w:lineRule="auto"/>
    </w:pPr>
    <w:rPr>
      <w:rFonts w:ascii="Carlito" w:eastAsia="Times New Roman" w:hAnsi="Carlito" w:cs="Times New Roman"/>
      <w:color w:val="000000"/>
      <w:sz w:val="17"/>
      <w:szCs w:val="17"/>
      <w14:ligatures w14:val="none"/>
    </w:rPr>
  </w:style>
  <w:style w:type="paragraph" w:customStyle="1" w:styleId="p2">
    <w:name w:val="p2"/>
    <w:basedOn w:val="Normal"/>
    <w:pPr>
      <w:spacing w:before="100" w:beforeAutospacing="1" w:after="100" w:afterAutospacing="1" w:line="240" w:lineRule="auto"/>
    </w:pPr>
    <w:rPr>
      <w:rFonts w:ascii="Times New Roman" w:eastAsia="Times New Roman" w:hAnsi="Times New Roman" w:cs="Times New Roman"/>
      <w14:ligatures w14:val="none"/>
    </w:rPr>
  </w:style>
  <w:style w:type="character" w:customStyle="1" w:styleId="s1">
    <w:name w:val="s1"/>
    <w:basedOn w:val="DefaultParagraphFont"/>
    <w:rPr>
      <w:rFonts w:ascii="Helvetica" w:hAnsi="Helvetica" w:hint="default"/>
      <w:sz w:val="18"/>
      <w:szCs w:val="18"/>
    </w:rPr>
  </w:style>
  <w:style w:type="paragraph" w:styleId="Header">
    <w:name w:val="header"/>
    <w:basedOn w:val="Normal"/>
    <w:link w:val="HeaderChar1"/>
    <w:uiPriority w:val="99"/>
    <w:unhideWhenUsed/>
    <w:pPr>
      <w:tabs>
        <w:tab w:val="center" w:pos="7143"/>
        <w:tab w:val="right" w:pos="14287"/>
      </w:tabs>
      <w:spacing w:after="0" w:line="240" w:lineRule="auto"/>
    </w:pPr>
  </w:style>
  <w:style w:type="character" w:customStyle="1" w:styleId="HeaderChar1">
    <w:name w:val="Header Char1"/>
    <w:basedOn w:val="DefaultParagraphFont"/>
    <w:link w:val="Header"/>
    <w:uiPriority w:val="99"/>
  </w:style>
  <w:style w:type="character" w:styleId="FollowedHyperlink">
    <w:name w:val="FollowedHyperlink"/>
    <w:basedOn w:val="DefaultParagraphFont"/>
    <w:uiPriority w:val="99"/>
    <w:semiHidden/>
    <w:unhideWhenUsed/>
    <w:rPr>
      <w:color w:val="96607D" w:themeColor="followed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1286">
      <w:bodyDiv w:val="1"/>
      <w:marLeft w:val="0"/>
      <w:marRight w:val="0"/>
      <w:marTop w:val="0"/>
      <w:marBottom w:val="0"/>
      <w:divBdr>
        <w:top w:val="none" w:sz="0" w:space="0" w:color="auto"/>
        <w:left w:val="none" w:sz="0" w:space="0" w:color="auto"/>
        <w:bottom w:val="none" w:sz="0" w:space="0" w:color="auto"/>
        <w:right w:val="none" w:sz="0" w:space="0" w:color="auto"/>
      </w:divBdr>
    </w:div>
    <w:div w:id="29771986">
      <w:bodyDiv w:val="1"/>
      <w:marLeft w:val="0"/>
      <w:marRight w:val="0"/>
      <w:marTop w:val="0"/>
      <w:marBottom w:val="0"/>
      <w:divBdr>
        <w:top w:val="none" w:sz="0" w:space="0" w:color="auto"/>
        <w:left w:val="none" w:sz="0" w:space="0" w:color="auto"/>
        <w:bottom w:val="none" w:sz="0" w:space="0" w:color="auto"/>
        <w:right w:val="none" w:sz="0" w:space="0" w:color="auto"/>
      </w:divBdr>
    </w:div>
    <w:div w:id="48959639">
      <w:bodyDiv w:val="1"/>
      <w:marLeft w:val="0"/>
      <w:marRight w:val="0"/>
      <w:marTop w:val="0"/>
      <w:marBottom w:val="0"/>
      <w:divBdr>
        <w:top w:val="none" w:sz="0" w:space="0" w:color="auto"/>
        <w:left w:val="none" w:sz="0" w:space="0" w:color="auto"/>
        <w:bottom w:val="none" w:sz="0" w:space="0" w:color="auto"/>
        <w:right w:val="none" w:sz="0" w:space="0" w:color="auto"/>
      </w:divBdr>
    </w:div>
    <w:div w:id="113401767">
      <w:bodyDiv w:val="1"/>
      <w:marLeft w:val="0"/>
      <w:marRight w:val="0"/>
      <w:marTop w:val="0"/>
      <w:marBottom w:val="0"/>
      <w:divBdr>
        <w:top w:val="none" w:sz="0" w:space="0" w:color="auto"/>
        <w:left w:val="none" w:sz="0" w:space="0" w:color="auto"/>
        <w:bottom w:val="none" w:sz="0" w:space="0" w:color="auto"/>
        <w:right w:val="none" w:sz="0" w:space="0" w:color="auto"/>
      </w:divBdr>
      <w:divsChild>
        <w:div w:id="226889522">
          <w:marLeft w:val="0"/>
          <w:marRight w:val="0"/>
          <w:marTop w:val="0"/>
          <w:marBottom w:val="0"/>
          <w:divBdr>
            <w:top w:val="none" w:sz="0" w:space="0" w:color="auto"/>
            <w:left w:val="none" w:sz="0" w:space="0" w:color="auto"/>
            <w:bottom w:val="none" w:sz="0" w:space="0" w:color="auto"/>
            <w:right w:val="none" w:sz="0" w:space="0" w:color="auto"/>
          </w:divBdr>
          <w:divsChild>
            <w:div w:id="128662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41071">
      <w:bodyDiv w:val="1"/>
      <w:marLeft w:val="0"/>
      <w:marRight w:val="0"/>
      <w:marTop w:val="0"/>
      <w:marBottom w:val="0"/>
      <w:divBdr>
        <w:top w:val="none" w:sz="0" w:space="0" w:color="auto"/>
        <w:left w:val="none" w:sz="0" w:space="0" w:color="auto"/>
        <w:bottom w:val="none" w:sz="0" w:space="0" w:color="auto"/>
        <w:right w:val="none" w:sz="0" w:space="0" w:color="auto"/>
      </w:divBdr>
      <w:divsChild>
        <w:div w:id="833373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8090550">
      <w:bodyDiv w:val="1"/>
      <w:marLeft w:val="0"/>
      <w:marRight w:val="0"/>
      <w:marTop w:val="0"/>
      <w:marBottom w:val="0"/>
      <w:divBdr>
        <w:top w:val="none" w:sz="0" w:space="0" w:color="auto"/>
        <w:left w:val="none" w:sz="0" w:space="0" w:color="auto"/>
        <w:bottom w:val="none" w:sz="0" w:space="0" w:color="auto"/>
        <w:right w:val="none" w:sz="0" w:space="0" w:color="auto"/>
      </w:divBdr>
    </w:div>
    <w:div w:id="382095664">
      <w:bodyDiv w:val="1"/>
      <w:marLeft w:val="0"/>
      <w:marRight w:val="0"/>
      <w:marTop w:val="0"/>
      <w:marBottom w:val="0"/>
      <w:divBdr>
        <w:top w:val="none" w:sz="0" w:space="0" w:color="auto"/>
        <w:left w:val="none" w:sz="0" w:space="0" w:color="auto"/>
        <w:bottom w:val="none" w:sz="0" w:space="0" w:color="auto"/>
        <w:right w:val="none" w:sz="0" w:space="0" w:color="auto"/>
      </w:divBdr>
      <w:divsChild>
        <w:div w:id="125051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2681132">
      <w:bodyDiv w:val="1"/>
      <w:marLeft w:val="0"/>
      <w:marRight w:val="0"/>
      <w:marTop w:val="0"/>
      <w:marBottom w:val="0"/>
      <w:divBdr>
        <w:top w:val="none" w:sz="0" w:space="0" w:color="auto"/>
        <w:left w:val="none" w:sz="0" w:space="0" w:color="auto"/>
        <w:bottom w:val="none" w:sz="0" w:space="0" w:color="auto"/>
        <w:right w:val="none" w:sz="0" w:space="0" w:color="auto"/>
      </w:divBdr>
    </w:div>
    <w:div w:id="406997833">
      <w:bodyDiv w:val="1"/>
      <w:marLeft w:val="0"/>
      <w:marRight w:val="0"/>
      <w:marTop w:val="0"/>
      <w:marBottom w:val="0"/>
      <w:divBdr>
        <w:top w:val="none" w:sz="0" w:space="0" w:color="auto"/>
        <w:left w:val="none" w:sz="0" w:space="0" w:color="auto"/>
        <w:bottom w:val="none" w:sz="0" w:space="0" w:color="auto"/>
        <w:right w:val="none" w:sz="0" w:space="0" w:color="auto"/>
      </w:divBdr>
      <w:divsChild>
        <w:div w:id="740443655">
          <w:marLeft w:val="0"/>
          <w:marRight w:val="0"/>
          <w:marTop w:val="0"/>
          <w:marBottom w:val="0"/>
          <w:divBdr>
            <w:top w:val="none" w:sz="0" w:space="0" w:color="auto"/>
            <w:left w:val="none" w:sz="0" w:space="0" w:color="auto"/>
            <w:bottom w:val="none" w:sz="0" w:space="0" w:color="auto"/>
            <w:right w:val="none" w:sz="0" w:space="0" w:color="auto"/>
          </w:divBdr>
          <w:divsChild>
            <w:div w:id="4286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6758">
      <w:bodyDiv w:val="1"/>
      <w:marLeft w:val="0"/>
      <w:marRight w:val="0"/>
      <w:marTop w:val="0"/>
      <w:marBottom w:val="0"/>
      <w:divBdr>
        <w:top w:val="none" w:sz="0" w:space="0" w:color="auto"/>
        <w:left w:val="none" w:sz="0" w:space="0" w:color="auto"/>
        <w:bottom w:val="none" w:sz="0" w:space="0" w:color="auto"/>
        <w:right w:val="none" w:sz="0" w:space="0" w:color="auto"/>
      </w:divBdr>
    </w:div>
    <w:div w:id="563026057">
      <w:bodyDiv w:val="1"/>
      <w:marLeft w:val="0"/>
      <w:marRight w:val="0"/>
      <w:marTop w:val="0"/>
      <w:marBottom w:val="0"/>
      <w:divBdr>
        <w:top w:val="none" w:sz="0" w:space="0" w:color="auto"/>
        <w:left w:val="none" w:sz="0" w:space="0" w:color="auto"/>
        <w:bottom w:val="none" w:sz="0" w:space="0" w:color="auto"/>
        <w:right w:val="none" w:sz="0" w:space="0" w:color="auto"/>
      </w:divBdr>
      <w:divsChild>
        <w:div w:id="1179463514">
          <w:marLeft w:val="0"/>
          <w:marRight w:val="0"/>
          <w:marTop w:val="0"/>
          <w:marBottom w:val="0"/>
          <w:divBdr>
            <w:top w:val="none" w:sz="0" w:space="0" w:color="auto"/>
            <w:left w:val="none" w:sz="0" w:space="0" w:color="auto"/>
            <w:bottom w:val="none" w:sz="0" w:space="0" w:color="auto"/>
            <w:right w:val="none" w:sz="0" w:space="0" w:color="auto"/>
          </w:divBdr>
          <w:divsChild>
            <w:div w:id="2048800383">
              <w:marLeft w:val="0"/>
              <w:marRight w:val="0"/>
              <w:marTop w:val="0"/>
              <w:marBottom w:val="0"/>
              <w:divBdr>
                <w:top w:val="none" w:sz="0" w:space="0" w:color="auto"/>
                <w:left w:val="none" w:sz="0" w:space="0" w:color="auto"/>
                <w:bottom w:val="none" w:sz="0" w:space="0" w:color="auto"/>
                <w:right w:val="none" w:sz="0" w:space="0" w:color="auto"/>
              </w:divBdr>
              <w:divsChild>
                <w:div w:id="24202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45503">
      <w:bodyDiv w:val="1"/>
      <w:marLeft w:val="0"/>
      <w:marRight w:val="0"/>
      <w:marTop w:val="0"/>
      <w:marBottom w:val="0"/>
      <w:divBdr>
        <w:top w:val="none" w:sz="0" w:space="0" w:color="auto"/>
        <w:left w:val="none" w:sz="0" w:space="0" w:color="auto"/>
        <w:bottom w:val="none" w:sz="0" w:space="0" w:color="auto"/>
        <w:right w:val="none" w:sz="0" w:space="0" w:color="auto"/>
      </w:divBdr>
    </w:div>
    <w:div w:id="665085922">
      <w:bodyDiv w:val="1"/>
      <w:marLeft w:val="0"/>
      <w:marRight w:val="0"/>
      <w:marTop w:val="0"/>
      <w:marBottom w:val="0"/>
      <w:divBdr>
        <w:top w:val="none" w:sz="0" w:space="0" w:color="auto"/>
        <w:left w:val="none" w:sz="0" w:space="0" w:color="auto"/>
        <w:bottom w:val="none" w:sz="0" w:space="0" w:color="auto"/>
        <w:right w:val="none" w:sz="0" w:space="0" w:color="auto"/>
      </w:divBdr>
    </w:div>
    <w:div w:id="673454215">
      <w:bodyDiv w:val="1"/>
      <w:marLeft w:val="0"/>
      <w:marRight w:val="0"/>
      <w:marTop w:val="0"/>
      <w:marBottom w:val="0"/>
      <w:divBdr>
        <w:top w:val="none" w:sz="0" w:space="0" w:color="auto"/>
        <w:left w:val="none" w:sz="0" w:space="0" w:color="auto"/>
        <w:bottom w:val="none" w:sz="0" w:space="0" w:color="auto"/>
        <w:right w:val="none" w:sz="0" w:space="0" w:color="auto"/>
      </w:divBdr>
      <w:divsChild>
        <w:div w:id="2103988721">
          <w:marLeft w:val="0"/>
          <w:marRight w:val="0"/>
          <w:marTop w:val="0"/>
          <w:marBottom w:val="0"/>
          <w:divBdr>
            <w:top w:val="none" w:sz="0" w:space="0" w:color="auto"/>
            <w:left w:val="none" w:sz="0" w:space="0" w:color="auto"/>
            <w:bottom w:val="none" w:sz="0" w:space="0" w:color="auto"/>
            <w:right w:val="none" w:sz="0" w:space="0" w:color="auto"/>
          </w:divBdr>
          <w:divsChild>
            <w:div w:id="244270388">
              <w:marLeft w:val="0"/>
              <w:marRight w:val="0"/>
              <w:marTop w:val="0"/>
              <w:marBottom w:val="0"/>
              <w:divBdr>
                <w:top w:val="none" w:sz="0" w:space="0" w:color="auto"/>
                <w:left w:val="none" w:sz="0" w:space="0" w:color="auto"/>
                <w:bottom w:val="none" w:sz="0" w:space="0" w:color="auto"/>
                <w:right w:val="none" w:sz="0" w:space="0" w:color="auto"/>
              </w:divBdr>
              <w:divsChild>
                <w:div w:id="138503536">
                  <w:marLeft w:val="0"/>
                  <w:marRight w:val="0"/>
                  <w:marTop w:val="0"/>
                  <w:marBottom w:val="0"/>
                  <w:divBdr>
                    <w:top w:val="none" w:sz="0" w:space="0" w:color="auto"/>
                    <w:left w:val="none" w:sz="0" w:space="0" w:color="auto"/>
                    <w:bottom w:val="none" w:sz="0" w:space="0" w:color="auto"/>
                    <w:right w:val="none" w:sz="0" w:space="0" w:color="auto"/>
                  </w:divBdr>
                  <w:divsChild>
                    <w:div w:id="90256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634276">
      <w:bodyDiv w:val="1"/>
      <w:marLeft w:val="0"/>
      <w:marRight w:val="0"/>
      <w:marTop w:val="0"/>
      <w:marBottom w:val="0"/>
      <w:divBdr>
        <w:top w:val="none" w:sz="0" w:space="0" w:color="auto"/>
        <w:left w:val="none" w:sz="0" w:space="0" w:color="auto"/>
        <w:bottom w:val="none" w:sz="0" w:space="0" w:color="auto"/>
        <w:right w:val="none" w:sz="0" w:space="0" w:color="auto"/>
      </w:divBdr>
    </w:div>
    <w:div w:id="766581185">
      <w:bodyDiv w:val="1"/>
      <w:marLeft w:val="0"/>
      <w:marRight w:val="0"/>
      <w:marTop w:val="0"/>
      <w:marBottom w:val="0"/>
      <w:divBdr>
        <w:top w:val="none" w:sz="0" w:space="0" w:color="auto"/>
        <w:left w:val="none" w:sz="0" w:space="0" w:color="auto"/>
        <w:bottom w:val="none" w:sz="0" w:space="0" w:color="auto"/>
        <w:right w:val="none" w:sz="0" w:space="0" w:color="auto"/>
      </w:divBdr>
      <w:divsChild>
        <w:div w:id="83383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8467647">
      <w:bodyDiv w:val="1"/>
      <w:marLeft w:val="0"/>
      <w:marRight w:val="0"/>
      <w:marTop w:val="0"/>
      <w:marBottom w:val="0"/>
      <w:divBdr>
        <w:top w:val="none" w:sz="0" w:space="0" w:color="auto"/>
        <w:left w:val="none" w:sz="0" w:space="0" w:color="auto"/>
        <w:bottom w:val="none" w:sz="0" w:space="0" w:color="auto"/>
        <w:right w:val="none" w:sz="0" w:space="0" w:color="auto"/>
      </w:divBdr>
    </w:div>
    <w:div w:id="1104494193">
      <w:bodyDiv w:val="1"/>
      <w:marLeft w:val="0"/>
      <w:marRight w:val="0"/>
      <w:marTop w:val="0"/>
      <w:marBottom w:val="0"/>
      <w:divBdr>
        <w:top w:val="none" w:sz="0" w:space="0" w:color="auto"/>
        <w:left w:val="none" w:sz="0" w:space="0" w:color="auto"/>
        <w:bottom w:val="none" w:sz="0" w:space="0" w:color="auto"/>
        <w:right w:val="none" w:sz="0" w:space="0" w:color="auto"/>
      </w:divBdr>
    </w:div>
    <w:div w:id="1180004045">
      <w:bodyDiv w:val="1"/>
      <w:marLeft w:val="0"/>
      <w:marRight w:val="0"/>
      <w:marTop w:val="0"/>
      <w:marBottom w:val="0"/>
      <w:divBdr>
        <w:top w:val="none" w:sz="0" w:space="0" w:color="auto"/>
        <w:left w:val="none" w:sz="0" w:space="0" w:color="auto"/>
        <w:bottom w:val="none" w:sz="0" w:space="0" w:color="auto"/>
        <w:right w:val="none" w:sz="0" w:space="0" w:color="auto"/>
      </w:divBdr>
      <w:divsChild>
        <w:div w:id="1708946142">
          <w:marLeft w:val="0"/>
          <w:marRight w:val="0"/>
          <w:marTop w:val="0"/>
          <w:marBottom w:val="0"/>
          <w:divBdr>
            <w:top w:val="none" w:sz="0" w:space="0" w:color="auto"/>
            <w:left w:val="none" w:sz="0" w:space="0" w:color="auto"/>
            <w:bottom w:val="none" w:sz="0" w:space="0" w:color="auto"/>
            <w:right w:val="none" w:sz="0" w:space="0" w:color="auto"/>
          </w:divBdr>
          <w:divsChild>
            <w:div w:id="1813138580">
              <w:marLeft w:val="0"/>
              <w:marRight w:val="0"/>
              <w:marTop w:val="0"/>
              <w:marBottom w:val="0"/>
              <w:divBdr>
                <w:top w:val="none" w:sz="0" w:space="0" w:color="auto"/>
                <w:left w:val="none" w:sz="0" w:space="0" w:color="auto"/>
                <w:bottom w:val="none" w:sz="0" w:space="0" w:color="auto"/>
                <w:right w:val="none" w:sz="0" w:space="0" w:color="auto"/>
              </w:divBdr>
              <w:divsChild>
                <w:div w:id="181093463">
                  <w:marLeft w:val="0"/>
                  <w:marRight w:val="0"/>
                  <w:marTop w:val="0"/>
                  <w:marBottom w:val="0"/>
                  <w:divBdr>
                    <w:top w:val="none" w:sz="0" w:space="0" w:color="auto"/>
                    <w:left w:val="none" w:sz="0" w:space="0" w:color="auto"/>
                    <w:bottom w:val="none" w:sz="0" w:space="0" w:color="auto"/>
                    <w:right w:val="none" w:sz="0" w:space="0" w:color="auto"/>
                  </w:divBdr>
                  <w:divsChild>
                    <w:div w:id="4576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531429">
      <w:bodyDiv w:val="1"/>
      <w:marLeft w:val="0"/>
      <w:marRight w:val="0"/>
      <w:marTop w:val="0"/>
      <w:marBottom w:val="0"/>
      <w:divBdr>
        <w:top w:val="none" w:sz="0" w:space="0" w:color="auto"/>
        <w:left w:val="none" w:sz="0" w:space="0" w:color="auto"/>
        <w:bottom w:val="none" w:sz="0" w:space="0" w:color="auto"/>
        <w:right w:val="none" w:sz="0" w:space="0" w:color="auto"/>
      </w:divBdr>
      <w:divsChild>
        <w:div w:id="1497184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072686">
      <w:bodyDiv w:val="1"/>
      <w:marLeft w:val="0"/>
      <w:marRight w:val="0"/>
      <w:marTop w:val="0"/>
      <w:marBottom w:val="0"/>
      <w:divBdr>
        <w:top w:val="none" w:sz="0" w:space="0" w:color="auto"/>
        <w:left w:val="none" w:sz="0" w:space="0" w:color="auto"/>
        <w:bottom w:val="none" w:sz="0" w:space="0" w:color="auto"/>
        <w:right w:val="none" w:sz="0" w:space="0" w:color="auto"/>
      </w:divBdr>
    </w:div>
    <w:div w:id="1650591438">
      <w:bodyDiv w:val="1"/>
      <w:marLeft w:val="0"/>
      <w:marRight w:val="0"/>
      <w:marTop w:val="0"/>
      <w:marBottom w:val="0"/>
      <w:divBdr>
        <w:top w:val="none" w:sz="0" w:space="0" w:color="auto"/>
        <w:left w:val="none" w:sz="0" w:space="0" w:color="auto"/>
        <w:bottom w:val="none" w:sz="0" w:space="0" w:color="auto"/>
        <w:right w:val="none" w:sz="0" w:space="0" w:color="auto"/>
      </w:divBdr>
      <w:divsChild>
        <w:div w:id="1909925840">
          <w:marLeft w:val="0"/>
          <w:marRight w:val="0"/>
          <w:marTop w:val="0"/>
          <w:marBottom w:val="0"/>
          <w:divBdr>
            <w:top w:val="none" w:sz="0" w:space="0" w:color="auto"/>
            <w:left w:val="none" w:sz="0" w:space="0" w:color="auto"/>
            <w:bottom w:val="none" w:sz="0" w:space="0" w:color="auto"/>
            <w:right w:val="none" w:sz="0" w:space="0" w:color="auto"/>
          </w:divBdr>
          <w:divsChild>
            <w:div w:id="1476335437">
              <w:marLeft w:val="0"/>
              <w:marRight w:val="0"/>
              <w:marTop w:val="0"/>
              <w:marBottom w:val="0"/>
              <w:divBdr>
                <w:top w:val="none" w:sz="0" w:space="0" w:color="auto"/>
                <w:left w:val="none" w:sz="0" w:space="0" w:color="auto"/>
                <w:bottom w:val="none" w:sz="0" w:space="0" w:color="auto"/>
                <w:right w:val="none" w:sz="0" w:space="0" w:color="auto"/>
              </w:divBdr>
              <w:divsChild>
                <w:div w:id="4653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99899">
      <w:bodyDiv w:val="1"/>
      <w:marLeft w:val="0"/>
      <w:marRight w:val="0"/>
      <w:marTop w:val="0"/>
      <w:marBottom w:val="0"/>
      <w:divBdr>
        <w:top w:val="none" w:sz="0" w:space="0" w:color="auto"/>
        <w:left w:val="none" w:sz="0" w:space="0" w:color="auto"/>
        <w:bottom w:val="none" w:sz="0" w:space="0" w:color="auto"/>
        <w:right w:val="none" w:sz="0" w:space="0" w:color="auto"/>
      </w:divBdr>
    </w:div>
    <w:div w:id="1763911017">
      <w:bodyDiv w:val="1"/>
      <w:marLeft w:val="0"/>
      <w:marRight w:val="0"/>
      <w:marTop w:val="0"/>
      <w:marBottom w:val="0"/>
      <w:divBdr>
        <w:top w:val="none" w:sz="0" w:space="0" w:color="auto"/>
        <w:left w:val="none" w:sz="0" w:space="0" w:color="auto"/>
        <w:bottom w:val="none" w:sz="0" w:space="0" w:color="auto"/>
        <w:right w:val="none" w:sz="0" w:space="0" w:color="auto"/>
      </w:divBdr>
    </w:div>
    <w:div w:id="1792822303">
      <w:bodyDiv w:val="1"/>
      <w:marLeft w:val="0"/>
      <w:marRight w:val="0"/>
      <w:marTop w:val="0"/>
      <w:marBottom w:val="0"/>
      <w:divBdr>
        <w:top w:val="none" w:sz="0" w:space="0" w:color="auto"/>
        <w:left w:val="none" w:sz="0" w:space="0" w:color="auto"/>
        <w:bottom w:val="none" w:sz="0" w:space="0" w:color="auto"/>
        <w:right w:val="none" w:sz="0" w:space="0" w:color="auto"/>
      </w:divBdr>
    </w:div>
    <w:div w:id="183510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1066</Words>
  <Characters>6078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Cansu Citil</dc:creator>
  <cp:keywords/>
  <dc:description/>
  <cp:lastModifiedBy>Suganya S</cp:lastModifiedBy>
  <cp:revision>5</cp:revision>
  <dcterms:created xsi:type="dcterms:W3CDTF">2025-12-11T08:28:00Z</dcterms:created>
  <dcterms:modified xsi:type="dcterms:W3CDTF">2026-01-14T13:13:00Z</dcterms:modified>
</cp:coreProperties>
</file>