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82003" w14:textId="37DAEE2A" w:rsidR="008C46AE" w:rsidRPr="008D510B" w:rsidRDefault="008C46AE" w:rsidP="008C46AE">
      <w:pPr>
        <w:pStyle w:val="berschrift2"/>
        <w:spacing w:before="0"/>
        <w:jc w:val="both"/>
        <w:rPr>
          <w:rFonts w:ascii="Times New Roman" w:hAnsi="Times New Roman" w:cs="Times New Roman"/>
          <w:szCs w:val="24"/>
          <w:lang w:val="en-US"/>
        </w:rPr>
      </w:pPr>
      <w:r w:rsidRPr="008D510B">
        <w:rPr>
          <w:rFonts w:ascii="Times New Roman" w:hAnsi="Times New Roman" w:cs="Times New Roman"/>
          <w:szCs w:val="24"/>
          <w:lang w:val="en-US"/>
        </w:rPr>
        <w:t>Appendix: Electronic search strategy, coding-scheme for the systematic review and data analysis</w:t>
      </w:r>
    </w:p>
    <w:p w14:paraId="26D0F061" w14:textId="77777777" w:rsidR="008C46AE" w:rsidRPr="008D510B" w:rsidRDefault="008C46AE" w:rsidP="008C46AE">
      <w:pPr>
        <w:jc w:val="both"/>
      </w:pPr>
    </w:p>
    <w:p w14:paraId="38A2722F" w14:textId="77777777" w:rsidR="008C46AE" w:rsidRPr="008D510B" w:rsidRDefault="008C46AE" w:rsidP="008C46AE">
      <w:pPr>
        <w:jc w:val="both"/>
        <w:rPr>
          <w:rStyle w:val="Fett"/>
          <w:b w:val="0"/>
          <w:bCs w:val="0"/>
          <w:color w:val="000000"/>
        </w:rPr>
      </w:pPr>
      <w:r w:rsidRPr="008D510B">
        <w:rPr>
          <w:rStyle w:val="Fett"/>
          <w:b w:val="0"/>
          <w:bCs w:val="0"/>
          <w:color w:val="000000"/>
        </w:rPr>
        <w:t xml:space="preserve">The search strategy was designed by a clinical investigator with relevant domain expertise in neurology (AAT). </w:t>
      </w:r>
    </w:p>
    <w:p w14:paraId="4B0350B6" w14:textId="77777777" w:rsidR="008C46AE" w:rsidRPr="008D510B" w:rsidRDefault="008C46AE" w:rsidP="008C46AE">
      <w:pPr>
        <w:jc w:val="both"/>
        <w:rPr>
          <w:rStyle w:val="Fett"/>
          <w:b w:val="0"/>
          <w:bCs w:val="0"/>
          <w:color w:val="000000"/>
        </w:rPr>
      </w:pPr>
    </w:p>
    <w:p w14:paraId="593C3593" w14:textId="7B1C0010" w:rsidR="008C46AE" w:rsidRPr="008D510B" w:rsidRDefault="008C46AE" w:rsidP="008C46AE">
      <w:pPr>
        <w:jc w:val="both"/>
        <w:rPr>
          <w:rStyle w:val="Fett"/>
          <w:b w:val="0"/>
          <w:bCs w:val="0"/>
          <w:color w:val="000000"/>
        </w:rPr>
      </w:pPr>
      <w:r w:rsidRPr="008D510B">
        <w:rPr>
          <w:rStyle w:val="Fett"/>
          <w:b w:val="0"/>
          <w:bCs w:val="0"/>
          <w:color w:val="000000"/>
        </w:rPr>
        <w:t>We searched MEDLINE and Embase for English-language articles, using the following strategies with the following components: (1) defining the clinical syndrome (i.e., ataxia</w:t>
      </w:r>
      <w:r w:rsidR="00C84247">
        <w:rPr>
          <w:rStyle w:val="Fett"/>
          <w:b w:val="0"/>
          <w:bCs w:val="0"/>
          <w:color w:val="000000"/>
        </w:rPr>
        <w:t>, vertigo, dizziness</w:t>
      </w:r>
      <w:r w:rsidRPr="008D510B">
        <w:rPr>
          <w:rStyle w:val="Fett"/>
          <w:b w:val="0"/>
          <w:bCs w:val="0"/>
          <w:color w:val="000000"/>
        </w:rPr>
        <w:t>)</w:t>
      </w:r>
      <w:r w:rsidR="00762A39">
        <w:rPr>
          <w:rStyle w:val="Fett"/>
          <w:b w:val="0"/>
          <w:bCs w:val="0"/>
          <w:color w:val="000000"/>
        </w:rPr>
        <w:t xml:space="preserve">, </w:t>
      </w:r>
      <w:r w:rsidRPr="008D510B">
        <w:rPr>
          <w:rStyle w:val="Fett"/>
          <w:b w:val="0"/>
          <w:bCs w:val="0"/>
          <w:color w:val="000000"/>
        </w:rPr>
        <w:t xml:space="preserve">(2) </w:t>
      </w:r>
      <w:r w:rsidR="00762A39">
        <w:t>aspects of quality of life investigated</w:t>
      </w:r>
      <w:r w:rsidR="00762A39">
        <w:rPr>
          <w:rStyle w:val="Fett"/>
          <w:b w:val="0"/>
          <w:bCs w:val="0"/>
          <w:color w:val="000000"/>
        </w:rPr>
        <w:t xml:space="preserve"> and (3) patient centered complaints investigated </w:t>
      </w:r>
      <w:r w:rsidR="00C84247">
        <w:rPr>
          <w:rStyle w:val="Fett"/>
          <w:b w:val="0"/>
          <w:bCs w:val="0"/>
          <w:color w:val="000000"/>
        </w:rPr>
        <w:t>focusing on oculomotor and / or vestibular domains</w:t>
      </w:r>
      <w:r w:rsidRPr="008D510B">
        <w:rPr>
          <w:rStyle w:val="Fett"/>
          <w:b w:val="0"/>
          <w:bCs w:val="0"/>
          <w:color w:val="000000"/>
        </w:rPr>
        <w:t xml:space="preserve">. We did not expressly search for hereditary ataxia syndromes, as this was found to result in omitting most relevant studies due to lacking referral to the genetic background. We also performed a manual search of reference lists from eligible articles, and contacted corresponding authors where necessary. We did not seek to identify research abstracts from meeting proceedings or unpublished studies. </w:t>
      </w:r>
    </w:p>
    <w:p w14:paraId="75E031F9" w14:textId="77777777" w:rsidR="008C46AE" w:rsidRPr="008D510B" w:rsidRDefault="008C46AE" w:rsidP="008C46AE">
      <w:pPr>
        <w:jc w:val="both"/>
        <w:rPr>
          <w:color w:val="000000"/>
        </w:rPr>
      </w:pPr>
    </w:p>
    <w:p w14:paraId="34EA1B0A" w14:textId="4DFA8C50" w:rsidR="008C46AE" w:rsidRPr="008D510B" w:rsidRDefault="008C46AE" w:rsidP="008C46AE">
      <w:pPr>
        <w:jc w:val="both"/>
        <w:rPr>
          <w:lang w:val="en"/>
        </w:rPr>
      </w:pPr>
      <w:r w:rsidRPr="008D510B">
        <w:rPr>
          <w:color w:val="000000"/>
          <w:u w:val="single"/>
        </w:rPr>
        <w:t>MEDLINE Search</w:t>
      </w:r>
      <w:r w:rsidRPr="008D510B">
        <w:rPr>
          <w:color w:val="000000"/>
        </w:rPr>
        <w:t xml:space="preserve"> </w:t>
      </w:r>
      <w:r w:rsidRPr="008D510B">
        <w:rPr>
          <w:i/>
          <w:color w:val="000000"/>
        </w:rPr>
        <w:t>(</w:t>
      </w:r>
      <w:r w:rsidRPr="008D510B">
        <w:rPr>
          <w:i/>
        </w:rPr>
        <w:t xml:space="preserve">accessed via PubMed at </w:t>
      </w:r>
      <w:hyperlink r:id="rId6" w:history="1">
        <w:r w:rsidR="002E2D60" w:rsidRPr="0005215D">
          <w:rPr>
            <w:rStyle w:val="Hyperlink"/>
            <w:i/>
            <w:iCs/>
            <w:lang w:val="en"/>
          </w:rPr>
          <w:t>www.ncbi.nlm.nih.gov/</w:t>
        </w:r>
        <w:r w:rsidR="002E2D60" w:rsidRPr="0005215D">
          <w:rPr>
            <w:rStyle w:val="Hyperlink"/>
            <w:bCs/>
            <w:i/>
            <w:iCs/>
            <w:lang w:val="en"/>
          </w:rPr>
          <w:t>pubmed</w:t>
        </w:r>
      </w:hyperlink>
      <w:r w:rsidRPr="008D510B">
        <w:rPr>
          <w:i/>
        </w:rPr>
        <w:t>)</w:t>
      </w:r>
      <w:r w:rsidR="002E2D60">
        <w:rPr>
          <w:i/>
        </w:rPr>
        <w:t xml:space="preserve"> on September 20</w:t>
      </w:r>
      <w:r w:rsidR="002E2D60" w:rsidRPr="002E2D60">
        <w:rPr>
          <w:i/>
          <w:vertAlign w:val="superscript"/>
        </w:rPr>
        <w:t>th</w:t>
      </w:r>
      <w:r w:rsidR="002E2D60">
        <w:rPr>
          <w:i/>
        </w:rPr>
        <w:t xml:space="preserve"> 2022), number of citations identified: 3525</w:t>
      </w:r>
    </w:p>
    <w:p w14:paraId="141C1299" w14:textId="2EDAE920" w:rsidR="008C46AE" w:rsidRDefault="008C46AE" w:rsidP="008C46AE">
      <w:pPr>
        <w:jc w:val="both"/>
        <w:rPr>
          <w:color w:val="000000"/>
        </w:rPr>
      </w:pPr>
    </w:p>
    <w:p w14:paraId="1F2E31BD" w14:textId="3B6C878B" w:rsidR="00762A39" w:rsidRPr="00762A39" w:rsidRDefault="00762A39" w:rsidP="008C46AE">
      <w:pPr>
        <w:jc w:val="both"/>
      </w:pPr>
      <w:r w:rsidRPr="00762A39">
        <w:t xml:space="preserve">(ataxia OR ataxic OR (gait AND </w:t>
      </w:r>
      <w:r w:rsidR="005223D0">
        <w:t>(</w:t>
      </w:r>
      <w:r w:rsidRPr="00762A39">
        <w:t>impairment</w:t>
      </w:r>
      <w:r w:rsidR="005223D0">
        <w:t xml:space="preserve"> OR imbalance)</w:t>
      </w:r>
      <w:r w:rsidRPr="00762A39">
        <w:t>)</w:t>
      </w:r>
      <w:r w:rsidR="00C84247">
        <w:t xml:space="preserve"> OR vertigo OR dizziness OR dizzy OR vestibular </w:t>
      </w:r>
      <w:r w:rsidR="005223D0">
        <w:t xml:space="preserve">OR </w:t>
      </w:r>
      <w:r w:rsidR="00C84247">
        <w:t>cerebellar OR cerebellum</w:t>
      </w:r>
      <w:r w:rsidRPr="00762A39">
        <w:t>) AND ((eye movements) OR (ocular motor) OR oculomotor OR vestibular OR saccade OR (smooth pursuit) OR (</w:t>
      </w:r>
      <w:proofErr w:type="spellStart"/>
      <w:r w:rsidRPr="00762A39">
        <w:t>vestibulo</w:t>
      </w:r>
      <w:proofErr w:type="spellEnd"/>
      <w:r w:rsidRPr="00762A39">
        <w:t xml:space="preserve">-ocular reflex) OR VOR OR optokinetic OR nystagmus OR gaze OR head impulse OR vision) AND (quality of life OR interview OR questionnaire OR patient-reported OR self-reported OR activities of daily living OR </w:t>
      </w:r>
      <w:r w:rsidRPr="00762A39">
        <w:rPr>
          <w:rFonts w:eastAsiaTheme="minorHAnsi"/>
        </w:rPr>
        <w:t>real-world function</w:t>
      </w:r>
      <w:r w:rsidRPr="00762A39">
        <w:t>) NOT (animals[</w:t>
      </w:r>
      <w:proofErr w:type="spellStart"/>
      <w:r w:rsidRPr="00762A39">
        <w:t>mh</w:t>
      </w:r>
      <w:proofErr w:type="spellEnd"/>
      <w:r w:rsidRPr="00762A39">
        <w:t>] NOT humans[</w:t>
      </w:r>
      <w:proofErr w:type="spellStart"/>
      <w:r w:rsidRPr="00762A39">
        <w:t>mh</w:t>
      </w:r>
      <w:proofErr w:type="spellEnd"/>
      <w:r w:rsidRPr="00762A39">
        <w:t xml:space="preserve">]) AND </w:t>
      </w:r>
      <w:proofErr w:type="spellStart"/>
      <w:r w:rsidRPr="00762A39">
        <w:t>eng</w:t>
      </w:r>
      <w:proofErr w:type="spellEnd"/>
      <w:r w:rsidRPr="00762A39">
        <w:t>[la] NOT review[</w:t>
      </w:r>
      <w:proofErr w:type="spellStart"/>
      <w:r w:rsidRPr="00762A39">
        <w:t>pt</w:t>
      </w:r>
      <w:proofErr w:type="spellEnd"/>
      <w:r w:rsidRPr="00762A39">
        <w:t>]</w:t>
      </w:r>
    </w:p>
    <w:p w14:paraId="30C7E0CE" w14:textId="77777777" w:rsidR="008C46AE" w:rsidRPr="008D510B" w:rsidRDefault="008C46AE" w:rsidP="008C46AE">
      <w:pPr>
        <w:jc w:val="both"/>
        <w:rPr>
          <w:b/>
          <w:color w:val="000000"/>
        </w:rPr>
      </w:pPr>
    </w:p>
    <w:p w14:paraId="7F1DA427" w14:textId="5E065994" w:rsidR="002E2D60" w:rsidRPr="008D510B" w:rsidRDefault="008C46AE" w:rsidP="002E2D60">
      <w:pPr>
        <w:jc w:val="both"/>
        <w:rPr>
          <w:lang w:val="en"/>
        </w:rPr>
      </w:pPr>
      <w:r w:rsidRPr="00A47429">
        <w:rPr>
          <w:bCs/>
          <w:color w:val="000000"/>
          <w:u w:val="single"/>
        </w:rPr>
        <w:t>Embase search</w:t>
      </w:r>
      <w:r w:rsidR="002E2D60">
        <w:rPr>
          <w:bCs/>
          <w:color w:val="000000"/>
          <w:u w:val="single"/>
        </w:rPr>
        <w:t xml:space="preserve"> </w:t>
      </w:r>
      <w:r w:rsidR="002E2D60" w:rsidRPr="002E2D60">
        <w:rPr>
          <w:bCs/>
          <w:color w:val="000000"/>
        </w:rPr>
        <w:t xml:space="preserve">(performed </w:t>
      </w:r>
      <w:r w:rsidR="002E2D60" w:rsidRPr="002E2D60">
        <w:t>on September 20</w:t>
      </w:r>
      <w:r w:rsidR="002E2D60" w:rsidRPr="002E2D60">
        <w:rPr>
          <w:vertAlign w:val="superscript"/>
        </w:rPr>
        <w:t>th</w:t>
      </w:r>
      <w:r w:rsidR="002E2D60" w:rsidRPr="002E2D60">
        <w:t xml:space="preserve"> 2022) number of citations identified:1766</w:t>
      </w:r>
    </w:p>
    <w:p w14:paraId="7F0812C1" w14:textId="2F2F6A6C" w:rsidR="008C46AE" w:rsidRPr="00A47429" w:rsidRDefault="008C46AE" w:rsidP="008C46AE">
      <w:pPr>
        <w:jc w:val="both"/>
        <w:rPr>
          <w:bCs/>
          <w:color w:val="000000"/>
          <w:u w:val="single"/>
        </w:rPr>
      </w:pPr>
    </w:p>
    <w:p w14:paraId="12A9FEE9" w14:textId="4DF55616" w:rsidR="008C46AE" w:rsidRDefault="008C46AE" w:rsidP="008C46AE">
      <w:pPr>
        <w:jc w:val="both"/>
        <w:rPr>
          <w:b/>
          <w:color w:val="000000"/>
        </w:rPr>
      </w:pPr>
    </w:p>
    <w:p w14:paraId="55D791DA" w14:textId="1D52F733" w:rsidR="005223D0" w:rsidRPr="00762A39" w:rsidRDefault="005223D0" w:rsidP="005223D0">
      <w:pPr>
        <w:jc w:val="both"/>
      </w:pPr>
      <w:r w:rsidRPr="00762A39">
        <w:t>(</w:t>
      </w:r>
      <w:proofErr w:type="spellStart"/>
      <w:r w:rsidRPr="00762A39">
        <w:t>ataxia</w:t>
      </w:r>
      <w:r w:rsidRPr="008D510B">
        <w:rPr>
          <w:bCs/>
          <w:color w:val="000000"/>
        </w:rPr>
        <w:t>:ab,ti</w:t>
      </w:r>
      <w:proofErr w:type="spellEnd"/>
      <w:r w:rsidRPr="00762A39">
        <w:t xml:space="preserve"> OR </w:t>
      </w:r>
      <w:proofErr w:type="spellStart"/>
      <w:r w:rsidRPr="00762A39">
        <w:t>ataxic</w:t>
      </w:r>
      <w:r w:rsidRPr="008D510B">
        <w:rPr>
          <w:bCs/>
          <w:color w:val="000000"/>
        </w:rPr>
        <w:t>:ab,ti</w:t>
      </w:r>
      <w:proofErr w:type="spellEnd"/>
      <w:r w:rsidRPr="00762A39">
        <w:t xml:space="preserve"> OR (gait AND </w:t>
      </w:r>
      <w:r>
        <w:t>(</w:t>
      </w:r>
      <w:r w:rsidRPr="00762A39">
        <w:t>impairment</w:t>
      </w:r>
      <w:r>
        <w:t xml:space="preserve"> OR imbalance)</w:t>
      </w:r>
      <w:r w:rsidRPr="00762A39">
        <w:t>)</w:t>
      </w:r>
      <w:r>
        <w:t xml:space="preserve"> OR </w:t>
      </w:r>
      <w:proofErr w:type="spellStart"/>
      <w:r>
        <w:t>vertigo</w:t>
      </w:r>
      <w:r w:rsidRPr="008D510B">
        <w:rPr>
          <w:bCs/>
          <w:color w:val="000000"/>
        </w:rPr>
        <w:t>:ab,ti</w:t>
      </w:r>
      <w:proofErr w:type="spellEnd"/>
      <w:r>
        <w:t xml:space="preserve"> OR </w:t>
      </w:r>
      <w:proofErr w:type="spellStart"/>
      <w:r>
        <w:t>dizziness</w:t>
      </w:r>
      <w:r w:rsidRPr="008D510B">
        <w:rPr>
          <w:bCs/>
          <w:color w:val="000000"/>
        </w:rPr>
        <w:t>:ab,ti</w:t>
      </w:r>
      <w:proofErr w:type="spellEnd"/>
      <w:r>
        <w:t xml:space="preserve"> OR </w:t>
      </w:r>
      <w:proofErr w:type="spellStart"/>
      <w:r>
        <w:t>dizzy</w:t>
      </w:r>
      <w:r w:rsidRPr="008D510B">
        <w:rPr>
          <w:bCs/>
          <w:color w:val="000000"/>
        </w:rPr>
        <w:t>:ab,ti</w:t>
      </w:r>
      <w:proofErr w:type="spellEnd"/>
      <w:r>
        <w:t xml:space="preserve"> OR </w:t>
      </w:r>
      <w:proofErr w:type="spellStart"/>
      <w:r>
        <w:t>vestibular</w:t>
      </w:r>
      <w:r w:rsidRPr="008D510B">
        <w:rPr>
          <w:bCs/>
          <w:color w:val="000000"/>
        </w:rPr>
        <w:t>:ab,ti</w:t>
      </w:r>
      <w:proofErr w:type="spellEnd"/>
      <w:r>
        <w:t xml:space="preserve"> OR </w:t>
      </w:r>
      <w:proofErr w:type="spellStart"/>
      <w:r>
        <w:t>cerebellar</w:t>
      </w:r>
      <w:r w:rsidRPr="008D510B">
        <w:rPr>
          <w:bCs/>
          <w:color w:val="000000"/>
        </w:rPr>
        <w:t>:ab,ti</w:t>
      </w:r>
      <w:proofErr w:type="spellEnd"/>
      <w:r>
        <w:t xml:space="preserve"> OR </w:t>
      </w:r>
      <w:proofErr w:type="spellStart"/>
      <w:r>
        <w:t>cerebellum</w:t>
      </w:r>
      <w:r w:rsidRPr="008D510B">
        <w:rPr>
          <w:bCs/>
          <w:color w:val="000000"/>
        </w:rPr>
        <w:t>:ab,ti</w:t>
      </w:r>
      <w:proofErr w:type="spellEnd"/>
      <w:r w:rsidRPr="00762A39">
        <w:t>) AND ((</w:t>
      </w:r>
      <w:r>
        <w:t>‘</w:t>
      </w:r>
      <w:r w:rsidRPr="00762A39">
        <w:t>eye movements</w:t>
      </w:r>
      <w:r>
        <w:t>’</w:t>
      </w:r>
      <w:r w:rsidRPr="008D510B">
        <w:rPr>
          <w:bCs/>
          <w:color w:val="000000"/>
        </w:rPr>
        <w:t>:</w:t>
      </w:r>
      <w:proofErr w:type="spellStart"/>
      <w:r w:rsidRPr="008D510B">
        <w:rPr>
          <w:bCs/>
          <w:color w:val="000000"/>
        </w:rPr>
        <w:t>ab,ti</w:t>
      </w:r>
      <w:proofErr w:type="spellEnd"/>
      <w:r w:rsidRPr="00762A39">
        <w:t>) OR (</w:t>
      </w:r>
      <w:r>
        <w:t>‘</w:t>
      </w:r>
      <w:r w:rsidRPr="00762A39">
        <w:t>ocular motor</w:t>
      </w:r>
      <w:r>
        <w:t>’</w:t>
      </w:r>
      <w:r w:rsidRPr="008D510B">
        <w:rPr>
          <w:bCs/>
          <w:color w:val="000000"/>
        </w:rPr>
        <w:t>:</w:t>
      </w:r>
      <w:proofErr w:type="spellStart"/>
      <w:r w:rsidRPr="008D510B">
        <w:rPr>
          <w:bCs/>
          <w:color w:val="000000"/>
        </w:rPr>
        <w:t>ab,ti</w:t>
      </w:r>
      <w:proofErr w:type="spellEnd"/>
      <w:r w:rsidRPr="00762A39">
        <w:t xml:space="preserve">) OR </w:t>
      </w:r>
      <w:proofErr w:type="spellStart"/>
      <w:r w:rsidRPr="00762A39">
        <w:t>oculomotor</w:t>
      </w:r>
      <w:r w:rsidRPr="008D510B">
        <w:rPr>
          <w:bCs/>
          <w:color w:val="000000"/>
        </w:rPr>
        <w:t>:ab,ti</w:t>
      </w:r>
      <w:proofErr w:type="spellEnd"/>
      <w:r w:rsidRPr="00762A39">
        <w:t xml:space="preserve"> OR </w:t>
      </w:r>
      <w:proofErr w:type="spellStart"/>
      <w:r w:rsidRPr="00762A39">
        <w:t>vestibular</w:t>
      </w:r>
      <w:r w:rsidRPr="008D510B">
        <w:rPr>
          <w:bCs/>
          <w:color w:val="000000"/>
        </w:rPr>
        <w:t>:ab,ti</w:t>
      </w:r>
      <w:proofErr w:type="spellEnd"/>
      <w:r w:rsidRPr="00762A39">
        <w:t xml:space="preserve"> OR </w:t>
      </w:r>
      <w:proofErr w:type="spellStart"/>
      <w:r w:rsidRPr="00762A39">
        <w:t>saccade</w:t>
      </w:r>
      <w:r w:rsidRPr="008D510B">
        <w:rPr>
          <w:bCs/>
          <w:color w:val="000000"/>
        </w:rPr>
        <w:t>:ab,ti</w:t>
      </w:r>
      <w:proofErr w:type="spellEnd"/>
      <w:r w:rsidRPr="00762A39">
        <w:t xml:space="preserve"> OR (</w:t>
      </w:r>
      <w:r>
        <w:t>‘</w:t>
      </w:r>
      <w:r w:rsidRPr="00762A39">
        <w:t>smooth pursuit</w:t>
      </w:r>
      <w:r>
        <w:t>’</w:t>
      </w:r>
      <w:r w:rsidRPr="008D510B">
        <w:rPr>
          <w:bCs/>
          <w:color w:val="000000"/>
        </w:rPr>
        <w:t>:</w:t>
      </w:r>
      <w:proofErr w:type="spellStart"/>
      <w:r w:rsidRPr="008D510B">
        <w:rPr>
          <w:bCs/>
          <w:color w:val="000000"/>
        </w:rPr>
        <w:t>ab,ti</w:t>
      </w:r>
      <w:proofErr w:type="spellEnd"/>
      <w:r w:rsidRPr="00762A39">
        <w:t>) OR (</w:t>
      </w:r>
      <w:r>
        <w:t>‘</w:t>
      </w:r>
      <w:proofErr w:type="spellStart"/>
      <w:r w:rsidRPr="00762A39">
        <w:t>vestibulo</w:t>
      </w:r>
      <w:proofErr w:type="spellEnd"/>
      <w:r w:rsidRPr="00762A39">
        <w:t>-ocular reflex</w:t>
      </w:r>
      <w:r>
        <w:t>’</w:t>
      </w:r>
      <w:r w:rsidRPr="008D510B">
        <w:rPr>
          <w:bCs/>
          <w:color w:val="000000"/>
        </w:rPr>
        <w:t>:</w:t>
      </w:r>
      <w:proofErr w:type="spellStart"/>
      <w:r w:rsidRPr="008D510B">
        <w:rPr>
          <w:bCs/>
          <w:color w:val="000000"/>
        </w:rPr>
        <w:t>ab,ti</w:t>
      </w:r>
      <w:proofErr w:type="spellEnd"/>
      <w:r w:rsidRPr="00762A39">
        <w:t xml:space="preserve">) OR </w:t>
      </w:r>
      <w:proofErr w:type="spellStart"/>
      <w:r w:rsidRPr="00762A39">
        <w:t>VOR</w:t>
      </w:r>
      <w:r w:rsidRPr="008D510B">
        <w:rPr>
          <w:bCs/>
          <w:color w:val="000000"/>
        </w:rPr>
        <w:t>:ab,ti</w:t>
      </w:r>
      <w:proofErr w:type="spellEnd"/>
      <w:r w:rsidRPr="00762A39">
        <w:t xml:space="preserve"> OR </w:t>
      </w:r>
      <w:proofErr w:type="spellStart"/>
      <w:r w:rsidRPr="00762A39">
        <w:t>optokinetic</w:t>
      </w:r>
      <w:r w:rsidRPr="008D510B">
        <w:rPr>
          <w:bCs/>
          <w:color w:val="000000"/>
        </w:rPr>
        <w:t>:ab,ti</w:t>
      </w:r>
      <w:proofErr w:type="spellEnd"/>
      <w:r w:rsidRPr="00762A39">
        <w:t xml:space="preserve"> OR </w:t>
      </w:r>
      <w:proofErr w:type="spellStart"/>
      <w:r w:rsidRPr="00762A39">
        <w:t>nystagmus</w:t>
      </w:r>
      <w:r w:rsidRPr="008D510B">
        <w:rPr>
          <w:bCs/>
          <w:color w:val="000000"/>
        </w:rPr>
        <w:t>:ab,ti</w:t>
      </w:r>
      <w:proofErr w:type="spellEnd"/>
      <w:r w:rsidRPr="00762A39">
        <w:t xml:space="preserve"> OR </w:t>
      </w:r>
      <w:proofErr w:type="spellStart"/>
      <w:r w:rsidRPr="00762A39">
        <w:t>gaze</w:t>
      </w:r>
      <w:r w:rsidRPr="008D510B">
        <w:rPr>
          <w:bCs/>
          <w:color w:val="000000"/>
        </w:rPr>
        <w:t>:ab,ti</w:t>
      </w:r>
      <w:proofErr w:type="spellEnd"/>
      <w:r w:rsidRPr="00762A39">
        <w:t xml:space="preserve"> OR </w:t>
      </w:r>
      <w:r>
        <w:t>‘</w:t>
      </w:r>
      <w:r w:rsidRPr="00762A39">
        <w:t>head impulse</w:t>
      </w:r>
      <w:r>
        <w:t>’</w:t>
      </w:r>
      <w:r w:rsidRPr="008D510B">
        <w:rPr>
          <w:bCs/>
          <w:color w:val="000000"/>
        </w:rPr>
        <w:t>:</w:t>
      </w:r>
      <w:proofErr w:type="spellStart"/>
      <w:r w:rsidRPr="008D510B">
        <w:rPr>
          <w:bCs/>
          <w:color w:val="000000"/>
        </w:rPr>
        <w:t>ab,ti</w:t>
      </w:r>
      <w:proofErr w:type="spellEnd"/>
      <w:r w:rsidRPr="00762A39">
        <w:t xml:space="preserve"> OR </w:t>
      </w:r>
      <w:proofErr w:type="spellStart"/>
      <w:r w:rsidRPr="00762A39">
        <w:t>vision</w:t>
      </w:r>
      <w:r w:rsidRPr="008D510B">
        <w:rPr>
          <w:bCs/>
          <w:color w:val="000000"/>
        </w:rPr>
        <w:t>:ab,ti</w:t>
      </w:r>
      <w:proofErr w:type="spellEnd"/>
      <w:r w:rsidRPr="00762A39">
        <w:t>) AND (</w:t>
      </w:r>
      <w:r>
        <w:t>‘</w:t>
      </w:r>
      <w:r w:rsidRPr="00762A39">
        <w:t>quality of life</w:t>
      </w:r>
      <w:r>
        <w:t>’</w:t>
      </w:r>
      <w:r w:rsidRPr="008D510B">
        <w:rPr>
          <w:bCs/>
          <w:color w:val="000000"/>
        </w:rPr>
        <w:t>:</w:t>
      </w:r>
      <w:proofErr w:type="spellStart"/>
      <w:r w:rsidRPr="008D510B">
        <w:rPr>
          <w:bCs/>
          <w:color w:val="000000"/>
        </w:rPr>
        <w:t>ab,ti</w:t>
      </w:r>
      <w:proofErr w:type="spellEnd"/>
      <w:r w:rsidRPr="00762A39">
        <w:t xml:space="preserve"> OR </w:t>
      </w:r>
      <w:proofErr w:type="spellStart"/>
      <w:r w:rsidRPr="00762A39">
        <w:t>interview</w:t>
      </w:r>
      <w:r w:rsidRPr="008D510B">
        <w:rPr>
          <w:bCs/>
          <w:color w:val="000000"/>
        </w:rPr>
        <w:t>:ab,ti</w:t>
      </w:r>
      <w:proofErr w:type="spellEnd"/>
      <w:r w:rsidRPr="00762A39">
        <w:t xml:space="preserve"> OR </w:t>
      </w:r>
      <w:proofErr w:type="spellStart"/>
      <w:r w:rsidRPr="00762A39">
        <w:t>questionnaire</w:t>
      </w:r>
      <w:r w:rsidRPr="008D510B">
        <w:rPr>
          <w:bCs/>
          <w:color w:val="000000"/>
        </w:rPr>
        <w:t>:ab,ti</w:t>
      </w:r>
      <w:proofErr w:type="spellEnd"/>
      <w:r w:rsidRPr="00762A39">
        <w:t xml:space="preserve"> OR </w:t>
      </w:r>
      <w:r>
        <w:t>‘</w:t>
      </w:r>
      <w:r w:rsidRPr="00762A39">
        <w:t>patient-reported</w:t>
      </w:r>
      <w:r>
        <w:t>’</w:t>
      </w:r>
      <w:r w:rsidRPr="008D510B">
        <w:rPr>
          <w:bCs/>
          <w:color w:val="000000"/>
        </w:rPr>
        <w:t>:</w:t>
      </w:r>
      <w:proofErr w:type="spellStart"/>
      <w:r w:rsidRPr="008D510B">
        <w:rPr>
          <w:bCs/>
          <w:color w:val="000000"/>
        </w:rPr>
        <w:t>ab,ti</w:t>
      </w:r>
      <w:proofErr w:type="spellEnd"/>
      <w:r w:rsidRPr="00762A39">
        <w:t xml:space="preserve"> OR </w:t>
      </w:r>
      <w:r>
        <w:t>‘</w:t>
      </w:r>
      <w:r w:rsidRPr="00762A39">
        <w:t>self-reported</w:t>
      </w:r>
      <w:r>
        <w:t>’</w:t>
      </w:r>
      <w:r w:rsidRPr="008D510B">
        <w:rPr>
          <w:bCs/>
          <w:color w:val="000000"/>
        </w:rPr>
        <w:t>:</w:t>
      </w:r>
      <w:proofErr w:type="spellStart"/>
      <w:r w:rsidRPr="008D510B">
        <w:rPr>
          <w:bCs/>
          <w:color w:val="000000"/>
        </w:rPr>
        <w:t>ab,ti</w:t>
      </w:r>
      <w:proofErr w:type="spellEnd"/>
      <w:r w:rsidRPr="00762A39">
        <w:t xml:space="preserve"> OR </w:t>
      </w:r>
      <w:r>
        <w:t>‘</w:t>
      </w:r>
      <w:r w:rsidRPr="00762A39">
        <w:t>activities of daily living</w:t>
      </w:r>
      <w:r>
        <w:t>’</w:t>
      </w:r>
      <w:r w:rsidRPr="008D510B">
        <w:rPr>
          <w:bCs/>
          <w:color w:val="000000"/>
        </w:rPr>
        <w:t>:</w:t>
      </w:r>
      <w:proofErr w:type="spellStart"/>
      <w:r w:rsidRPr="008D510B">
        <w:rPr>
          <w:bCs/>
          <w:color w:val="000000"/>
        </w:rPr>
        <w:t>ab,ti</w:t>
      </w:r>
      <w:proofErr w:type="spellEnd"/>
      <w:r w:rsidRPr="00762A39">
        <w:t xml:space="preserve"> OR </w:t>
      </w:r>
      <w:r>
        <w:t>‘</w:t>
      </w:r>
      <w:r w:rsidRPr="00762A39">
        <w:rPr>
          <w:rFonts w:eastAsiaTheme="minorHAnsi"/>
        </w:rPr>
        <w:t>real-world function</w:t>
      </w:r>
      <w:r>
        <w:rPr>
          <w:rFonts w:eastAsiaTheme="minorHAnsi"/>
        </w:rPr>
        <w:t>’</w:t>
      </w:r>
      <w:r w:rsidRPr="008D510B">
        <w:rPr>
          <w:bCs/>
          <w:color w:val="000000"/>
        </w:rPr>
        <w:t>:</w:t>
      </w:r>
      <w:proofErr w:type="spellStart"/>
      <w:r w:rsidRPr="008D510B">
        <w:rPr>
          <w:bCs/>
          <w:color w:val="000000"/>
        </w:rPr>
        <w:t>ab,ti</w:t>
      </w:r>
      <w:proofErr w:type="spellEnd"/>
      <w:r w:rsidRPr="00762A39">
        <w:t xml:space="preserve">) </w:t>
      </w:r>
      <w:r w:rsidRPr="008D510B">
        <w:rPr>
          <w:color w:val="222222"/>
          <w:lang w:eastAsia="de-DE"/>
        </w:rPr>
        <w:t>AND [humans]/</w:t>
      </w:r>
      <w:proofErr w:type="spellStart"/>
      <w:r w:rsidRPr="008D510B">
        <w:rPr>
          <w:color w:val="222222"/>
          <w:lang w:eastAsia="de-DE"/>
        </w:rPr>
        <w:t>lim</w:t>
      </w:r>
      <w:proofErr w:type="spellEnd"/>
      <w:r w:rsidRPr="008D510B">
        <w:rPr>
          <w:color w:val="222222"/>
          <w:lang w:eastAsia="de-DE"/>
        </w:rPr>
        <w:t xml:space="preserve"> AND [English]/</w:t>
      </w:r>
      <w:proofErr w:type="spellStart"/>
      <w:r w:rsidRPr="008D510B">
        <w:rPr>
          <w:color w:val="222222"/>
          <w:lang w:eastAsia="de-DE"/>
        </w:rPr>
        <w:t>lim</w:t>
      </w:r>
      <w:proofErr w:type="spellEnd"/>
      <w:r w:rsidRPr="008D510B">
        <w:rPr>
          <w:color w:val="222222"/>
          <w:lang w:eastAsia="de-DE"/>
        </w:rPr>
        <w:t xml:space="preserve"> AND ([article]/</w:t>
      </w:r>
      <w:proofErr w:type="spellStart"/>
      <w:r w:rsidRPr="008D510B">
        <w:rPr>
          <w:color w:val="222222"/>
          <w:lang w:eastAsia="de-DE"/>
        </w:rPr>
        <w:t>lim</w:t>
      </w:r>
      <w:proofErr w:type="spellEnd"/>
      <w:r w:rsidRPr="008D510B">
        <w:rPr>
          <w:color w:val="222222"/>
          <w:lang w:eastAsia="de-DE"/>
        </w:rPr>
        <w:t xml:space="preserve"> OR [article in press]/</w:t>
      </w:r>
      <w:proofErr w:type="spellStart"/>
      <w:r w:rsidRPr="008D510B">
        <w:rPr>
          <w:color w:val="222222"/>
          <w:lang w:eastAsia="de-DE"/>
        </w:rPr>
        <w:t>lim</w:t>
      </w:r>
      <w:proofErr w:type="spellEnd"/>
      <w:r w:rsidRPr="008D510B">
        <w:rPr>
          <w:color w:val="222222"/>
          <w:lang w:eastAsia="de-DE"/>
        </w:rPr>
        <w:t>) </w:t>
      </w:r>
    </w:p>
    <w:p w14:paraId="57F4651B" w14:textId="4A033841" w:rsidR="005223D0" w:rsidRDefault="005223D0" w:rsidP="008C46AE">
      <w:pPr>
        <w:jc w:val="both"/>
        <w:rPr>
          <w:b/>
          <w:color w:val="000000"/>
        </w:rPr>
      </w:pPr>
    </w:p>
    <w:p w14:paraId="7891EA34" w14:textId="77777777" w:rsidR="005223D0" w:rsidRPr="008D510B" w:rsidRDefault="005223D0" w:rsidP="008C46AE">
      <w:pPr>
        <w:jc w:val="both"/>
        <w:rPr>
          <w:b/>
          <w:color w:val="000000"/>
        </w:rPr>
      </w:pPr>
    </w:p>
    <w:p w14:paraId="1EA4E28D" w14:textId="77777777" w:rsidR="008C46AE" w:rsidRPr="008D510B" w:rsidRDefault="008C46AE" w:rsidP="008C46AE">
      <w:pPr>
        <w:spacing w:after="120" w:line="276" w:lineRule="auto"/>
        <w:jc w:val="both"/>
        <w:rPr>
          <w:b/>
          <w:color w:val="000000"/>
        </w:rPr>
      </w:pPr>
      <w:r w:rsidRPr="008D510B">
        <w:rPr>
          <w:color w:val="000000"/>
          <w:u w:val="single"/>
        </w:rPr>
        <w:t>Search Results</w:t>
      </w:r>
    </w:p>
    <w:p w14:paraId="3693EDA6" w14:textId="00C95CB5" w:rsidR="008C46AE" w:rsidRPr="008D510B" w:rsidRDefault="008C46AE" w:rsidP="008C46AE">
      <w:pPr>
        <w:jc w:val="both"/>
        <w:rPr>
          <w:b/>
          <w:bCs/>
          <w:color w:val="000000"/>
        </w:rPr>
      </w:pPr>
      <w:r w:rsidRPr="008D510B">
        <w:rPr>
          <w:color w:val="000000"/>
        </w:rPr>
        <w:t xml:space="preserve">Our search identified </w:t>
      </w:r>
      <w:r w:rsidR="00A354D4">
        <w:rPr>
          <w:color w:val="000000"/>
        </w:rPr>
        <w:t>36</w:t>
      </w:r>
      <w:r w:rsidR="002E2D60">
        <w:rPr>
          <w:color w:val="000000"/>
        </w:rPr>
        <w:t>71</w:t>
      </w:r>
      <w:r w:rsidRPr="008D510B">
        <w:rPr>
          <w:color w:val="000000"/>
        </w:rPr>
        <w:t xml:space="preserve"> unique citations, of which </w:t>
      </w:r>
      <w:r w:rsidR="00304F04">
        <w:rPr>
          <w:color w:val="000000"/>
        </w:rPr>
        <w:t>2577</w:t>
      </w:r>
      <w:r w:rsidRPr="008D510B">
        <w:rPr>
          <w:color w:val="000000"/>
        </w:rPr>
        <w:t xml:space="preserve"> (</w:t>
      </w:r>
      <w:r w:rsidR="00304F04">
        <w:rPr>
          <w:color w:val="000000"/>
        </w:rPr>
        <w:t>70.2</w:t>
      </w:r>
      <w:r w:rsidRPr="008D510B">
        <w:rPr>
          <w:color w:val="000000"/>
        </w:rPr>
        <w:t>%) were excluded at the abstract level (Figure 1, main manuscript). A record was excluded only if two scorers (</w:t>
      </w:r>
      <w:r w:rsidR="000208EE">
        <w:rPr>
          <w:color w:val="000000"/>
        </w:rPr>
        <w:t>CM</w:t>
      </w:r>
      <w:r w:rsidRPr="008D510B">
        <w:rPr>
          <w:color w:val="000000"/>
        </w:rPr>
        <w:t>, AAT) recommended exclusion (detailed list of predefined reasons for exclusion shown below). We did not demand concordance on reason for abstract exclusion, but, among those abstracts with concordant reasons for exclusion (</w:t>
      </w:r>
      <w:r w:rsidR="00304F04">
        <w:rPr>
          <w:color w:val="000000"/>
        </w:rPr>
        <w:t>37.4</w:t>
      </w:r>
      <w:r w:rsidRPr="008D510B">
        <w:rPr>
          <w:color w:val="000000"/>
        </w:rPr>
        <w:t>%, n=</w:t>
      </w:r>
      <w:r w:rsidR="00304F04">
        <w:rPr>
          <w:color w:val="000000"/>
        </w:rPr>
        <w:t>1373</w:t>
      </w:r>
      <w:r w:rsidRPr="008D510B">
        <w:rPr>
          <w:color w:val="000000"/>
        </w:rPr>
        <w:t xml:space="preserve">), the distribution was as follows: </w:t>
      </w:r>
      <w:r w:rsidR="00304F04">
        <w:rPr>
          <w:rStyle w:val="Fett"/>
          <w:b w:val="0"/>
          <w:bCs w:val="0"/>
          <w:color w:val="000000"/>
        </w:rPr>
        <w:t>79.3</w:t>
      </w:r>
      <w:r w:rsidR="00304F04" w:rsidRPr="008D510B">
        <w:rPr>
          <w:rStyle w:val="Fett"/>
          <w:b w:val="0"/>
          <w:bCs w:val="0"/>
          <w:color w:val="000000"/>
        </w:rPr>
        <w:t xml:space="preserve">% were not </w:t>
      </w:r>
      <w:r w:rsidR="00304F04">
        <w:rPr>
          <w:rStyle w:val="Fett"/>
          <w:b w:val="0"/>
          <w:bCs w:val="0"/>
          <w:color w:val="000000"/>
        </w:rPr>
        <w:t>about quality of life or patient-reported complaints</w:t>
      </w:r>
      <w:r w:rsidR="00304F04" w:rsidRPr="008D510B">
        <w:rPr>
          <w:rStyle w:val="Fett"/>
          <w:b w:val="0"/>
          <w:bCs w:val="0"/>
          <w:color w:val="000000"/>
        </w:rPr>
        <w:t>;</w:t>
      </w:r>
      <w:r w:rsidR="00304F04">
        <w:rPr>
          <w:rStyle w:val="Fett"/>
          <w:b w:val="0"/>
          <w:bCs w:val="0"/>
          <w:color w:val="000000"/>
        </w:rPr>
        <w:t xml:space="preserve"> </w:t>
      </w:r>
      <w:r w:rsidR="00304F04">
        <w:rPr>
          <w:color w:val="000000"/>
        </w:rPr>
        <w:t>14.1</w:t>
      </w:r>
      <w:r w:rsidRPr="008D510B">
        <w:rPr>
          <w:color w:val="000000"/>
        </w:rPr>
        <w:t xml:space="preserve">% had no data on human subjects with </w:t>
      </w:r>
      <w:r w:rsidR="00304F04">
        <w:rPr>
          <w:color w:val="000000"/>
        </w:rPr>
        <w:t xml:space="preserve">vertigo, dizziness or </w:t>
      </w:r>
      <w:r w:rsidRPr="008D510B">
        <w:rPr>
          <w:color w:val="000000"/>
        </w:rPr>
        <w:t>ataxia</w:t>
      </w:r>
      <w:r w:rsidRPr="008D510B">
        <w:rPr>
          <w:rStyle w:val="Fett"/>
          <w:b w:val="0"/>
          <w:bCs w:val="0"/>
          <w:color w:val="000000"/>
        </w:rPr>
        <w:t xml:space="preserve">; </w:t>
      </w:r>
      <w:r w:rsidR="00304F04">
        <w:rPr>
          <w:rStyle w:val="Fett"/>
          <w:b w:val="0"/>
          <w:bCs w:val="0"/>
          <w:color w:val="000000"/>
        </w:rPr>
        <w:t>4.7</w:t>
      </w:r>
      <w:r w:rsidR="00304F04" w:rsidRPr="008D510B">
        <w:rPr>
          <w:rStyle w:val="Fett"/>
          <w:b w:val="0"/>
          <w:bCs w:val="0"/>
          <w:color w:val="000000"/>
        </w:rPr>
        <w:t>% had no original data</w:t>
      </w:r>
      <w:r w:rsidR="00304F04">
        <w:rPr>
          <w:rStyle w:val="Fett"/>
          <w:b w:val="0"/>
          <w:bCs w:val="0"/>
          <w:color w:val="000000"/>
        </w:rPr>
        <w:t>; 1.7</w:t>
      </w:r>
      <w:r w:rsidRPr="008D510B">
        <w:rPr>
          <w:rStyle w:val="Fett"/>
          <w:b w:val="0"/>
          <w:bCs w:val="0"/>
          <w:color w:val="000000"/>
        </w:rPr>
        <w:t xml:space="preserve">% were not reporting on the assessment of oculomotor /vestibular features and </w:t>
      </w:r>
      <w:r w:rsidR="00304F04">
        <w:rPr>
          <w:rStyle w:val="Fett"/>
          <w:b w:val="0"/>
          <w:bCs w:val="0"/>
          <w:color w:val="000000"/>
        </w:rPr>
        <w:t>0.1</w:t>
      </w:r>
      <w:r w:rsidRPr="008D510B">
        <w:rPr>
          <w:rStyle w:val="Fett"/>
          <w:b w:val="0"/>
          <w:bCs w:val="0"/>
          <w:color w:val="000000"/>
        </w:rPr>
        <w:t>% were not in English.</w:t>
      </w:r>
      <w:r w:rsidRPr="008D510B">
        <w:rPr>
          <w:b/>
          <w:bCs/>
          <w:color w:val="000000"/>
        </w:rPr>
        <w:t xml:space="preserve"> </w:t>
      </w:r>
    </w:p>
    <w:p w14:paraId="6410DC82" w14:textId="77777777" w:rsidR="008C46AE" w:rsidRPr="008D510B" w:rsidRDefault="008C46AE" w:rsidP="008C46AE">
      <w:pPr>
        <w:jc w:val="both"/>
        <w:rPr>
          <w:color w:val="000000"/>
        </w:rPr>
      </w:pPr>
    </w:p>
    <w:p w14:paraId="75E853F2" w14:textId="2992B71E" w:rsidR="008C46AE" w:rsidRPr="008D510B" w:rsidRDefault="008C46AE" w:rsidP="008C46AE">
      <w:pPr>
        <w:jc w:val="both"/>
        <w:rPr>
          <w:color w:val="000000"/>
        </w:rPr>
      </w:pPr>
      <w:r w:rsidRPr="008D510B">
        <w:rPr>
          <w:color w:val="000000"/>
        </w:rPr>
        <w:lastRenderedPageBreak/>
        <w:t xml:space="preserve">We further examine </w:t>
      </w:r>
      <w:r w:rsidR="00304F04">
        <w:rPr>
          <w:color w:val="000000"/>
        </w:rPr>
        <w:t>1094</w:t>
      </w:r>
      <w:r w:rsidRPr="008D510B">
        <w:rPr>
          <w:color w:val="000000"/>
        </w:rPr>
        <w:t xml:space="preserve"> full manuscripts. After initial screening, there were a total of </w:t>
      </w:r>
      <w:r w:rsidR="00B228D1">
        <w:rPr>
          <w:color w:val="000000"/>
        </w:rPr>
        <w:t>57</w:t>
      </w:r>
      <w:r w:rsidRPr="008D510B">
        <w:rPr>
          <w:color w:val="000000"/>
        </w:rPr>
        <w:t xml:space="preserve"> disagreements about study inclusion for the two reviewers (</w:t>
      </w:r>
      <w:r w:rsidR="00C40745">
        <w:rPr>
          <w:color w:val="000000"/>
        </w:rPr>
        <w:t>RG</w:t>
      </w:r>
      <w:r w:rsidRPr="008D510B">
        <w:rPr>
          <w:color w:val="000000"/>
        </w:rPr>
        <w:t xml:space="preserve"> and AAT, kappa=0.</w:t>
      </w:r>
      <w:r w:rsidR="00B228D1">
        <w:rPr>
          <w:color w:val="000000"/>
        </w:rPr>
        <w:t>89</w:t>
      </w:r>
      <w:r w:rsidRPr="008D510B">
        <w:rPr>
          <w:color w:val="000000"/>
        </w:rPr>
        <w:t xml:space="preserve">). These differences were resolved by discussion. Overall agreement on reason for exclusion was </w:t>
      </w:r>
      <w:r w:rsidR="0091734B">
        <w:rPr>
          <w:color w:val="000000"/>
        </w:rPr>
        <w:t>58.9</w:t>
      </w:r>
      <w:r w:rsidRPr="008D510B">
        <w:rPr>
          <w:color w:val="000000"/>
        </w:rPr>
        <w:t xml:space="preserve">%. </w:t>
      </w:r>
      <w:r w:rsidRPr="008D510B">
        <w:t>We demanded concordance on reason for full-text exclusion and resolved differences by discussion</w:t>
      </w:r>
      <w:r w:rsidRPr="008D510B">
        <w:rPr>
          <w:color w:val="000000"/>
        </w:rPr>
        <w:t xml:space="preserve">. </w:t>
      </w:r>
    </w:p>
    <w:p w14:paraId="6CE95A41" w14:textId="77777777" w:rsidR="008C46AE" w:rsidRPr="008D510B" w:rsidRDefault="008C46AE" w:rsidP="008C46AE">
      <w:pPr>
        <w:jc w:val="both"/>
        <w:rPr>
          <w:color w:val="000000"/>
        </w:rPr>
      </w:pPr>
    </w:p>
    <w:p w14:paraId="4F386CD1" w14:textId="48996EE2" w:rsidR="008C46AE" w:rsidRPr="008D510B" w:rsidRDefault="008C46AE" w:rsidP="008C46AE">
      <w:pPr>
        <w:jc w:val="both"/>
        <w:rPr>
          <w:rStyle w:val="Fett"/>
          <w:b w:val="0"/>
          <w:color w:val="000000"/>
        </w:rPr>
      </w:pPr>
      <w:r w:rsidRPr="008D510B">
        <w:rPr>
          <w:color w:val="000000"/>
        </w:rPr>
        <w:t xml:space="preserve">At the end of our full-text review, </w:t>
      </w:r>
      <w:r w:rsidR="00DB6B6C">
        <w:rPr>
          <w:color w:val="000000"/>
        </w:rPr>
        <w:t>627</w:t>
      </w:r>
      <w:r w:rsidRPr="008D510B">
        <w:rPr>
          <w:color w:val="000000"/>
        </w:rPr>
        <w:t xml:space="preserve"> were excluded and </w:t>
      </w:r>
      <w:r w:rsidR="00DB6B6C">
        <w:rPr>
          <w:color w:val="000000"/>
        </w:rPr>
        <w:t>467</w:t>
      </w:r>
      <w:r w:rsidRPr="008D510B">
        <w:rPr>
          <w:color w:val="000000"/>
        </w:rPr>
        <w:t xml:space="preserve"> were considered eligible (Figure 1, main manuscript). These eligible studies represented </w:t>
      </w:r>
      <w:r w:rsidR="00DB6B6C">
        <w:rPr>
          <w:color w:val="000000"/>
        </w:rPr>
        <w:t>12.7</w:t>
      </w:r>
      <w:r w:rsidRPr="008D510B">
        <w:rPr>
          <w:color w:val="000000"/>
        </w:rPr>
        <w:t>% of the total (n=</w:t>
      </w:r>
      <w:r w:rsidR="00DB6B6C">
        <w:rPr>
          <w:color w:val="000000"/>
        </w:rPr>
        <w:t>3671</w:t>
      </w:r>
      <w:r w:rsidRPr="008D510B">
        <w:rPr>
          <w:color w:val="000000"/>
        </w:rPr>
        <w:t>). Among all full-text manuscripts excluded (</w:t>
      </w:r>
      <w:r w:rsidR="00DB6B6C">
        <w:rPr>
          <w:color w:val="000000"/>
        </w:rPr>
        <w:t>17.1</w:t>
      </w:r>
      <w:r w:rsidRPr="008D510B">
        <w:rPr>
          <w:color w:val="000000"/>
        </w:rPr>
        <w:t xml:space="preserve">%), the distribution of reason for exclusion was as follows: </w:t>
      </w:r>
      <w:r w:rsidR="00DB6B6C">
        <w:rPr>
          <w:rStyle w:val="Fett"/>
          <w:b w:val="0"/>
          <w:bCs w:val="0"/>
          <w:color w:val="000000"/>
        </w:rPr>
        <w:t>60.1</w:t>
      </w:r>
      <w:r w:rsidR="00DB6B6C" w:rsidRPr="008D510B">
        <w:rPr>
          <w:rStyle w:val="Fett"/>
          <w:b w:val="0"/>
          <w:bCs w:val="0"/>
          <w:color w:val="000000"/>
        </w:rPr>
        <w:t xml:space="preserve">% were not </w:t>
      </w:r>
      <w:r w:rsidR="00DB6B6C">
        <w:rPr>
          <w:rStyle w:val="Fett"/>
          <w:b w:val="0"/>
          <w:bCs w:val="0"/>
          <w:color w:val="000000"/>
        </w:rPr>
        <w:t>about quality of life or patient-reported complaints</w:t>
      </w:r>
      <w:r w:rsidR="00DB6B6C" w:rsidRPr="008D510B">
        <w:rPr>
          <w:rStyle w:val="Fett"/>
          <w:b w:val="0"/>
          <w:bCs w:val="0"/>
          <w:color w:val="000000"/>
        </w:rPr>
        <w:t>;</w:t>
      </w:r>
      <w:r w:rsidR="00DB6B6C">
        <w:rPr>
          <w:rStyle w:val="Fett"/>
          <w:b w:val="0"/>
          <w:bCs w:val="0"/>
          <w:color w:val="000000"/>
        </w:rPr>
        <w:t xml:space="preserve"> </w:t>
      </w:r>
      <w:r w:rsidR="00DB6B6C">
        <w:rPr>
          <w:color w:val="000000"/>
        </w:rPr>
        <w:t>12.3</w:t>
      </w:r>
      <w:r w:rsidR="00DB6B6C" w:rsidRPr="008D510B">
        <w:rPr>
          <w:color w:val="000000"/>
        </w:rPr>
        <w:t xml:space="preserve">% had no data on human subjects with </w:t>
      </w:r>
      <w:r w:rsidR="00DB6B6C">
        <w:rPr>
          <w:color w:val="000000"/>
        </w:rPr>
        <w:t xml:space="preserve">vertigo, dizziness or </w:t>
      </w:r>
      <w:r w:rsidR="00DB6B6C" w:rsidRPr="008D510B">
        <w:rPr>
          <w:color w:val="000000"/>
        </w:rPr>
        <w:t>ataxia</w:t>
      </w:r>
      <w:r w:rsidR="00DB6B6C" w:rsidRPr="008D510B">
        <w:rPr>
          <w:rStyle w:val="Fett"/>
          <w:b w:val="0"/>
          <w:bCs w:val="0"/>
          <w:color w:val="000000"/>
        </w:rPr>
        <w:t xml:space="preserve">; </w:t>
      </w:r>
      <w:r w:rsidR="00DB6B6C">
        <w:rPr>
          <w:rStyle w:val="Fett"/>
          <w:b w:val="0"/>
          <w:bCs w:val="0"/>
          <w:color w:val="000000"/>
        </w:rPr>
        <w:t>6.9</w:t>
      </w:r>
      <w:r w:rsidR="00DB6B6C" w:rsidRPr="008D510B">
        <w:rPr>
          <w:rStyle w:val="Fett"/>
          <w:b w:val="0"/>
          <w:bCs w:val="0"/>
          <w:color w:val="000000"/>
        </w:rPr>
        <w:t>% had no original data</w:t>
      </w:r>
      <w:r w:rsidR="00DB6B6C">
        <w:rPr>
          <w:rStyle w:val="Fett"/>
          <w:b w:val="0"/>
          <w:bCs w:val="0"/>
          <w:color w:val="000000"/>
        </w:rPr>
        <w:t>; 17.2</w:t>
      </w:r>
      <w:r w:rsidR="00DB6B6C" w:rsidRPr="008D510B">
        <w:rPr>
          <w:rStyle w:val="Fett"/>
          <w:b w:val="0"/>
          <w:bCs w:val="0"/>
          <w:color w:val="000000"/>
        </w:rPr>
        <w:t>% were not reporting on the assessment of oculomotor /vestibular features</w:t>
      </w:r>
      <w:r w:rsidR="00DB6B6C">
        <w:rPr>
          <w:rStyle w:val="Fett"/>
          <w:b w:val="0"/>
          <w:bCs w:val="0"/>
          <w:color w:val="000000"/>
        </w:rPr>
        <w:t xml:space="preserve">; 2.6% no </w:t>
      </w:r>
      <w:proofErr w:type="spellStart"/>
      <w:r w:rsidR="00DB6B6C">
        <w:rPr>
          <w:rStyle w:val="Fett"/>
          <w:b w:val="0"/>
          <w:bCs w:val="0"/>
          <w:color w:val="000000"/>
        </w:rPr>
        <w:t>fulltext</w:t>
      </w:r>
      <w:proofErr w:type="spellEnd"/>
      <w:r w:rsidR="00DB6B6C">
        <w:rPr>
          <w:rStyle w:val="Fett"/>
          <w:b w:val="0"/>
          <w:bCs w:val="0"/>
          <w:color w:val="000000"/>
        </w:rPr>
        <w:t xml:space="preserve"> manuscript could be retrieved,</w:t>
      </w:r>
      <w:r w:rsidR="00DB6B6C" w:rsidRPr="008D510B">
        <w:rPr>
          <w:rStyle w:val="Fett"/>
          <w:b w:val="0"/>
          <w:bCs w:val="0"/>
          <w:color w:val="000000"/>
        </w:rPr>
        <w:t xml:space="preserve"> and </w:t>
      </w:r>
      <w:r w:rsidR="00DB6B6C">
        <w:rPr>
          <w:rStyle w:val="Fett"/>
          <w:b w:val="0"/>
          <w:bCs w:val="0"/>
          <w:color w:val="000000"/>
        </w:rPr>
        <w:t>1.0</w:t>
      </w:r>
      <w:r w:rsidR="00DB6B6C" w:rsidRPr="008D510B">
        <w:rPr>
          <w:rStyle w:val="Fett"/>
          <w:b w:val="0"/>
          <w:bCs w:val="0"/>
          <w:color w:val="000000"/>
        </w:rPr>
        <w:t>% were not in English.</w:t>
      </w:r>
    </w:p>
    <w:p w14:paraId="42B37BD9" w14:textId="77777777" w:rsidR="008C46AE" w:rsidRPr="008D510B" w:rsidRDefault="008C46AE" w:rsidP="008C46AE">
      <w:pPr>
        <w:jc w:val="both"/>
        <w:rPr>
          <w:rFonts w:eastAsiaTheme="majorEastAsia"/>
        </w:rPr>
      </w:pPr>
    </w:p>
    <w:p w14:paraId="7AA2F936" w14:textId="77777777" w:rsidR="008C46AE" w:rsidRPr="008D510B" w:rsidRDefault="008C46AE" w:rsidP="008C46AE">
      <w:pPr>
        <w:pStyle w:val="berschrift3"/>
        <w:spacing w:before="0"/>
        <w:jc w:val="both"/>
        <w:rPr>
          <w:rFonts w:ascii="Times New Roman" w:hAnsi="Times New Roman" w:cs="Times New Roman"/>
          <w:sz w:val="24"/>
          <w:szCs w:val="24"/>
          <w:lang w:val="en-US"/>
        </w:rPr>
      </w:pPr>
      <w:r w:rsidRPr="008D510B">
        <w:rPr>
          <w:rFonts w:ascii="Times New Roman" w:hAnsi="Times New Roman" w:cs="Times New Roman"/>
          <w:sz w:val="24"/>
          <w:szCs w:val="24"/>
          <w:lang w:val="en-US"/>
        </w:rPr>
        <w:t>Coding schema for abstract and full-text reviews</w:t>
      </w:r>
    </w:p>
    <w:p w14:paraId="593F9476" w14:textId="77777777" w:rsidR="008C46AE" w:rsidRPr="008D510B" w:rsidRDefault="008C46AE" w:rsidP="008C46AE">
      <w:pPr>
        <w:jc w:val="both"/>
        <w:rPr>
          <w:b/>
          <w:color w:val="000000"/>
        </w:rPr>
      </w:pPr>
    </w:p>
    <w:p w14:paraId="772F58D7" w14:textId="7EBC3F43" w:rsidR="008C46AE" w:rsidRPr="008D510B" w:rsidRDefault="008C46AE" w:rsidP="008C46AE">
      <w:pPr>
        <w:jc w:val="both"/>
        <w:rPr>
          <w:rStyle w:val="Fett"/>
          <w:b w:val="0"/>
          <w:bCs w:val="0"/>
          <w:color w:val="000000"/>
        </w:rPr>
      </w:pPr>
      <w:r w:rsidRPr="008D510B">
        <w:rPr>
          <w:rStyle w:val="Fett"/>
          <w:b w:val="0"/>
          <w:bCs w:val="0"/>
          <w:color w:val="000000"/>
        </w:rPr>
        <w:t>All gathered literature was subject to title/abstract screening by two independent reviewers (</w:t>
      </w:r>
      <w:r w:rsidR="00C40745">
        <w:rPr>
          <w:rStyle w:val="Fett"/>
          <w:b w:val="0"/>
          <w:bCs w:val="0"/>
          <w:color w:val="000000"/>
        </w:rPr>
        <w:t>RG</w:t>
      </w:r>
      <w:r w:rsidRPr="008D510B">
        <w:rPr>
          <w:rStyle w:val="Fett"/>
          <w:b w:val="0"/>
          <w:bCs w:val="0"/>
          <w:color w:val="000000"/>
        </w:rPr>
        <w:t xml:space="preserve"> and AAT). Full-text screening was then applied to all citations considered eligible or possibly eligible by at least one reviewer. Two independent reviewers (</w:t>
      </w:r>
      <w:r w:rsidR="00C40745">
        <w:rPr>
          <w:rStyle w:val="Fett"/>
          <w:b w:val="0"/>
          <w:bCs w:val="0"/>
          <w:color w:val="000000"/>
        </w:rPr>
        <w:t>RG</w:t>
      </w:r>
      <w:r w:rsidRPr="008D510B">
        <w:rPr>
          <w:rStyle w:val="Fett"/>
          <w:b w:val="0"/>
          <w:bCs w:val="0"/>
          <w:color w:val="000000"/>
        </w:rPr>
        <w:t xml:space="preserve"> and AAT) determined whether full-text manuscripts were eligible and, if not, provided a reason for exclusion. Differences were resolved by discussion and consensus. AAT completed a hand search of the reference lists of selected articles for additional citations. For citations identified by hand search, the full process was repeated iteratively until no additional manuscripts were found for inclusion. We calculated inter-rater agreement on full-text inclusion using Cohen’s kappa.</w:t>
      </w:r>
      <w:r w:rsidRPr="008D510B">
        <w:rPr>
          <w:rStyle w:val="Fett"/>
          <w:b w:val="0"/>
          <w:bCs w:val="0"/>
          <w:color w:val="000000"/>
        </w:rPr>
        <w:fldChar w:fldCharType="begin"/>
      </w:r>
      <w:r w:rsidR="00597ED9">
        <w:rPr>
          <w:rStyle w:val="Fett"/>
          <w:b w:val="0"/>
          <w:bCs w:val="0"/>
          <w:color w:val="000000"/>
        </w:rPr>
        <w:instrText xml:space="preserve"> ADDIN EN.CITE &lt;EndNote&gt;&lt;Cite&gt;&lt;Author&gt;Cohen&lt;/Author&gt;&lt;Year&gt;1960&lt;/Year&gt;&lt;RecNum&gt;1&lt;/RecNum&gt;&lt;DisplayText&gt;(Cohen, 1960)&lt;/DisplayText&gt;&lt;record&gt;&lt;rec-number&gt;1&lt;/rec-number&gt;&lt;foreign-keys&gt;&lt;key app="EN" db-id="9xwr9e55kr25t7eereqpeas0ezarszx0psw9" timestamp="1676575991"&gt;1&lt;/key&gt;&lt;/foreign-keys&gt;&lt;ref-type name="Journal Article"&gt;17&lt;/ref-type&gt;&lt;contributors&gt;&lt;authors&gt;&lt;author&gt;Cohen, J.&lt;/author&gt;&lt;/authors&gt;&lt;/contributors&gt;&lt;titles&gt;&lt;title&gt;A coefficient for agreement for nominal scales&lt;/title&gt;&lt;secondary-title&gt;Educ Psychol Meas&lt;/secondary-title&gt;&lt;/titles&gt;&lt;periodical&gt;&lt;full-title&gt;Educ Psychol Meas&lt;/full-title&gt;&lt;/periodical&gt;&lt;pages&gt;37-46&lt;/pages&gt;&lt;volume&gt;20&lt;/volume&gt;&lt;dates&gt;&lt;year&gt;1960&lt;/year&gt;&lt;/dates&gt;&lt;urls&gt;&lt;/urls&gt;&lt;/record&gt;&lt;/Cite&gt;&lt;/EndNote&gt;</w:instrText>
      </w:r>
      <w:r w:rsidRPr="008D510B">
        <w:rPr>
          <w:rStyle w:val="Fett"/>
          <w:b w:val="0"/>
          <w:bCs w:val="0"/>
          <w:color w:val="000000"/>
        </w:rPr>
        <w:fldChar w:fldCharType="separate"/>
      </w:r>
      <w:r w:rsidR="00597ED9">
        <w:rPr>
          <w:rStyle w:val="Fett"/>
          <w:b w:val="0"/>
          <w:bCs w:val="0"/>
          <w:noProof/>
          <w:color w:val="000000"/>
        </w:rPr>
        <w:t>(Cohen, 1960)</w:t>
      </w:r>
      <w:r w:rsidRPr="008D510B">
        <w:rPr>
          <w:rStyle w:val="Fett"/>
          <w:b w:val="0"/>
          <w:bCs w:val="0"/>
          <w:color w:val="000000"/>
        </w:rPr>
        <w:fldChar w:fldCharType="end"/>
      </w:r>
      <w:r w:rsidRPr="008D510B">
        <w:rPr>
          <w:rStyle w:val="Fett"/>
          <w:b w:val="0"/>
          <w:bCs w:val="0"/>
          <w:color w:val="000000"/>
        </w:rPr>
        <w:t xml:space="preserve"> A formal review protocol was not registered or posted.</w:t>
      </w:r>
    </w:p>
    <w:p w14:paraId="6E703879" w14:textId="77777777" w:rsidR="008C46AE" w:rsidRPr="008D510B" w:rsidRDefault="008C46AE" w:rsidP="008C46AE">
      <w:pPr>
        <w:jc w:val="both"/>
        <w:rPr>
          <w:rStyle w:val="Fett"/>
          <w:b w:val="0"/>
          <w:color w:val="000000"/>
        </w:rPr>
      </w:pPr>
    </w:p>
    <w:p w14:paraId="62336A46" w14:textId="77777777" w:rsidR="008C46AE" w:rsidRPr="008D510B" w:rsidRDefault="008C46AE" w:rsidP="008C46AE">
      <w:pPr>
        <w:jc w:val="both"/>
        <w:rPr>
          <w:bCs/>
          <w:color w:val="000000"/>
          <w:u w:val="single"/>
        </w:rPr>
      </w:pPr>
      <w:r w:rsidRPr="008D510B">
        <w:rPr>
          <w:bCs/>
          <w:color w:val="000000"/>
          <w:u w:val="single"/>
        </w:rPr>
        <w:t>Abstract Review Coding Rules</w:t>
      </w:r>
    </w:p>
    <w:p w14:paraId="6980E40E" w14:textId="77777777" w:rsidR="008C46AE" w:rsidRPr="008D510B" w:rsidRDefault="008C46AE" w:rsidP="008C46AE">
      <w:pPr>
        <w:jc w:val="both"/>
        <w:rPr>
          <w:color w:val="000000"/>
        </w:rPr>
      </w:pPr>
      <w:r w:rsidRPr="008D510B">
        <w:rPr>
          <w:color w:val="000000"/>
        </w:rPr>
        <w:t>1) Coding status options are “Yes”, “No”, “Maybe”. We will review full text of “Yes” and “Maybe”. The purpose of “Yes” vs. “Maybe” is to look at kappa values agreement on “Yes” vs. “Maybe”.</w:t>
      </w:r>
    </w:p>
    <w:p w14:paraId="10B9EB1E" w14:textId="77777777" w:rsidR="008C46AE" w:rsidRPr="008D510B" w:rsidRDefault="008C46AE" w:rsidP="008C46AE">
      <w:pPr>
        <w:jc w:val="both"/>
        <w:rPr>
          <w:color w:val="000000"/>
        </w:rPr>
      </w:pPr>
      <w:r w:rsidRPr="008D510B">
        <w:rPr>
          <w:color w:val="000000"/>
        </w:rPr>
        <w:t>2) Err on the side of “Maybe” if there is doubt about a “No”; this is more conservative.</w:t>
      </w:r>
    </w:p>
    <w:p w14:paraId="477DA54E" w14:textId="77777777" w:rsidR="008C46AE" w:rsidRPr="008D510B" w:rsidRDefault="008C46AE" w:rsidP="008C46AE">
      <w:pPr>
        <w:jc w:val="both"/>
        <w:rPr>
          <w:color w:val="000000"/>
        </w:rPr>
      </w:pPr>
      <w:r w:rsidRPr="008D510B">
        <w:rPr>
          <w:color w:val="000000"/>
        </w:rPr>
        <w:t xml:space="preserve">3) If there is only a title, exclude it only if you feel confident; </w:t>
      </w:r>
      <w:proofErr w:type="gramStart"/>
      <w:r w:rsidRPr="008D510B">
        <w:rPr>
          <w:color w:val="000000"/>
        </w:rPr>
        <w:t>otherwise</w:t>
      </w:r>
      <w:proofErr w:type="gramEnd"/>
      <w:r w:rsidRPr="008D510B">
        <w:rPr>
          <w:color w:val="000000"/>
        </w:rPr>
        <w:t xml:space="preserve"> code it as “Maybe”.</w:t>
      </w:r>
    </w:p>
    <w:p w14:paraId="3A3B7F26" w14:textId="77777777" w:rsidR="008C46AE" w:rsidRPr="008D510B" w:rsidRDefault="008C46AE" w:rsidP="008C46AE">
      <w:pPr>
        <w:jc w:val="both"/>
        <w:rPr>
          <w:color w:val="000000"/>
        </w:rPr>
      </w:pPr>
      <w:r w:rsidRPr="008D510B">
        <w:rPr>
          <w:color w:val="000000"/>
        </w:rPr>
        <w:t>4) Each "No" or "Maybe" should be coded with a reason for exclusion.</w:t>
      </w:r>
    </w:p>
    <w:p w14:paraId="1789982B" w14:textId="77777777" w:rsidR="008C46AE" w:rsidRPr="008D510B" w:rsidRDefault="008C46AE" w:rsidP="008C46AE">
      <w:pPr>
        <w:jc w:val="both"/>
        <w:rPr>
          <w:color w:val="000000"/>
        </w:rPr>
      </w:pPr>
      <w:r w:rsidRPr="008D510B">
        <w:rPr>
          <w:color w:val="000000"/>
        </w:rPr>
        <w:t xml:space="preserve">5) Reasons for exclusion are listed below 0-5. Go through them in order from 0 to 5 for each abstract, coding the first reason for exclusion only, not multiple reasons for exclusion. Only code "0" for “not English” if you are </w:t>
      </w:r>
      <w:proofErr w:type="gramStart"/>
      <w:r w:rsidRPr="008D510B">
        <w:rPr>
          <w:color w:val="000000"/>
        </w:rPr>
        <w:t>sure</w:t>
      </w:r>
      <w:proofErr w:type="gramEnd"/>
      <w:r w:rsidRPr="008D510B">
        <w:rPr>
          <w:color w:val="000000"/>
        </w:rPr>
        <w:t xml:space="preserve"> it is “not English”.</w:t>
      </w:r>
    </w:p>
    <w:p w14:paraId="149F686A" w14:textId="77777777" w:rsidR="008C46AE" w:rsidRPr="008D510B" w:rsidRDefault="008C46AE" w:rsidP="008C46AE">
      <w:pPr>
        <w:jc w:val="both"/>
        <w:rPr>
          <w:color w:val="000000"/>
        </w:rPr>
      </w:pPr>
      <w:r w:rsidRPr="008D510B">
        <w:rPr>
          <w:color w:val="000000"/>
        </w:rPr>
        <w:t>6) Two independent raters will code reason for exclusion, but we will not mandate agreement on exclusion reason at the abstract level.</w:t>
      </w:r>
    </w:p>
    <w:p w14:paraId="4275663A" w14:textId="77777777" w:rsidR="008C46AE" w:rsidRPr="008D510B" w:rsidRDefault="008C46AE" w:rsidP="008C46AE">
      <w:pPr>
        <w:jc w:val="both"/>
        <w:rPr>
          <w:color w:val="000000"/>
        </w:rPr>
      </w:pPr>
      <w:r w:rsidRPr="008D510B">
        <w:rPr>
          <w:color w:val="000000"/>
        </w:rPr>
        <w:t xml:space="preserve">7) Occasionally an abstract seems inappropriate for another reason. In such cases, code as “other”. There should be few “other” </w:t>
      </w:r>
      <w:proofErr w:type="spellStart"/>
      <w:r w:rsidRPr="008D510B">
        <w:rPr>
          <w:color w:val="000000"/>
        </w:rPr>
        <w:t>codings</w:t>
      </w:r>
      <w:proofErr w:type="spellEnd"/>
      <w:r w:rsidRPr="008D510B">
        <w:rPr>
          <w:color w:val="000000"/>
        </w:rPr>
        <w:t>.</w:t>
      </w:r>
    </w:p>
    <w:p w14:paraId="2CDF8FFF" w14:textId="77777777" w:rsidR="008C46AE" w:rsidRPr="008D510B" w:rsidRDefault="008C46AE" w:rsidP="008C46AE">
      <w:pPr>
        <w:jc w:val="both"/>
        <w:rPr>
          <w:b/>
          <w:color w:val="000000"/>
        </w:rPr>
      </w:pPr>
    </w:p>
    <w:p w14:paraId="17A3E3B5" w14:textId="77777777" w:rsidR="008C46AE" w:rsidRPr="008D510B" w:rsidRDefault="008C46AE" w:rsidP="008C46AE">
      <w:pPr>
        <w:spacing w:after="200" w:line="276" w:lineRule="auto"/>
        <w:jc w:val="both"/>
        <w:rPr>
          <w:bCs/>
          <w:color w:val="000000"/>
          <w:u w:val="single"/>
        </w:rPr>
      </w:pPr>
      <w:r w:rsidRPr="008D510B">
        <w:rPr>
          <w:bCs/>
          <w:color w:val="000000"/>
          <w:u w:val="single"/>
        </w:rPr>
        <w:t>Abstract Reasons for Exclusion</w:t>
      </w:r>
    </w:p>
    <w:tbl>
      <w:tblPr>
        <w:tblW w:w="9520" w:type="dxa"/>
        <w:tblInd w:w="98" w:type="dxa"/>
        <w:tblLook w:val="04A0" w:firstRow="1" w:lastRow="0" w:firstColumn="1" w:lastColumn="0" w:noHBand="0" w:noVBand="1"/>
      </w:tblPr>
      <w:tblGrid>
        <w:gridCol w:w="1120"/>
        <w:gridCol w:w="1340"/>
        <w:gridCol w:w="7060"/>
      </w:tblGrid>
      <w:tr w:rsidR="008C46AE" w:rsidRPr="008D510B" w14:paraId="0C7C86D9" w14:textId="77777777" w:rsidTr="009E5F5A">
        <w:trPr>
          <w:trHeight w:val="799"/>
        </w:trPr>
        <w:tc>
          <w:tcPr>
            <w:tcW w:w="1120" w:type="dxa"/>
            <w:tcBorders>
              <w:top w:val="single" w:sz="8" w:space="0" w:color="auto"/>
              <w:left w:val="single" w:sz="8" w:space="0" w:color="auto"/>
              <w:bottom w:val="single" w:sz="8" w:space="0" w:color="auto"/>
              <w:right w:val="single" w:sz="8" w:space="0" w:color="auto"/>
            </w:tcBorders>
            <w:shd w:val="clear" w:color="auto" w:fill="auto"/>
          </w:tcPr>
          <w:p w14:paraId="056367D5" w14:textId="77777777" w:rsidR="008C46AE" w:rsidRPr="008D510B" w:rsidRDefault="008C46AE" w:rsidP="009E5F5A">
            <w:pPr>
              <w:rPr>
                <w:color w:val="000000"/>
              </w:rPr>
            </w:pPr>
            <w:r w:rsidRPr="008D510B">
              <w:rPr>
                <w:color w:val="000000"/>
              </w:rPr>
              <w:t>0</w:t>
            </w:r>
          </w:p>
        </w:tc>
        <w:tc>
          <w:tcPr>
            <w:tcW w:w="1340" w:type="dxa"/>
            <w:tcBorders>
              <w:top w:val="single" w:sz="8" w:space="0" w:color="auto"/>
              <w:left w:val="nil"/>
              <w:bottom w:val="single" w:sz="8" w:space="0" w:color="auto"/>
              <w:right w:val="single" w:sz="8" w:space="0" w:color="auto"/>
            </w:tcBorders>
            <w:shd w:val="clear" w:color="auto" w:fill="auto"/>
          </w:tcPr>
          <w:p w14:paraId="5192F805" w14:textId="77777777" w:rsidR="008C46AE" w:rsidRPr="008D510B" w:rsidRDefault="008C46AE" w:rsidP="009E5F5A">
            <w:pPr>
              <w:rPr>
                <w:color w:val="000000"/>
              </w:rPr>
            </w:pPr>
            <w:r w:rsidRPr="008D510B">
              <w:rPr>
                <w:color w:val="000000"/>
              </w:rPr>
              <w:t>not English</w:t>
            </w:r>
          </w:p>
        </w:tc>
        <w:tc>
          <w:tcPr>
            <w:tcW w:w="7060" w:type="dxa"/>
            <w:tcBorders>
              <w:top w:val="single" w:sz="8" w:space="0" w:color="auto"/>
              <w:left w:val="nil"/>
              <w:bottom w:val="single" w:sz="8" w:space="0" w:color="auto"/>
              <w:right w:val="single" w:sz="8" w:space="0" w:color="auto"/>
            </w:tcBorders>
            <w:shd w:val="clear" w:color="auto" w:fill="auto"/>
          </w:tcPr>
          <w:p w14:paraId="0E41C703" w14:textId="77777777" w:rsidR="008C46AE" w:rsidRPr="008D510B" w:rsidRDefault="008C46AE" w:rsidP="009E5F5A">
            <w:pPr>
              <w:rPr>
                <w:color w:val="000000"/>
              </w:rPr>
            </w:pPr>
            <w:r w:rsidRPr="008D510B">
              <w:rPr>
                <w:color w:val="000000"/>
              </w:rPr>
              <w:t>manuscript is not in English</w:t>
            </w:r>
          </w:p>
        </w:tc>
      </w:tr>
      <w:tr w:rsidR="008C46AE" w:rsidRPr="008D510B" w14:paraId="50AD49DF" w14:textId="77777777" w:rsidTr="009E5F5A">
        <w:trPr>
          <w:trHeight w:val="799"/>
        </w:trPr>
        <w:tc>
          <w:tcPr>
            <w:tcW w:w="1120" w:type="dxa"/>
            <w:tcBorders>
              <w:top w:val="nil"/>
              <w:left w:val="single" w:sz="8" w:space="0" w:color="auto"/>
              <w:bottom w:val="single" w:sz="8" w:space="0" w:color="auto"/>
              <w:right w:val="single" w:sz="8" w:space="0" w:color="auto"/>
            </w:tcBorders>
            <w:shd w:val="clear" w:color="auto" w:fill="auto"/>
          </w:tcPr>
          <w:p w14:paraId="204DF49F" w14:textId="77777777" w:rsidR="008C46AE" w:rsidRPr="008D510B" w:rsidRDefault="008C46AE" w:rsidP="009E5F5A">
            <w:pPr>
              <w:rPr>
                <w:color w:val="000000"/>
              </w:rPr>
            </w:pPr>
            <w:r w:rsidRPr="008D510B">
              <w:rPr>
                <w:color w:val="000000"/>
              </w:rPr>
              <w:t>1</w:t>
            </w:r>
          </w:p>
        </w:tc>
        <w:tc>
          <w:tcPr>
            <w:tcW w:w="1340" w:type="dxa"/>
            <w:tcBorders>
              <w:top w:val="nil"/>
              <w:left w:val="nil"/>
              <w:bottom w:val="single" w:sz="8" w:space="0" w:color="auto"/>
              <w:right w:val="single" w:sz="8" w:space="0" w:color="auto"/>
            </w:tcBorders>
            <w:shd w:val="clear" w:color="auto" w:fill="auto"/>
          </w:tcPr>
          <w:p w14:paraId="69AE3DAB" w14:textId="77777777" w:rsidR="008C46AE" w:rsidRPr="008D510B" w:rsidRDefault="008C46AE" w:rsidP="009E5F5A">
            <w:pPr>
              <w:rPr>
                <w:color w:val="000000"/>
              </w:rPr>
            </w:pPr>
            <w:r w:rsidRPr="008D510B">
              <w:rPr>
                <w:color w:val="000000"/>
              </w:rPr>
              <w:t>no data</w:t>
            </w:r>
          </w:p>
        </w:tc>
        <w:tc>
          <w:tcPr>
            <w:tcW w:w="7060" w:type="dxa"/>
            <w:tcBorders>
              <w:top w:val="nil"/>
              <w:left w:val="nil"/>
              <w:bottom w:val="single" w:sz="8" w:space="0" w:color="auto"/>
              <w:right w:val="single" w:sz="8" w:space="0" w:color="auto"/>
            </w:tcBorders>
            <w:shd w:val="clear" w:color="auto" w:fill="auto"/>
          </w:tcPr>
          <w:p w14:paraId="5C80B504" w14:textId="77777777" w:rsidR="008C46AE" w:rsidRPr="008D510B" w:rsidRDefault="008C46AE" w:rsidP="009E5F5A">
            <w:pPr>
              <w:rPr>
                <w:color w:val="000000"/>
              </w:rPr>
            </w:pPr>
            <w:r w:rsidRPr="008D510B">
              <w:rPr>
                <w:color w:val="000000"/>
              </w:rPr>
              <w:t>review paper; no original patient data</w:t>
            </w:r>
          </w:p>
        </w:tc>
      </w:tr>
      <w:tr w:rsidR="008C46AE" w:rsidRPr="008D510B" w14:paraId="59987733" w14:textId="77777777" w:rsidTr="009E5F5A">
        <w:trPr>
          <w:trHeight w:val="799"/>
        </w:trPr>
        <w:tc>
          <w:tcPr>
            <w:tcW w:w="1120" w:type="dxa"/>
            <w:tcBorders>
              <w:top w:val="nil"/>
              <w:left w:val="single" w:sz="8" w:space="0" w:color="auto"/>
              <w:bottom w:val="single" w:sz="8" w:space="0" w:color="auto"/>
              <w:right w:val="single" w:sz="8" w:space="0" w:color="auto"/>
            </w:tcBorders>
            <w:shd w:val="clear" w:color="auto" w:fill="auto"/>
          </w:tcPr>
          <w:p w14:paraId="22F7CDAD" w14:textId="77777777" w:rsidR="008C46AE" w:rsidRPr="008D510B" w:rsidRDefault="008C46AE" w:rsidP="009E5F5A">
            <w:pPr>
              <w:rPr>
                <w:color w:val="000000"/>
              </w:rPr>
            </w:pPr>
            <w:r w:rsidRPr="008D510B">
              <w:rPr>
                <w:color w:val="000000"/>
              </w:rPr>
              <w:lastRenderedPageBreak/>
              <w:t>2</w:t>
            </w:r>
          </w:p>
        </w:tc>
        <w:tc>
          <w:tcPr>
            <w:tcW w:w="1340" w:type="dxa"/>
            <w:tcBorders>
              <w:top w:val="nil"/>
              <w:left w:val="nil"/>
              <w:bottom w:val="single" w:sz="8" w:space="0" w:color="auto"/>
              <w:right w:val="single" w:sz="8" w:space="0" w:color="auto"/>
            </w:tcBorders>
            <w:shd w:val="clear" w:color="auto" w:fill="auto"/>
          </w:tcPr>
          <w:p w14:paraId="179A1B46" w14:textId="79D096B2" w:rsidR="008C46AE" w:rsidRPr="008D510B" w:rsidRDefault="008C46AE" w:rsidP="009E5F5A">
            <w:pPr>
              <w:rPr>
                <w:color w:val="000000"/>
              </w:rPr>
            </w:pPr>
            <w:r w:rsidRPr="008D510B">
              <w:rPr>
                <w:color w:val="000000"/>
              </w:rPr>
              <w:t>not ataxia</w:t>
            </w:r>
            <w:r w:rsidR="00A354D4">
              <w:rPr>
                <w:color w:val="000000"/>
              </w:rPr>
              <w:t xml:space="preserve"> / vertigo / dizziness</w:t>
            </w:r>
          </w:p>
        </w:tc>
        <w:tc>
          <w:tcPr>
            <w:tcW w:w="7060" w:type="dxa"/>
            <w:tcBorders>
              <w:top w:val="nil"/>
              <w:left w:val="nil"/>
              <w:bottom w:val="single" w:sz="8" w:space="0" w:color="auto"/>
              <w:right w:val="single" w:sz="8" w:space="0" w:color="auto"/>
            </w:tcBorders>
            <w:shd w:val="clear" w:color="auto" w:fill="auto"/>
          </w:tcPr>
          <w:p w14:paraId="0E151377" w14:textId="523217AF" w:rsidR="008C46AE" w:rsidRPr="008D510B" w:rsidRDefault="00A354D4" w:rsidP="009E5F5A">
            <w:pPr>
              <w:rPr>
                <w:color w:val="000000"/>
              </w:rPr>
            </w:pPr>
            <w:r w:rsidRPr="00A354D4">
              <w:rPr>
                <w:color w:val="000000"/>
              </w:rPr>
              <w:t>no data on human subjects with ataxia, vertigo or dizziness</w:t>
            </w:r>
          </w:p>
        </w:tc>
      </w:tr>
      <w:tr w:rsidR="008C46AE" w:rsidRPr="008D510B" w14:paraId="7AAD755D" w14:textId="77777777" w:rsidTr="009E5F5A">
        <w:trPr>
          <w:trHeight w:val="799"/>
        </w:trPr>
        <w:tc>
          <w:tcPr>
            <w:tcW w:w="1120" w:type="dxa"/>
            <w:tcBorders>
              <w:top w:val="nil"/>
              <w:left w:val="single" w:sz="8" w:space="0" w:color="auto"/>
              <w:bottom w:val="single" w:sz="8" w:space="0" w:color="auto"/>
              <w:right w:val="single" w:sz="8" w:space="0" w:color="auto"/>
            </w:tcBorders>
            <w:shd w:val="clear" w:color="auto" w:fill="auto"/>
          </w:tcPr>
          <w:p w14:paraId="4921B77E" w14:textId="77777777" w:rsidR="008C46AE" w:rsidRPr="008D510B" w:rsidRDefault="008C46AE" w:rsidP="009E5F5A">
            <w:pPr>
              <w:rPr>
                <w:color w:val="000000"/>
              </w:rPr>
            </w:pPr>
            <w:r w:rsidRPr="008D510B">
              <w:rPr>
                <w:color w:val="000000"/>
              </w:rPr>
              <w:t>3</w:t>
            </w:r>
          </w:p>
        </w:tc>
        <w:tc>
          <w:tcPr>
            <w:tcW w:w="1340" w:type="dxa"/>
            <w:tcBorders>
              <w:top w:val="nil"/>
              <w:left w:val="nil"/>
              <w:bottom w:val="single" w:sz="8" w:space="0" w:color="auto"/>
              <w:right w:val="single" w:sz="8" w:space="0" w:color="auto"/>
            </w:tcBorders>
            <w:shd w:val="clear" w:color="auto" w:fill="auto"/>
          </w:tcPr>
          <w:p w14:paraId="2D89400E" w14:textId="3CFFD0CF" w:rsidR="008C46AE" w:rsidRPr="008D510B" w:rsidRDefault="00A354D4" w:rsidP="009E5F5A">
            <w:pPr>
              <w:rPr>
                <w:color w:val="000000"/>
              </w:rPr>
            </w:pPr>
            <w:r>
              <w:rPr>
                <w:color w:val="000000"/>
              </w:rPr>
              <w:t>Not about quality of life</w:t>
            </w:r>
          </w:p>
        </w:tc>
        <w:tc>
          <w:tcPr>
            <w:tcW w:w="7060" w:type="dxa"/>
            <w:tcBorders>
              <w:top w:val="nil"/>
              <w:left w:val="nil"/>
              <w:bottom w:val="single" w:sz="8" w:space="0" w:color="auto"/>
              <w:right w:val="single" w:sz="8" w:space="0" w:color="auto"/>
            </w:tcBorders>
            <w:shd w:val="clear" w:color="auto" w:fill="auto"/>
          </w:tcPr>
          <w:p w14:paraId="056B266A" w14:textId="67BD91C1" w:rsidR="008C46AE" w:rsidRPr="008D510B" w:rsidRDefault="00A354D4" w:rsidP="009E5F5A">
            <w:pPr>
              <w:rPr>
                <w:color w:val="000000"/>
              </w:rPr>
            </w:pPr>
            <w:r w:rsidRPr="00A354D4">
              <w:rPr>
                <w:color w:val="000000"/>
              </w:rPr>
              <w:t>not about quality of life or patient-reported complaints</w:t>
            </w:r>
          </w:p>
        </w:tc>
      </w:tr>
      <w:tr w:rsidR="008C46AE" w:rsidRPr="008D510B" w14:paraId="06F034B2" w14:textId="77777777" w:rsidTr="009E5F5A">
        <w:trPr>
          <w:trHeight w:val="799"/>
        </w:trPr>
        <w:tc>
          <w:tcPr>
            <w:tcW w:w="1120" w:type="dxa"/>
            <w:tcBorders>
              <w:top w:val="nil"/>
              <w:left w:val="single" w:sz="8" w:space="0" w:color="auto"/>
              <w:bottom w:val="single" w:sz="8" w:space="0" w:color="auto"/>
              <w:right w:val="single" w:sz="8" w:space="0" w:color="auto"/>
            </w:tcBorders>
            <w:shd w:val="clear" w:color="auto" w:fill="auto"/>
          </w:tcPr>
          <w:p w14:paraId="6B7C6E36" w14:textId="77777777" w:rsidR="008C46AE" w:rsidRPr="008D510B" w:rsidRDefault="008C46AE" w:rsidP="009E5F5A">
            <w:pPr>
              <w:rPr>
                <w:color w:val="000000"/>
              </w:rPr>
            </w:pPr>
            <w:r w:rsidRPr="008D510B">
              <w:rPr>
                <w:color w:val="000000"/>
              </w:rPr>
              <w:t>4</w:t>
            </w:r>
          </w:p>
        </w:tc>
        <w:tc>
          <w:tcPr>
            <w:tcW w:w="1340" w:type="dxa"/>
            <w:tcBorders>
              <w:top w:val="nil"/>
              <w:left w:val="nil"/>
              <w:bottom w:val="single" w:sz="8" w:space="0" w:color="auto"/>
              <w:right w:val="single" w:sz="8" w:space="0" w:color="auto"/>
            </w:tcBorders>
            <w:shd w:val="clear" w:color="auto" w:fill="auto"/>
          </w:tcPr>
          <w:p w14:paraId="1F9D1085" w14:textId="22ACAB38" w:rsidR="008C46AE" w:rsidRPr="008D510B" w:rsidRDefault="008C46AE" w:rsidP="009E5F5A">
            <w:pPr>
              <w:rPr>
                <w:color w:val="000000"/>
              </w:rPr>
            </w:pPr>
            <w:r w:rsidRPr="008D510B">
              <w:rPr>
                <w:color w:val="000000"/>
              </w:rPr>
              <w:t xml:space="preserve">not </w:t>
            </w:r>
            <w:r w:rsidR="00A354D4">
              <w:rPr>
                <w:color w:val="000000"/>
              </w:rPr>
              <w:t>vestibular / oculomotor</w:t>
            </w:r>
          </w:p>
        </w:tc>
        <w:tc>
          <w:tcPr>
            <w:tcW w:w="7060" w:type="dxa"/>
            <w:tcBorders>
              <w:top w:val="nil"/>
              <w:left w:val="nil"/>
              <w:bottom w:val="single" w:sz="8" w:space="0" w:color="auto"/>
              <w:right w:val="single" w:sz="8" w:space="0" w:color="auto"/>
            </w:tcBorders>
            <w:shd w:val="clear" w:color="auto" w:fill="auto"/>
          </w:tcPr>
          <w:p w14:paraId="678F7E61" w14:textId="50ED8A51" w:rsidR="008C46AE" w:rsidRPr="008D510B" w:rsidRDefault="00A354D4" w:rsidP="009E5F5A">
            <w:pPr>
              <w:rPr>
                <w:color w:val="000000"/>
              </w:rPr>
            </w:pPr>
            <w:r w:rsidRPr="00A354D4">
              <w:rPr>
                <w:color w:val="000000"/>
              </w:rPr>
              <w:t>not reporting on vestibular / oculomotor domains</w:t>
            </w:r>
          </w:p>
        </w:tc>
      </w:tr>
      <w:tr w:rsidR="008C46AE" w:rsidRPr="008D510B" w14:paraId="7ACF4A38" w14:textId="77777777" w:rsidTr="009E5F5A">
        <w:trPr>
          <w:trHeight w:val="799"/>
        </w:trPr>
        <w:tc>
          <w:tcPr>
            <w:tcW w:w="1120" w:type="dxa"/>
            <w:tcBorders>
              <w:top w:val="nil"/>
              <w:left w:val="single" w:sz="8" w:space="0" w:color="auto"/>
              <w:bottom w:val="single" w:sz="8" w:space="0" w:color="auto"/>
              <w:right w:val="single" w:sz="8" w:space="0" w:color="auto"/>
            </w:tcBorders>
            <w:shd w:val="clear" w:color="auto" w:fill="auto"/>
          </w:tcPr>
          <w:p w14:paraId="482241E4" w14:textId="77777777" w:rsidR="008C46AE" w:rsidRPr="008D510B" w:rsidRDefault="008C46AE" w:rsidP="009E5F5A">
            <w:pPr>
              <w:rPr>
                <w:color w:val="000000"/>
              </w:rPr>
            </w:pPr>
            <w:r w:rsidRPr="008D510B">
              <w:rPr>
                <w:color w:val="000000"/>
              </w:rPr>
              <w:t>5</w:t>
            </w:r>
          </w:p>
        </w:tc>
        <w:tc>
          <w:tcPr>
            <w:tcW w:w="1340" w:type="dxa"/>
            <w:tcBorders>
              <w:top w:val="nil"/>
              <w:left w:val="nil"/>
              <w:bottom w:val="single" w:sz="8" w:space="0" w:color="auto"/>
              <w:right w:val="single" w:sz="8" w:space="0" w:color="auto"/>
            </w:tcBorders>
            <w:shd w:val="clear" w:color="auto" w:fill="auto"/>
          </w:tcPr>
          <w:p w14:paraId="6546AEA1" w14:textId="77777777" w:rsidR="008C46AE" w:rsidRPr="008D510B" w:rsidRDefault="008C46AE" w:rsidP="009E5F5A">
            <w:pPr>
              <w:rPr>
                <w:color w:val="000000"/>
              </w:rPr>
            </w:pPr>
            <w:r w:rsidRPr="008D510B">
              <w:rPr>
                <w:color w:val="000000"/>
              </w:rPr>
              <w:t>other</w:t>
            </w:r>
          </w:p>
        </w:tc>
        <w:tc>
          <w:tcPr>
            <w:tcW w:w="7060" w:type="dxa"/>
            <w:tcBorders>
              <w:top w:val="nil"/>
              <w:left w:val="nil"/>
              <w:bottom w:val="single" w:sz="8" w:space="0" w:color="auto"/>
              <w:right w:val="single" w:sz="8" w:space="0" w:color="auto"/>
            </w:tcBorders>
            <w:shd w:val="clear" w:color="auto" w:fill="auto"/>
          </w:tcPr>
          <w:p w14:paraId="63A6386B" w14:textId="77777777" w:rsidR="008C46AE" w:rsidRPr="008D510B" w:rsidRDefault="008C46AE" w:rsidP="009E5F5A">
            <w:pPr>
              <w:rPr>
                <w:color w:val="000000"/>
              </w:rPr>
            </w:pPr>
            <w:r w:rsidRPr="008D510B">
              <w:rPr>
                <w:color w:val="000000"/>
              </w:rPr>
              <w:t>any other reason abstract is not included</w:t>
            </w:r>
          </w:p>
        </w:tc>
      </w:tr>
    </w:tbl>
    <w:p w14:paraId="7D5F2F04" w14:textId="77777777" w:rsidR="008C46AE" w:rsidRPr="008D510B" w:rsidRDefault="008C46AE" w:rsidP="008C46AE"/>
    <w:p w14:paraId="479BA337" w14:textId="77777777" w:rsidR="008C46AE" w:rsidRPr="008D510B" w:rsidRDefault="008C46AE" w:rsidP="008C46AE">
      <w:pPr>
        <w:jc w:val="both"/>
        <w:rPr>
          <w:bCs/>
          <w:color w:val="000000"/>
          <w:u w:val="single"/>
        </w:rPr>
      </w:pPr>
    </w:p>
    <w:p w14:paraId="38D14B13" w14:textId="77777777" w:rsidR="008C46AE" w:rsidRPr="008D510B" w:rsidRDefault="008C46AE" w:rsidP="008C46AE">
      <w:pPr>
        <w:spacing w:line="276" w:lineRule="auto"/>
        <w:jc w:val="both"/>
        <w:rPr>
          <w:b/>
          <w:bCs/>
          <w:color w:val="000000"/>
        </w:rPr>
      </w:pPr>
      <w:r w:rsidRPr="008D510B">
        <w:rPr>
          <w:bCs/>
          <w:color w:val="000000"/>
          <w:u w:val="single"/>
        </w:rPr>
        <w:t>Full-Text Review Coding Rules</w:t>
      </w:r>
    </w:p>
    <w:p w14:paraId="5039E66D" w14:textId="77777777" w:rsidR="008C46AE" w:rsidRPr="008D510B" w:rsidRDefault="008C46AE" w:rsidP="008C46AE">
      <w:pPr>
        <w:jc w:val="both"/>
        <w:rPr>
          <w:color w:val="000000"/>
        </w:rPr>
      </w:pPr>
      <w:r w:rsidRPr="008D510B">
        <w:rPr>
          <w:color w:val="000000"/>
        </w:rPr>
        <w:t>1) Coding status options are “Yes” or “No”.</w:t>
      </w:r>
    </w:p>
    <w:p w14:paraId="5849CB39" w14:textId="365805D0" w:rsidR="008C46AE" w:rsidRPr="008D510B" w:rsidRDefault="008C46AE" w:rsidP="008C46AE">
      <w:pPr>
        <w:jc w:val="both"/>
        <w:rPr>
          <w:color w:val="000000"/>
        </w:rPr>
      </w:pPr>
      <w:r w:rsidRPr="008D510B">
        <w:rPr>
          <w:color w:val="000000"/>
        </w:rPr>
        <w:t xml:space="preserve">2) Each </w:t>
      </w:r>
      <w:r w:rsidR="00A354D4">
        <w:rPr>
          <w:color w:val="000000"/>
        </w:rPr>
        <w:t>“</w:t>
      </w:r>
      <w:r w:rsidRPr="008D510B">
        <w:rPr>
          <w:color w:val="000000"/>
        </w:rPr>
        <w:t>No</w:t>
      </w:r>
      <w:r w:rsidR="00A354D4">
        <w:rPr>
          <w:color w:val="000000"/>
        </w:rPr>
        <w:t>”</w:t>
      </w:r>
      <w:r w:rsidRPr="008D510B">
        <w:rPr>
          <w:color w:val="000000"/>
        </w:rPr>
        <w:t xml:space="preserve"> should be coded with a reason for exclusion.</w:t>
      </w:r>
    </w:p>
    <w:p w14:paraId="22062B91" w14:textId="305B94D2" w:rsidR="008C46AE" w:rsidRPr="008D510B" w:rsidRDefault="008C46AE" w:rsidP="008C46AE">
      <w:pPr>
        <w:jc w:val="both"/>
        <w:rPr>
          <w:color w:val="000000"/>
        </w:rPr>
      </w:pPr>
      <w:r w:rsidRPr="008D510B">
        <w:rPr>
          <w:color w:val="000000"/>
        </w:rPr>
        <w:t>3) Reasons for exclusion are listed below 0-</w:t>
      </w:r>
      <w:r w:rsidR="00CE1B9B">
        <w:rPr>
          <w:color w:val="000000"/>
        </w:rPr>
        <w:t>5</w:t>
      </w:r>
      <w:r w:rsidRPr="008D510B">
        <w:rPr>
          <w:color w:val="000000"/>
        </w:rPr>
        <w:t xml:space="preserve">. Go through them in order from 0 to </w:t>
      </w:r>
      <w:r w:rsidR="00CE1B9B">
        <w:rPr>
          <w:color w:val="000000"/>
        </w:rPr>
        <w:t>5</w:t>
      </w:r>
      <w:r w:rsidRPr="008D510B">
        <w:rPr>
          <w:color w:val="000000"/>
        </w:rPr>
        <w:t xml:space="preserve"> for each full text, coding the first reason for exclusion only, not multiple reasons for exclusion.</w:t>
      </w:r>
    </w:p>
    <w:p w14:paraId="61C215B1" w14:textId="77777777" w:rsidR="008C46AE" w:rsidRPr="008D510B" w:rsidRDefault="008C46AE" w:rsidP="008C46AE">
      <w:pPr>
        <w:jc w:val="both"/>
        <w:rPr>
          <w:color w:val="000000"/>
        </w:rPr>
      </w:pPr>
      <w:r w:rsidRPr="008D510B">
        <w:rPr>
          <w:color w:val="000000"/>
        </w:rPr>
        <w:t>4) Two independent raters will code reason for exclusion, and we will mandate agreement on exclusion reason at the full text level.</w:t>
      </w:r>
    </w:p>
    <w:p w14:paraId="6DC71418" w14:textId="77777777" w:rsidR="008C46AE" w:rsidRPr="008D510B" w:rsidRDefault="008C46AE" w:rsidP="008C46AE">
      <w:pPr>
        <w:jc w:val="both"/>
        <w:rPr>
          <w:color w:val="000000"/>
        </w:rPr>
      </w:pPr>
      <w:r w:rsidRPr="008D510B">
        <w:rPr>
          <w:color w:val="000000"/>
        </w:rPr>
        <w:t>5) Coding differences will be adjudicated or consensus will be developed through dialogue.</w:t>
      </w:r>
    </w:p>
    <w:p w14:paraId="095AD309" w14:textId="77777777" w:rsidR="008C46AE" w:rsidRPr="008D510B" w:rsidRDefault="008C46AE" w:rsidP="008C46AE">
      <w:pPr>
        <w:rPr>
          <w:b/>
          <w:color w:val="000000"/>
        </w:rPr>
      </w:pPr>
    </w:p>
    <w:p w14:paraId="7C5EAC8C" w14:textId="77777777" w:rsidR="008C46AE" w:rsidRPr="008D510B" w:rsidRDefault="008C46AE" w:rsidP="008C46AE">
      <w:pPr>
        <w:rPr>
          <w:b/>
          <w:color w:val="000000"/>
        </w:rPr>
      </w:pPr>
      <w:r w:rsidRPr="008D510B">
        <w:rPr>
          <w:bCs/>
          <w:color w:val="000000"/>
          <w:u w:val="single"/>
        </w:rPr>
        <w:t>Full-Text Reasons for Exclusion</w:t>
      </w:r>
    </w:p>
    <w:p w14:paraId="55A246DF" w14:textId="1876457C" w:rsidR="000833C2" w:rsidRDefault="000833C2"/>
    <w:tbl>
      <w:tblPr>
        <w:tblW w:w="9520" w:type="dxa"/>
        <w:tblInd w:w="98" w:type="dxa"/>
        <w:tblLook w:val="04A0" w:firstRow="1" w:lastRow="0" w:firstColumn="1" w:lastColumn="0" w:noHBand="0" w:noVBand="1"/>
      </w:tblPr>
      <w:tblGrid>
        <w:gridCol w:w="1120"/>
        <w:gridCol w:w="1891"/>
        <w:gridCol w:w="6509"/>
      </w:tblGrid>
      <w:tr w:rsidR="00CE1B9B" w:rsidRPr="008D510B" w14:paraId="3CBCBEBD" w14:textId="77777777" w:rsidTr="00CE1B9B">
        <w:trPr>
          <w:trHeight w:val="799"/>
        </w:trPr>
        <w:tc>
          <w:tcPr>
            <w:tcW w:w="1120" w:type="dxa"/>
            <w:tcBorders>
              <w:top w:val="single" w:sz="8" w:space="0" w:color="auto"/>
              <w:left w:val="single" w:sz="8" w:space="0" w:color="auto"/>
              <w:bottom w:val="single" w:sz="8" w:space="0" w:color="auto"/>
              <w:right w:val="single" w:sz="8" w:space="0" w:color="auto"/>
            </w:tcBorders>
            <w:shd w:val="clear" w:color="auto" w:fill="auto"/>
          </w:tcPr>
          <w:p w14:paraId="49211414" w14:textId="1C6E74AB" w:rsidR="00CE1B9B" w:rsidRPr="008D510B" w:rsidRDefault="00CE1B9B" w:rsidP="00CE1B9B">
            <w:pPr>
              <w:rPr>
                <w:color w:val="000000"/>
              </w:rPr>
            </w:pPr>
            <w:r w:rsidRPr="008D510B">
              <w:rPr>
                <w:color w:val="000000"/>
              </w:rPr>
              <w:t>0</w:t>
            </w:r>
          </w:p>
        </w:tc>
        <w:tc>
          <w:tcPr>
            <w:tcW w:w="1891" w:type="dxa"/>
            <w:tcBorders>
              <w:top w:val="single" w:sz="8" w:space="0" w:color="auto"/>
              <w:left w:val="nil"/>
              <w:bottom w:val="single" w:sz="8" w:space="0" w:color="auto"/>
              <w:right w:val="single" w:sz="8" w:space="0" w:color="auto"/>
            </w:tcBorders>
            <w:shd w:val="clear" w:color="auto" w:fill="auto"/>
          </w:tcPr>
          <w:p w14:paraId="150C2FD7" w14:textId="1E37031A" w:rsidR="00CE1B9B" w:rsidRPr="008D510B" w:rsidRDefault="00CE1B9B" w:rsidP="00CE1B9B">
            <w:pPr>
              <w:rPr>
                <w:color w:val="000000"/>
              </w:rPr>
            </w:pPr>
            <w:r>
              <w:rPr>
                <w:color w:val="000000"/>
              </w:rPr>
              <w:t>N</w:t>
            </w:r>
            <w:r>
              <w:t>o full-text manuscript available</w:t>
            </w:r>
          </w:p>
        </w:tc>
        <w:tc>
          <w:tcPr>
            <w:tcW w:w="6509" w:type="dxa"/>
            <w:tcBorders>
              <w:top w:val="single" w:sz="8" w:space="0" w:color="auto"/>
              <w:left w:val="nil"/>
              <w:bottom w:val="single" w:sz="8" w:space="0" w:color="auto"/>
              <w:right w:val="single" w:sz="8" w:space="0" w:color="auto"/>
            </w:tcBorders>
            <w:shd w:val="clear" w:color="auto" w:fill="auto"/>
          </w:tcPr>
          <w:p w14:paraId="0F940627" w14:textId="7145CF85" w:rsidR="00CE1B9B" w:rsidRPr="008D510B" w:rsidRDefault="00CE1B9B" w:rsidP="00CE1B9B">
            <w:pPr>
              <w:rPr>
                <w:color w:val="000000"/>
              </w:rPr>
            </w:pPr>
            <w:r>
              <w:rPr>
                <w:color w:val="000000"/>
              </w:rPr>
              <w:t>No access to full-text manuscript.</w:t>
            </w:r>
          </w:p>
        </w:tc>
      </w:tr>
      <w:tr w:rsidR="00CE1B9B" w:rsidRPr="008D510B" w14:paraId="4725D0FA" w14:textId="77777777" w:rsidTr="00CE1B9B">
        <w:trPr>
          <w:trHeight w:val="799"/>
        </w:trPr>
        <w:tc>
          <w:tcPr>
            <w:tcW w:w="1120" w:type="dxa"/>
            <w:tcBorders>
              <w:top w:val="single" w:sz="8" w:space="0" w:color="auto"/>
              <w:left w:val="single" w:sz="8" w:space="0" w:color="auto"/>
              <w:bottom w:val="single" w:sz="8" w:space="0" w:color="auto"/>
              <w:right w:val="single" w:sz="8" w:space="0" w:color="auto"/>
            </w:tcBorders>
            <w:shd w:val="clear" w:color="auto" w:fill="auto"/>
          </w:tcPr>
          <w:p w14:paraId="69E3D56D" w14:textId="547E7619" w:rsidR="00CE1B9B" w:rsidRPr="008D510B" w:rsidRDefault="00CE1B9B" w:rsidP="00CE1B9B">
            <w:pPr>
              <w:rPr>
                <w:color w:val="000000"/>
              </w:rPr>
            </w:pPr>
            <w:r w:rsidRPr="008D510B">
              <w:rPr>
                <w:color w:val="000000"/>
              </w:rPr>
              <w:t>1</w:t>
            </w:r>
          </w:p>
        </w:tc>
        <w:tc>
          <w:tcPr>
            <w:tcW w:w="1891" w:type="dxa"/>
            <w:tcBorders>
              <w:top w:val="single" w:sz="8" w:space="0" w:color="auto"/>
              <w:left w:val="nil"/>
              <w:bottom w:val="single" w:sz="8" w:space="0" w:color="auto"/>
              <w:right w:val="single" w:sz="8" w:space="0" w:color="auto"/>
            </w:tcBorders>
            <w:shd w:val="clear" w:color="auto" w:fill="auto"/>
          </w:tcPr>
          <w:p w14:paraId="647FA0C5" w14:textId="77777777" w:rsidR="00CE1B9B" w:rsidRPr="008D510B" w:rsidRDefault="00CE1B9B" w:rsidP="00CE1B9B">
            <w:pPr>
              <w:rPr>
                <w:color w:val="000000"/>
              </w:rPr>
            </w:pPr>
            <w:r w:rsidRPr="008D510B">
              <w:rPr>
                <w:color w:val="000000"/>
              </w:rPr>
              <w:t>not English</w:t>
            </w:r>
          </w:p>
        </w:tc>
        <w:tc>
          <w:tcPr>
            <w:tcW w:w="6509" w:type="dxa"/>
            <w:tcBorders>
              <w:top w:val="single" w:sz="8" w:space="0" w:color="auto"/>
              <w:left w:val="nil"/>
              <w:bottom w:val="single" w:sz="8" w:space="0" w:color="auto"/>
              <w:right w:val="single" w:sz="8" w:space="0" w:color="auto"/>
            </w:tcBorders>
            <w:shd w:val="clear" w:color="auto" w:fill="auto"/>
          </w:tcPr>
          <w:p w14:paraId="0F478E2B" w14:textId="77777777" w:rsidR="00CE1B9B" w:rsidRPr="008D510B" w:rsidRDefault="00CE1B9B" w:rsidP="00CE1B9B">
            <w:pPr>
              <w:rPr>
                <w:color w:val="000000"/>
              </w:rPr>
            </w:pPr>
            <w:r w:rsidRPr="008D510B">
              <w:rPr>
                <w:color w:val="000000"/>
              </w:rPr>
              <w:t>manuscript is not in English</w:t>
            </w:r>
          </w:p>
        </w:tc>
      </w:tr>
      <w:tr w:rsidR="00CE1B9B" w:rsidRPr="008D510B" w14:paraId="3B7EC4DB" w14:textId="77777777" w:rsidTr="00CE1B9B">
        <w:trPr>
          <w:trHeight w:val="799"/>
        </w:trPr>
        <w:tc>
          <w:tcPr>
            <w:tcW w:w="1120" w:type="dxa"/>
            <w:tcBorders>
              <w:top w:val="nil"/>
              <w:left w:val="single" w:sz="8" w:space="0" w:color="auto"/>
              <w:bottom w:val="single" w:sz="8" w:space="0" w:color="auto"/>
              <w:right w:val="single" w:sz="8" w:space="0" w:color="auto"/>
            </w:tcBorders>
            <w:shd w:val="clear" w:color="auto" w:fill="auto"/>
          </w:tcPr>
          <w:p w14:paraId="10CED9FE" w14:textId="12857CD8" w:rsidR="00CE1B9B" w:rsidRPr="008D510B" w:rsidRDefault="00CE1B9B" w:rsidP="00CE1B9B">
            <w:pPr>
              <w:rPr>
                <w:color w:val="000000"/>
              </w:rPr>
            </w:pPr>
            <w:r w:rsidRPr="008D510B">
              <w:rPr>
                <w:color w:val="000000"/>
              </w:rPr>
              <w:t>2</w:t>
            </w:r>
          </w:p>
        </w:tc>
        <w:tc>
          <w:tcPr>
            <w:tcW w:w="1891" w:type="dxa"/>
            <w:tcBorders>
              <w:top w:val="nil"/>
              <w:left w:val="nil"/>
              <w:bottom w:val="single" w:sz="8" w:space="0" w:color="auto"/>
              <w:right w:val="single" w:sz="8" w:space="0" w:color="auto"/>
            </w:tcBorders>
            <w:shd w:val="clear" w:color="auto" w:fill="auto"/>
          </w:tcPr>
          <w:p w14:paraId="6A8DB093" w14:textId="77777777" w:rsidR="00CE1B9B" w:rsidRPr="008D510B" w:rsidRDefault="00CE1B9B" w:rsidP="00CE1B9B">
            <w:pPr>
              <w:rPr>
                <w:color w:val="000000"/>
              </w:rPr>
            </w:pPr>
            <w:r w:rsidRPr="008D510B">
              <w:rPr>
                <w:color w:val="000000"/>
              </w:rPr>
              <w:t>no data</w:t>
            </w:r>
          </w:p>
        </w:tc>
        <w:tc>
          <w:tcPr>
            <w:tcW w:w="6509" w:type="dxa"/>
            <w:tcBorders>
              <w:top w:val="nil"/>
              <w:left w:val="nil"/>
              <w:bottom w:val="single" w:sz="8" w:space="0" w:color="auto"/>
              <w:right w:val="single" w:sz="8" w:space="0" w:color="auto"/>
            </w:tcBorders>
            <w:shd w:val="clear" w:color="auto" w:fill="auto"/>
          </w:tcPr>
          <w:p w14:paraId="58BBE64C" w14:textId="77777777" w:rsidR="00CE1B9B" w:rsidRPr="008D510B" w:rsidRDefault="00CE1B9B" w:rsidP="00CE1B9B">
            <w:pPr>
              <w:rPr>
                <w:color w:val="000000"/>
              </w:rPr>
            </w:pPr>
            <w:r w:rsidRPr="008D510B">
              <w:rPr>
                <w:color w:val="000000"/>
              </w:rPr>
              <w:t>review paper; no original patient data</w:t>
            </w:r>
          </w:p>
        </w:tc>
      </w:tr>
      <w:tr w:rsidR="00CE1B9B" w:rsidRPr="008D510B" w14:paraId="5F49A41D" w14:textId="77777777" w:rsidTr="00CE1B9B">
        <w:trPr>
          <w:trHeight w:val="799"/>
        </w:trPr>
        <w:tc>
          <w:tcPr>
            <w:tcW w:w="1120" w:type="dxa"/>
            <w:tcBorders>
              <w:top w:val="nil"/>
              <w:left w:val="single" w:sz="8" w:space="0" w:color="auto"/>
              <w:bottom w:val="single" w:sz="8" w:space="0" w:color="auto"/>
              <w:right w:val="single" w:sz="8" w:space="0" w:color="auto"/>
            </w:tcBorders>
            <w:shd w:val="clear" w:color="auto" w:fill="auto"/>
          </w:tcPr>
          <w:p w14:paraId="0952D7D5" w14:textId="26132331" w:rsidR="00CE1B9B" w:rsidRPr="008D510B" w:rsidRDefault="00CE1B9B" w:rsidP="00CE1B9B">
            <w:pPr>
              <w:rPr>
                <w:color w:val="000000"/>
              </w:rPr>
            </w:pPr>
            <w:r w:rsidRPr="008D510B">
              <w:rPr>
                <w:color w:val="000000"/>
              </w:rPr>
              <w:t>3</w:t>
            </w:r>
          </w:p>
        </w:tc>
        <w:tc>
          <w:tcPr>
            <w:tcW w:w="1891" w:type="dxa"/>
            <w:tcBorders>
              <w:top w:val="nil"/>
              <w:left w:val="nil"/>
              <w:bottom w:val="single" w:sz="8" w:space="0" w:color="auto"/>
              <w:right w:val="single" w:sz="8" w:space="0" w:color="auto"/>
            </w:tcBorders>
            <w:shd w:val="clear" w:color="auto" w:fill="auto"/>
          </w:tcPr>
          <w:p w14:paraId="4A2ECACA" w14:textId="77777777" w:rsidR="00CE1B9B" w:rsidRPr="008D510B" w:rsidRDefault="00CE1B9B" w:rsidP="00CE1B9B">
            <w:pPr>
              <w:rPr>
                <w:color w:val="000000"/>
              </w:rPr>
            </w:pPr>
            <w:r w:rsidRPr="008D510B">
              <w:rPr>
                <w:color w:val="000000"/>
              </w:rPr>
              <w:t>not ataxia</w:t>
            </w:r>
            <w:r>
              <w:rPr>
                <w:color w:val="000000"/>
              </w:rPr>
              <w:t xml:space="preserve"> / vertigo / dizziness</w:t>
            </w:r>
          </w:p>
        </w:tc>
        <w:tc>
          <w:tcPr>
            <w:tcW w:w="6509" w:type="dxa"/>
            <w:tcBorders>
              <w:top w:val="nil"/>
              <w:left w:val="nil"/>
              <w:bottom w:val="single" w:sz="8" w:space="0" w:color="auto"/>
              <w:right w:val="single" w:sz="8" w:space="0" w:color="auto"/>
            </w:tcBorders>
            <w:shd w:val="clear" w:color="auto" w:fill="auto"/>
          </w:tcPr>
          <w:p w14:paraId="00267B02" w14:textId="77777777" w:rsidR="00CE1B9B" w:rsidRPr="008D510B" w:rsidRDefault="00CE1B9B" w:rsidP="00CE1B9B">
            <w:pPr>
              <w:rPr>
                <w:color w:val="000000"/>
              </w:rPr>
            </w:pPr>
            <w:r w:rsidRPr="00A354D4">
              <w:rPr>
                <w:color w:val="000000"/>
              </w:rPr>
              <w:t>no data on human subjects with ataxia, vertigo or dizziness</w:t>
            </w:r>
          </w:p>
        </w:tc>
      </w:tr>
      <w:tr w:rsidR="00CE1B9B" w:rsidRPr="008D510B" w14:paraId="514D2C8C" w14:textId="77777777" w:rsidTr="00CE1B9B">
        <w:trPr>
          <w:trHeight w:val="799"/>
        </w:trPr>
        <w:tc>
          <w:tcPr>
            <w:tcW w:w="1120" w:type="dxa"/>
            <w:tcBorders>
              <w:top w:val="nil"/>
              <w:left w:val="single" w:sz="8" w:space="0" w:color="auto"/>
              <w:bottom w:val="single" w:sz="8" w:space="0" w:color="auto"/>
              <w:right w:val="single" w:sz="8" w:space="0" w:color="auto"/>
            </w:tcBorders>
            <w:shd w:val="clear" w:color="auto" w:fill="auto"/>
          </w:tcPr>
          <w:p w14:paraId="2729C2B5" w14:textId="4739D588" w:rsidR="00CE1B9B" w:rsidRPr="008D510B" w:rsidRDefault="00CE1B9B" w:rsidP="00CE1B9B">
            <w:pPr>
              <w:rPr>
                <w:color w:val="000000"/>
              </w:rPr>
            </w:pPr>
            <w:r w:rsidRPr="008D510B">
              <w:rPr>
                <w:color w:val="000000"/>
              </w:rPr>
              <w:t>4</w:t>
            </w:r>
          </w:p>
        </w:tc>
        <w:tc>
          <w:tcPr>
            <w:tcW w:w="1891" w:type="dxa"/>
            <w:tcBorders>
              <w:top w:val="nil"/>
              <w:left w:val="nil"/>
              <w:bottom w:val="single" w:sz="8" w:space="0" w:color="auto"/>
              <w:right w:val="single" w:sz="8" w:space="0" w:color="auto"/>
            </w:tcBorders>
            <w:shd w:val="clear" w:color="auto" w:fill="auto"/>
          </w:tcPr>
          <w:p w14:paraId="081F5746" w14:textId="77777777" w:rsidR="00CE1B9B" w:rsidRPr="008D510B" w:rsidRDefault="00CE1B9B" w:rsidP="00CE1B9B">
            <w:pPr>
              <w:rPr>
                <w:color w:val="000000"/>
              </w:rPr>
            </w:pPr>
            <w:r>
              <w:rPr>
                <w:color w:val="000000"/>
              </w:rPr>
              <w:t>Not about quality of life</w:t>
            </w:r>
          </w:p>
        </w:tc>
        <w:tc>
          <w:tcPr>
            <w:tcW w:w="6509" w:type="dxa"/>
            <w:tcBorders>
              <w:top w:val="nil"/>
              <w:left w:val="nil"/>
              <w:bottom w:val="single" w:sz="8" w:space="0" w:color="auto"/>
              <w:right w:val="single" w:sz="8" w:space="0" w:color="auto"/>
            </w:tcBorders>
            <w:shd w:val="clear" w:color="auto" w:fill="auto"/>
          </w:tcPr>
          <w:p w14:paraId="3563D0C7" w14:textId="77777777" w:rsidR="00CE1B9B" w:rsidRPr="008D510B" w:rsidRDefault="00CE1B9B" w:rsidP="00CE1B9B">
            <w:pPr>
              <w:rPr>
                <w:color w:val="000000"/>
              </w:rPr>
            </w:pPr>
            <w:r w:rsidRPr="00A354D4">
              <w:rPr>
                <w:color w:val="000000"/>
              </w:rPr>
              <w:t>not about quality of life or patient-reported complaints</w:t>
            </w:r>
          </w:p>
        </w:tc>
      </w:tr>
      <w:tr w:rsidR="00CE1B9B" w:rsidRPr="008D510B" w14:paraId="0CB43405" w14:textId="77777777" w:rsidTr="00CE1B9B">
        <w:trPr>
          <w:trHeight w:val="799"/>
        </w:trPr>
        <w:tc>
          <w:tcPr>
            <w:tcW w:w="1120" w:type="dxa"/>
            <w:tcBorders>
              <w:top w:val="nil"/>
              <w:left w:val="single" w:sz="8" w:space="0" w:color="auto"/>
              <w:bottom w:val="single" w:sz="8" w:space="0" w:color="auto"/>
              <w:right w:val="single" w:sz="8" w:space="0" w:color="auto"/>
            </w:tcBorders>
            <w:shd w:val="clear" w:color="auto" w:fill="auto"/>
          </w:tcPr>
          <w:p w14:paraId="70B85A18" w14:textId="10C1AE3B" w:rsidR="00CE1B9B" w:rsidRPr="008D510B" w:rsidRDefault="00CE1B9B" w:rsidP="00CE1B9B">
            <w:pPr>
              <w:rPr>
                <w:color w:val="000000"/>
              </w:rPr>
            </w:pPr>
            <w:r>
              <w:rPr>
                <w:color w:val="000000"/>
              </w:rPr>
              <w:t>5</w:t>
            </w:r>
          </w:p>
        </w:tc>
        <w:tc>
          <w:tcPr>
            <w:tcW w:w="1891" w:type="dxa"/>
            <w:tcBorders>
              <w:top w:val="nil"/>
              <w:left w:val="nil"/>
              <w:bottom w:val="single" w:sz="8" w:space="0" w:color="auto"/>
              <w:right w:val="single" w:sz="8" w:space="0" w:color="auto"/>
            </w:tcBorders>
            <w:shd w:val="clear" w:color="auto" w:fill="auto"/>
          </w:tcPr>
          <w:p w14:paraId="6B653D48" w14:textId="77777777" w:rsidR="00CE1B9B" w:rsidRPr="008D510B" w:rsidRDefault="00CE1B9B" w:rsidP="00CE1B9B">
            <w:pPr>
              <w:rPr>
                <w:color w:val="000000"/>
              </w:rPr>
            </w:pPr>
            <w:r w:rsidRPr="008D510B">
              <w:rPr>
                <w:color w:val="000000"/>
              </w:rPr>
              <w:t xml:space="preserve">not </w:t>
            </w:r>
            <w:r>
              <w:rPr>
                <w:color w:val="000000"/>
              </w:rPr>
              <w:t>vestibular / oculomotor</w:t>
            </w:r>
          </w:p>
        </w:tc>
        <w:tc>
          <w:tcPr>
            <w:tcW w:w="6509" w:type="dxa"/>
            <w:tcBorders>
              <w:top w:val="nil"/>
              <w:left w:val="nil"/>
              <w:bottom w:val="single" w:sz="8" w:space="0" w:color="auto"/>
              <w:right w:val="single" w:sz="8" w:space="0" w:color="auto"/>
            </w:tcBorders>
            <w:shd w:val="clear" w:color="auto" w:fill="auto"/>
          </w:tcPr>
          <w:p w14:paraId="25ECE905" w14:textId="77777777" w:rsidR="00CE1B9B" w:rsidRPr="008D510B" w:rsidRDefault="00CE1B9B" w:rsidP="00CE1B9B">
            <w:pPr>
              <w:rPr>
                <w:color w:val="000000"/>
              </w:rPr>
            </w:pPr>
            <w:r w:rsidRPr="00A354D4">
              <w:rPr>
                <w:color w:val="000000"/>
              </w:rPr>
              <w:t>not reporting on vestibular / oculomotor domains</w:t>
            </w:r>
          </w:p>
        </w:tc>
      </w:tr>
    </w:tbl>
    <w:p w14:paraId="5C24559E" w14:textId="38AD3B0B" w:rsidR="00597ED9" w:rsidRDefault="00597ED9"/>
    <w:p w14:paraId="479584B4" w14:textId="77777777" w:rsidR="00597ED9" w:rsidRDefault="00597ED9"/>
    <w:p w14:paraId="68BEF846" w14:textId="2EEFFBA4" w:rsidR="00597ED9" w:rsidRPr="00597ED9" w:rsidRDefault="00597ED9">
      <w:pPr>
        <w:rPr>
          <w:b/>
          <w:bCs/>
        </w:rPr>
      </w:pPr>
      <w:r w:rsidRPr="00597ED9">
        <w:rPr>
          <w:b/>
          <w:bCs/>
        </w:rPr>
        <w:t>References</w:t>
      </w:r>
    </w:p>
    <w:p w14:paraId="7B5ECA4D" w14:textId="77777777" w:rsidR="00597ED9" w:rsidRDefault="00597ED9"/>
    <w:p w14:paraId="3BDDE29A" w14:textId="77777777" w:rsidR="00597ED9" w:rsidRPr="00597ED9" w:rsidRDefault="00597ED9" w:rsidP="00597ED9">
      <w:pPr>
        <w:pStyle w:val="EndNoteBibliography"/>
        <w:ind w:left="720" w:hanging="720"/>
        <w:rPr>
          <w:noProof/>
        </w:rPr>
      </w:pPr>
      <w:r>
        <w:fldChar w:fldCharType="begin"/>
      </w:r>
      <w:r>
        <w:instrText xml:space="preserve"> ADDIN EN.REFLIST </w:instrText>
      </w:r>
      <w:r>
        <w:fldChar w:fldCharType="separate"/>
      </w:r>
      <w:r w:rsidRPr="00597ED9">
        <w:rPr>
          <w:noProof/>
        </w:rPr>
        <w:t xml:space="preserve">Cohen, J. (1960). A coefficient for agreement for nominal scales. </w:t>
      </w:r>
      <w:r w:rsidRPr="00597ED9">
        <w:rPr>
          <w:i/>
          <w:noProof/>
        </w:rPr>
        <w:t>Educ Psychol Meas</w:t>
      </w:r>
      <w:r w:rsidRPr="00597ED9">
        <w:rPr>
          <w:noProof/>
        </w:rPr>
        <w:t xml:space="preserve"> 20</w:t>
      </w:r>
      <w:r w:rsidRPr="00597ED9">
        <w:rPr>
          <w:b/>
          <w:noProof/>
        </w:rPr>
        <w:t>,</w:t>
      </w:r>
      <w:r w:rsidRPr="00597ED9">
        <w:rPr>
          <w:noProof/>
        </w:rPr>
        <w:t xml:space="preserve"> 37-46.</w:t>
      </w:r>
    </w:p>
    <w:p w14:paraId="0C5456D4" w14:textId="7D297E44" w:rsidR="00A354D4" w:rsidRPr="008D510B" w:rsidRDefault="00597ED9">
      <w:r>
        <w:fldChar w:fldCharType="end"/>
      </w:r>
    </w:p>
    <w:sectPr w:rsidR="00A354D4" w:rsidRPr="008D510B">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8258" w14:textId="77777777" w:rsidR="00226139" w:rsidRDefault="00226139" w:rsidP="004A3964">
      <w:r>
        <w:separator/>
      </w:r>
    </w:p>
  </w:endnote>
  <w:endnote w:type="continuationSeparator" w:id="0">
    <w:p w14:paraId="1326C41E" w14:textId="77777777" w:rsidR="00226139" w:rsidRDefault="00226139" w:rsidP="004A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6070880"/>
      <w:docPartObj>
        <w:docPartGallery w:val="Page Numbers (Bottom of Page)"/>
        <w:docPartUnique/>
      </w:docPartObj>
    </w:sdtPr>
    <w:sdtContent>
      <w:p w14:paraId="53A3BD4C" w14:textId="2076B465" w:rsidR="004A3964" w:rsidRDefault="004A3964" w:rsidP="0005215D">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7EE7FA5" w14:textId="77777777" w:rsidR="004A3964" w:rsidRDefault="004A39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90400695"/>
      <w:docPartObj>
        <w:docPartGallery w:val="Page Numbers (Bottom of Page)"/>
        <w:docPartUnique/>
      </w:docPartObj>
    </w:sdtPr>
    <w:sdtContent>
      <w:p w14:paraId="2A19A820" w14:textId="6B4E5131" w:rsidR="004A3964" w:rsidRDefault="004A3964" w:rsidP="0005215D">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547AF38" w14:textId="77777777" w:rsidR="004A3964" w:rsidRDefault="004A39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085B" w14:textId="77777777" w:rsidR="00226139" w:rsidRDefault="00226139" w:rsidP="004A3964">
      <w:r>
        <w:separator/>
      </w:r>
    </w:p>
  </w:footnote>
  <w:footnote w:type="continuationSeparator" w:id="0">
    <w:p w14:paraId="240340DE" w14:textId="77777777" w:rsidR="00226139" w:rsidRDefault="00226139" w:rsidP="004A3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F821" w14:textId="663BE469" w:rsidR="004A3964" w:rsidRPr="007C4F4B" w:rsidRDefault="007C4F4B" w:rsidP="007C4F4B">
    <w:pPr>
      <w:pStyle w:val="Kopfzeile"/>
      <w:rPr>
        <w:bCs/>
      </w:rPr>
    </w:pPr>
    <w:r w:rsidRPr="007C4F4B">
      <w:rPr>
        <w:bCs/>
      </w:rPr>
      <w:t>A systematic review of potential Patient Related Outcome Measures (PROMs) for oculomotor symptoms in the cerebellar ataxias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Frontiers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wr9e55kr25t7eereqpeas0ezarszx0psw9&quot;&gt;QoL-ataxia_paper&lt;record-ids&gt;&lt;item&gt;1&lt;/item&gt;&lt;/record-ids&gt;&lt;/item&gt;&lt;/Libraries&gt;"/>
  </w:docVars>
  <w:rsids>
    <w:rsidRoot w:val="008C46AE"/>
    <w:rsid w:val="000208EE"/>
    <w:rsid w:val="000736BF"/>
    <w:rsid w:val="000833C2"/>
    <w:rsid w:val="00153E43"/>
    <w:rsid w:val="00157DCD"/>
    <w:rsid w:val="00163F78"/>
    <w:rsid w:val="001E52A1"/>
    <w:rsid w:val="00226139"/>
    <w:rsid w:val="00274878"/>
    <w:rsid w:val="00282639"/>
    <w:rsid w:val="002E2D60"/>
    <w:rsid w:val="00304F04"/>
    <w:rsid w:val="00334636"/>
    <w:rsid w:val="00414CFB"/>
    <w:rsid w:val="004A3964"/>
    <w:rsid w:val="005223D0"/>
    <w:rsid w:val="005966C6"/>
    <w:rsid w:val="00597ED9"/>
    <w:rsid w:val="006D2512"/>
    <w:rsid w:val="007457A1"/>
    <w:rsid w:val="00762A39"/>
    <w:rsid w:val="007C4F4B"/>
    <w:rsid w:val="007D2697"/>
    <w:rsid w:val="008A2FA7"/>
    <w:rsid w:val="008B21DA"/>
    <w:rsid w:val="008C46AE"/>
    <w:rsid w:val="008D510B"/>
    <w:rsid w:val="0091734B"/>
    <w:rsid w:val="009A5B88"/>
    <w:rsid w:val="00A12B90"/>
    <w:rsid w:val="00A34EC6"/>
    <w:rsid w:val="00A354D4"/>
    <w:rsid w:val="00A47429"/>
    <w:rsid w:val="00B228D1"/>
    <w:rsid w:val="00BE41C9"/>
    <w:rsid w:val="00C315C2"/>
    <w:rsid w:val="00C32BC2"/>
    <w:rsid w:val="00C40745"/>
    <w:rsid w:val="00C620A5"/>
    <w:rsid w:val="00C84247"/>
    <w:rsid w:val="00CE1B9B"/>
    <w:rsid w:val="00DA35A9"/>
    <w:rsid w:val="00DB6B6C"/>
    <w:rsid w:val="00DF6954"/>
    <w:rsid w:val="00E16878"/>
    <w:rsid w:val="00E95E5C"/>
    <w:rsid w:val="00ED0593"/>
    <w:rsid w:val="00F56AC9"/>
    <w:rsid w:val="00F66454"/>
    <w:rsid w:val="00FA5F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1BD1636"/>
  <w15:chartTrackingRefBased/>
  <w15:docId w15:val="{7F5BE9DE-E5A7-DE43-AE35-72CA0F89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46AE"/>
    <w:rPr>
      <w:rFonts w:ascii="Times New Roman" w:eastAsia="Times New Roman" w:hAnsi="Times New Roman" w:cs="Times New Roman"/>
      <w:lang w:val="en-US"/>
    </w:rPr>
  </w:style>
  <w:style w:type="paragraph" w:styleId="berschrift2">
    <w:name w:val="heading 2"/>
    <w:basedOn w:val="Standard"/>
    <w:next w:val="Standard"/>
    <w:link w:val="berschrift2Zchn"/>
    <w:uiPriority w:val="9"/>
    <w:unhideWhenUsed/>
    <w:qFormat/>
    <w:rsid w:val="008C46AE"/>
    <w:pPr>
      <w:keepNext/>
      <w:keepLines/>
      <w:spacing w:before="200"/>
      <w:outlineLvl w:val="1"/>
    </w:pPr>
    <w:rPr>
      <w:rFonts w:ascii="Arial" w:eastAsiaTheme="majorEastAsia" w:hAnsi="Arial" w:cstheme="majorBidi"/>
      <w:b/>
      <w:bCs/>
      <w:szCs w:val="26"/>
      <w:lang w:val="de-CH"/>
    </w:rPr>
  </w:style>
  <w:style w:type="paragraph" w:styleId="berschrift3">
    <w:name w:val="heading 3"/>
    <w:basedOn w:val="Standard"/>
    <w:next w:val="Standard"/>
    <w:link w:val="berschrift3Zchn"/>
    <w:uiPriority w:val="9"/>
    <w:unhideWhenUsed/>
    <w:qFormat/>
    <w:rsid w:val="008C46AE"/>
    <w:pPr>
      <w:keepNext/>
      <w:keepLines/>
      <w:spacing w:before="200"/>
      <w:outlineLvl w:val="2"/>
    </w:pPr>
    <w:rPr>
      <w:rFonts w:ascii="Arial" w:eastAsiaTheme="majorEastAsia" w:hAnsi="Arial" w:cstheme="majorBidi"/>
      <w:b/>
      <w:bCs/>
      <w:sz w:val="22"/>
      <w:szCs w:val="2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C46A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8C46AE"/>
    <w:rPr>
      <w:rFonts w:ascii="Arial" w:eastAsiaTheme="majorEastAsia" w:hAnsi="Arial" w:cstheme="majorBidi"/>
      <w:b/>
      <w:bCs/>
      <w:sz w:val="22"/>
      <w:szCs w:val="22"/>
    </w:rPr>
  </w:style>
  <w:style w:type="character" w:styleId="Fett">
    <w:name w:val="Strong"/>
    <w:qFormat/>
    <w:rsid w:val="008C46AE"/>
    <w:rPr>
      <w:b/>
      <w:bCs/>
    </w:rPr>
  </w:style>
  <w:style w:type="character" w:styleId="Kommentarzeichen">
    <w:name w:val="annotation reference"/>
    <w:uiPriority w:val="99"/>
    <w:rsid w:val="008C46AE"/>
    <w:rPr>
      <w:sz w:val="16"/>
      <w:szCs w:val="16"/>
    </w:rPr>
  </w:style>
  <w:style w:type="paragraph" w:styleId="Kommentartext">
    <w:name w:val="annotation text"/>
    <w:basedOn w:val="Standard"/>
    <w:link w:val="KommentartextZchn"/>
    <w:uiPriority w:val="99"/>
    <w:rsid w:val="008C46AE"/>
    <w:rPr>
      <w:rFonts w:ascii="Arial" w:hAnsi="Arial"/>
      <w:sz w:val="20"/>
      <w:szCs w:val="20"/>
    </w:rPr>
  </w:style>
  <w:style w:type="character" w:customStyle="1" w:styleId="KommentartextZchn">
    <w:name w:val="Kommentartext Zchn"/>
    <w:basedOn w:val="Absatz-Standardschriftart"/>
    <w:link w:val="Kommentartext"/>
    <w:uiPriority w:val="99"/>
    <w:rsid w:val="008C46AE"/>
    <w:rPr>
      <w:rFonts w:ascii="Arial" w:eastAsia="Times New Roman" w:hAnsi="Arial" w:cs="Times New Roman"/>
      <w:sz w:val="20"/>
      <w:szCs w:val="20"/>
      <w:lang w:val="en-US"/>
    </w:rPr>
  </w:style>
  <w:style w:type="character" w:styleId="Hyperlink">
    <w:name w:val="Hyperlink"/>
    <w:basedOn w:val="Absatz-Standardschriftart"/>
    <w:uiPriority w:val="99"/>
    <w:unhideWhenUsed/>
    <w:rsid w:val="002E2D60"/>
    <w:rPr>
      <w:color w:val="0563C1" w:themeColor="hyperlink"/>
      <w:u w:val="single"/>
    </w:rPr>
  </w:style>
  <w:style w:type="character" w:styleId="NichtaufgelsteErwhnung">
    <w:name w:val="Unresolved Mention"/>
    <w:basedOn w:val="Absatz-Standardschriftart"/>
    <w:uiPriority w:val="99"/>
    <w:semiHidden/>
    <w:unhideWhenUsed/>
    <w:rsid w:val="002E2D60"/>
    <w:rPr>
      <w:color w:val="605E5C"/>
      <w:shd w:val="clear" w:color="auto" w:fill="E1DFDD"/>
    </w:rPr>
  </w:style>
  <w:style w:type="paragraph" w:customStyle="1" w:styleId="EndNoteBibliographyTitle">
    <w:name w:val="EndNote Bibliography Title"/>
    <w:basedOn w:val="Standard"/>
    <w:link w:val="EndNoteBibliographyTitleZchn"/>
    <w:rsid w:val="00597ED9"/>
    <w:pPr>
      <w:jc w:val="center"/>
    </w:pPr>
  </w:style>
  <w:style w:type="character" w:customStyle="1" w:styleId="EndNoteBibliographyTitleZchn">
    <w:name w:val="EndNote Bibliography Title Zchn"/>
    <w:basedOn w:val="Absatz-Standardschriftart"/>
    <w:link w:val="EndNoteBibliographyTitle"/>
    <w:rsid w:val="00597ED9"/>
    <w:rPr>
      <w:rFonts w:ascii="Times New Roman" w:eastAsia="Times New Roman" w:hAnsi="Times New Roman" w:cs="Times New Roman"/>
      <w:lang w:val="en-US"/>
    </w:rPr>
  </w:style>
  <w:style w:type="paragraph" w:customStyle="1" w:styleId="EndNoteBibliography">
    <w:name w:val="EndNote Bibliography"/>
    <w:basedOn w:val="Standard"/>
    <w:link w:val="EndNoteBibliographyZchn"/>
    <w:rsid w:val="00597ED9"/>
  </w:style>
  <w:style w:type="character" w:customStyle="1" w:styleId="EndNoteBibliographyZchn">
    <w:name w:val="EndNote Bibliography Zchn"/>
    <w:basedOn w:val="Absatz-Standardschriftart"/>
    <w:link w:val="EndNoteBibliography"/>
    <w:rsid w:val="00597ED9"/>
    <w:rPr>
      <w:rFonts w:ascii="Times New Roman" w:eastAsia="Times New Roman" w:hAnsi="Times New Roman" w:cs="Times New Roman"/>
      <w:lang w:val="en-US"/>
    </w:rPr>
  </w:style>
  <w:style w:type="paragraph" w:styleId="Kopfzeile">
    <w:name w:val="header"/>
    <w:basedOn w:val="Standard"/>
    <w:link w:val="KopfzeileZchn"/>
    <w:uiPriority w:val="99"/>
    <w:unhideWhenUsed/>
    <w:rsid w:val="004A3964"/>
    <w:pPr>
      <w:tabs>
        <w:tab w:val="center" w:pos="4536"/>
        <w:tab w:val="right" w:pos="9072"/>
      </w:tabs>
    </w:pPr>
  </w:style>
  <w:style w:type="character" w:customStyle="1" w:styleId="KopfzeileZchn">
    <w:name w:val="Kopfzeile Zchn"/>
    <w:basedOn w:val="Absatz-Standardschriftart"/>
    <w:link w:val="Kopfzeile"/>
    <w:uiPriority w:val="99"/>
    <w:rsid w:val="004A3964"/>
    <w:rPr>
      <w:rFonts w:ascii="Times New Roman" w:eastAsia="Times New Roman" w:hAnsi="Times New Roman" w:cs="Times New Roman"/>
      <w:lang w:val="en-US"/>
    </w:rPr>
  </w:style>
  <w:style w:type="paragraph" w:styleId="Fuzeile">
    <w:name w:val="footer"/>
    <w:basedOn w:val="Standard"/>
    <w:link w:val="FuzeileZchn"/>
    <w:uiPriority w:val="99"/>
    <w:unhideWhenUsed/>
    <w:rsid w:val="004A3964"/>
    <w:pPr>
      <w:tabs>
        <w:tab w:val="center" w:pos="4536"/>
        <w:tab w:val="right" w:pos="9072"/>
      </w:tabs>
    </w:pPr>
  </w:style>
  <w:style w:type="character" w:customStyle="1" w:styleId="FuzeileZchn">
    <w:name w:val="Fußzeile Zchn"/>
    <w:basedOn w:val="Absatz-Standardschriftart"/>
    <w:link w:val="Fuzeile"/>
    <w:uiPriority w:val="99"/>
    <w:rsid w:val="004A3964"/>
    <w:rPr>
      <w:rFonts w:ascii="Times New Roman" w:eastAsia="Times New Roman" w:hAnsi="Times New Roman" w:cs="Times New Roman"/>
      <w:lang w:val="en-US"/>
    </w:rPr>
  </w:style>
  <w:style w:type="character" w:styleId="Seitenzahl">
    <w:name w:val="page number"/>
    <w:basedOn w:val="Absatz-Standardschriftart"/>
    <w:uiPriority w:val="99"/>
    <w:semiHidden/>
    <w:unhideWhenUsed/>
    <w:rsid w:val="004A3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7224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Tarnutzer</dc:creator>
  <cp:keywords/>
  <dc:description/>
  <cp:lastModifiedBy>Alex Tarnutzer</cp:lastModifiedBy>
  <cp:revision>2</cp:revision>
  <dcterms:created xsi:type="dcterms:W3CDTF">2023-09-07T18:14:00Z</dcterms:created>
  <dcterms:modified xsi:type="dcterms:W3CDTF">2023-09-07T18:14:00Z</dcterms:modified>
</cp:coreProperties>
</file>