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Supplementary figure 1</w:t>
      </w:r>
    </w:p>
    <w:p w:rsidR="00034F52" w:rsidRDefault="00034F52" w:rsidP="00034F5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Distribution of individual component scores</w:t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114300" distB="114300" distL="114300" distR="114300" wp14:anchorId="6151D36D" wp14:editId="1B28D684">
            <wp:extent cx="5943600" cy="40132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POSI stands for postoperative speech impairment (i.e., mutism and/or reduced speech). The horizontal line shows the median component score for each group.</w:t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F52" w:rsidRDefault="00034F52" w:rsidP="00034F52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Supplementary figure 2</w:t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Distribution of perceptual ratings assigned by each rater across speech features</w:t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114300" distB="114300" distL="114300" distR="114300" wp14:anchorId="08BA383C" wp14:editId="6B0C04B3">
            <wp:extent cx="5943600" cy="4419600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34F52" w:rsidRDefault="00034F52" w:rsidP="00034F5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Note. Stacked bar plots showing the frequency of perceptual ratings assigned by Rater 1 (left panel) and Rater 2 (right panel) for each speech feature. Data are from 38 English speaking patients.</w:t>
      </w:r>
    </w:p>
    <w:p w:rsidR="00034F52" w:rsidRDefault="00034F52" w:rsidP="00034F52"/>
    <w:p w:rsidR="00C22330" w:rsidRDefault="00C22330">
      <w:bookmarkStart w:id="0" w:name="_GoBack"/>
      <w:bookmarkEnd w:id="0"/>
    </w:p>
    <w:sectPr w:rsidR="00C22330">
      <w:headerReference w:type="default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9A6" w:rsidRDefault="00034F52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9A6" w:rsidRDefault="00034F52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9A6" w:rsidRDefault="00034F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52"/>
    <w:rsid w:val="00034F52"/>
    <w:rsid w:val="008709C9"/>
    <w:rsid w:val="00C2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FA959B-7905-49C1-9D70-924FCDFC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34F52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Jessa Mae Lustares</dc:creator>
  <cp:keywords/>
  <dc:description/>
  <cp:lastModifiedBy>Jessa Mae Lustares</cp:lastModifiedBy>
  <cp:revision>1</cp:revision>
  <dcterms:created xsi:type="dcterms:W3CDTF">2026-08-11T06:38:00Z</dcterms:created>
  <dcterms:modified xsi:type="dcterms:W3CDTF">2026-08-11T06:38:00Z</dcterms:modified>
</cp:coreProperties>
</file>