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CEA090" w14:textId="77777777" w:rsidR="009F2CEB" w:rsidRPr="003C2D0D" w:rsidRDefault="009F2CEB" w:rsidP="009F2CEB">
      <w:pPr>
        <w:rPr>
          <w:rFonts w:cs="Times New Roman"/>
          <w:color w:val="000000" w:themeColor="text1"/>
        </w:rPr>
      </w:pPr>
      <w:r w:rsidRPr="003C2D0D">
        <w:rPr>
          <w:rFonts w:cs="Times New Roman"/>
          <w:color w:val="000000" w:themeColor="text1"/>
          <w:lang w:eastAsia="ja-JP"/>
        </w:rPr>
        <w:t>Supplementary T</w:t>
      </w:r>
      <w:r w:rsidRPr="003C2D0D">
        <w:rPr>
          <w:rFonts w:cs="Times New Roman"/>
          <w:color w:val="000000" w:themeColor="text1"/>
        </w:rPr>
        <w:t>able 1. Detailed clinical characteristics at presentation of Japanese patients with anti-mGluR1 antibody-associated cerebellar ataxia.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7"/>
        <w:gridCol w:w="3463"/>
        <w:gridCol w:w="1558"/>
        <w:gridCol w:w="953"/>
        <w:gridCol w:w="1037"/>
        <w:gridCol w:w="828"/>
        <w:gridCol w:w="1142"/>
        <w:gridCol w:w="1244"/>
        <w:gridCol w:w="4678"/>
      </w:tblGrid>
      <w:tr w:rsidR="009F2CEB" w:rsidRPr="003C2D0D" w14:paraId="17782077" w14:textId="77777777" w:rsidTr="002D5A62">
        <w:trPr>
          <w:trHeight w:val="440"/>
        </w:trPr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F256E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Pt.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FDBF2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Main initial symptoms at presentation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9B1B1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Onset to presentation</w:t>
            </w:r>
          </w:p>
          <w:p w14:paraId="436A94EC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 xml:space="preserve"> (mo.)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E006A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Truncal ataxia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6C74E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Limb ataxia (dominant site)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CED21B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Dysarthria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5F5B7C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Nystagmus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45595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Titubation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807E3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Extracerebellar signs and symptoms (timing of onset)</w:t>
            </w:r>
          </w:p>
        </w:tc>
      </w:tr>
      <w:tr w:rsidR="009F2CEB" w:rsidRPr="003C2D0D" w14:paraId="2042450C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2262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1*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EBDD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gait disturbance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513B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1C85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EA2CB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+, 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817A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FDCE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93F3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BD40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dysgeusia (concurrent with cerebellar ataxia)</w:t>
            </w:r>
          </w:p>
        </w:tc>
      </w:tr>
      <w:tr w:rsidR="009F2CEB" w:rsidRPr="003C2D0D" w14:paraId="2A0A3B78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FA6CA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E6D8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gait disturbance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C74DC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0.75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C0B3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62687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+, 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0C6B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3FA67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A036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26DC7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dysgeusia (concurrent with cerebellar ataxia)</w:t>
            </w:r>
          </w:p>
        </w:tc>
      </w:tr>
      <w:tr w:rsidR="009F2CEB" w:rsidRPr="003C2D0D" w14:paraId="73C911FD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82BB4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3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192A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gait disturbance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4BB1C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0.25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AE6DB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7368C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+, 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494A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7341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722E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23CF4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myokymia in the right leg (concurrent with cerebellar ataxia)</w:t>
            </w:r>
          </w:p>
        </w:tc>
      </w:tr>
      <w:tr w:rsidR="009F2CEB" w:rsidRPr="003C2D0D" w14:paraId="2497F818" w14:textId="77777777" w:rsidTr="002D5A62">
        <w:trPr>
          <w:trHeight w:val="81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3FD57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4*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AB1C6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gait disturbance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2B121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5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1FB4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2C1A4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B966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5E7D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C686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DA82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</w:tr>
      <w:tr w:rsidR="009F2CEB" w:rsidRPr="003C2D0D" w14:paraId="36FF73B0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57F17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5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9956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gait disturbance, dysarthria, vertigo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5A0F4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C993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FA8E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+, 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E92E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6BFF4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E95C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5F97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</w:tr>
      <w:tr w:rsidR="009F2CEB" w:rsidRPr="003C2D0D" w14:paraId="6FDD9364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608A6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6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6766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gait disturbance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882A4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8A83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B241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+, 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58BA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C8AEC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A4B1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0670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diplopia (concurrent with cerebellar ataxia)</w:t>
            </w:r>
          </w:p>
        </w:tc>
      </w:tr>
      <w:tr w:rsidR="009F2CEB" w:rsidRPr="003C2D0D" w14:paraId="7B522925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C5C57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7*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F369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gait disturbance, dizziness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D450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DC3A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8D59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+, R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69A21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3DE7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B874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274A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dysgeusia (concurrent with cerebellar ataxia)</w:t>
            </w:r>
          </w:p>
        </w:tc>
      </w:tr>
      <w:tr w:rsidR="009F2CEB" w:rsidRPr="003C2D0D" w14:paraId="16E000A1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161A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8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C558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paresthesia in legs, spatial disorientation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AF52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9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C182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7B6E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+, R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FDBB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CA64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34DC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AB0D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cognitive impairment, left homonymous hemianopia, numbness in the lower limbs, decreased vibration sense in the lower limbs (prior to cerebellar ataxia)</w:t>
            </w:r>
          </w:p>
        </w:tc>
      </w:tr>
      <w:tr w:rsidR="009F2CEB" w:rsidRPr="003C2D0D" w14:paraId="14076858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4DB0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9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2B03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gait disturbance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0368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11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8CA7B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CD10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C25F4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8D9C1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6B254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42BF6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cognitive impairment, hyperreflexia (concurrent with cerebellar ataxia)</w:t>
            </w:r>
          </w:p>
        </w:tc>
      </w:tr>
      <w:tr w:rsidR="009F2CEB" w:rsidRPr="003C2D0D" w14:paraId="64D22FDF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AA1A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10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7770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gait disturbance, dysarthria, vertigo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E23C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F7A2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D595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+, L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8790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6E98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931C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8CFA1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dysgeusia (prior to cerebellar ataxia)</w:t>
            </w:r>
          </w:p>
        </w:tc>
      </w:tr>
      <w:tr w:rsidR="009F2CEB" w:rsidRPr="003C2D0D" w14:paraId="2DA01D6C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37CCA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11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7381C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headache, gait disturbance, dysarthria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06536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0.75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796B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CE87B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+, R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F8AE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0A00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8EE4A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A3F0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headache (prior to cerebellar ataxia)</w:t>
            </w:r>
          </w:p>
        </w:tc>
      </w:tr>
      <w:tr w:rsidR="009F2CEB" w:rsidRPr="003C2D0D" w14:paraId="64223563" w14:textId="77777777" w:rsidTr="002D5A62">
        <w:trPr>
          <w:trHeight w:val="280"/>
        </w:trPr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958F1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12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9EB9B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hallucination, memory impairment, truncal ataxia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48B92A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6"/>
                <w:szCs w:val="16"/>
                <w:lang w:eastAsia="ja-JP"/>
              </w:rPr>
              <w:t>0.25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F465F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F76E5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01A3B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0B062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+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F6D86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-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D91C5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3"/>
                <w:szCs w:val="13"/>
                <w:lang w:eastAsia="ja-JP"/>
              </w:rPr>
              <w:t>hallucination, memory deficit (concurrent with cerebellar ataxia)</w:t>
            </w:r>
          </w:p>
        </w:tc>
      </w:tr>
    </w:tbl>
    <w:p w14:paraId="0F66FEBE" w14:textId="77777777" w:rsidR="009F2CEB" w:rsidRPr="003C2D0D" w:rsidRDefault="009F2CEB" w:rsidP="009F2CEB">
      <w:pPr>
        <w:rPr>
          <w:rFonts w:cs="Times New Roman"/>
          <w:color w:val="000000" w:themeColor="text1"/>
          <w:lang w:eastAsia="ja-JP"/>
        </w:rPr>
      </w:pPr>
    </w:p>
    <w:p w14:paraId="7D478873" w14:textId="77777777" w:rsidR="009F2CEB" w:rsidRPr="003C2D0D" w:rsidRDefault="009F2CEB" w:rsidP="009F2CEB">
      <w:pPr>
        <w:rPr>
          <w:rFonts w:cs="Times New Roman"/>
          <w:color w:val="000000" w:themeColor="text1"/>
          <w:lang w:eastAsia="ja-JP"/>
        </w:rPr>
      </w:pPr>
      <w:r w:rsidRPr="003C2D0D">
        <w:rPr>
          <w:rFonts w:cs="Times New Roman"/>
          <w:color w:val="000000" w:themeColor="text1"/>
          <w:lang w:eastAsia="ja-JP"/>
        </w:rPr>
        <w:t>Patients marked with an asterisk (*) were previously reported [23–25].</w:t>
      </w:r>
    </w:p>
    <w:p w14:paraId="3C4AA448" w14:textId="77777777" w:rsidR="009F2CEB" w:rsidRPr="003C2D0D" w:rsidRDefault="009F2CEB" w:rsidP="009F2CEB">
      <w:pPr>
        <w:rPr>
          <w:rFonts w:cs="Times New Roman"/>
          <w:color w:val="000000" w:themeColor="text1"/>
        </w:rPr>
      </w:pPr>
    </w:p>
    <w:p w14:paraId="168D256A" w14:textId="77777777" w:rsidR="009F2CEB" w:rsidRPr="003C2D0D" w:rsidRDefault="009F2CEB" w:rsidP="009F2CEB">
      <w:pPr>
        <w:rPr>
          <w:rFonts w:cs="Times New Roman"/>
          <w:color w:val="000000" w:themeColor="text1"/>
          <w:lang w:eastAsia="ja-JP"/>
        </w:rPr>
        <w:sectPr w:rsidR="009F2CEB" w:rsidRPr="003C2D0D" w:rsidSect="009F2CEB">
          <w:pgSz w:w="16840" w:h="11900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3FE12362" w14:textId="77777777" w:rsidR="009F2CEB" w:rsidRPr="003C2D0D" w:rsidRDefault="009F2CEB" w:rsidP="009F2CEB">
      <w:pPr>
        <w:rPr>
          <w:rFonts w:cs="Times New Roman"/>
          <w:color w:val="000000" w:themeColor="text1"/>
        </w:rPr>
      </w:pPr>
      <w:r w:rsidRPr="003C2D0D">
        <w:rPr>
          <w:rFonts w:cs="Times New Roman"/>
          <w:color w:val="000000" w:themeColor="text1"/>
        </w:rPr>
        <w:lastRenderedPageBreak/>
        <w:t>Supplementary Table 2. Detailed neurological symptoms and signs during the disease course in Japanese patients with anti-mGluR1 antibody-associated cerebellar ataxia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55"/>
        <w:gridCol w:w="1965"/>
        <w:gridCol w:w="1537"/>
        <w:gridCol w:w="1537"/>
        <w:gridCol w:w="1537"/>
        <w:gridCol w:w="1537"/>
        <w:gridCol w:w="5264"/>
        <w:gridCol w:w="1368"/>
      </w:tblGrid>
      <w:tr w:rsidR="009F2CEB" w:rsidRPr="003C2D0D" w14:paraId="1E793F49" w14:textId="77777777" w:rsidTr="002D5A62">
        <w:trPr>
          <w:trHeight w:val="280"/>
        </w:trPr>
        <w:tc>
          <w:tcPr>
            <w:tcW w:w="21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B17323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Pt.</w:t>
            </w:r>
          </w:p>
        </w:tc>
        <w:tc>
          <w:tcPr>
            <w:tcW w:w="43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DD94C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mRS and SARA score (mRS/SARA score)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6B5FB5F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Relapse</w:t>
            </w:r>
          </w:p>
        </w:tc>
      </w:tr>
      <w:tr w:rsidR="009F2CEB" w:rsidRPr="003C2D0D" w14:paraId="34D91D5D" w14:textId="77777777" w:rsidTr="002D5A62">
        <w:trPr>
          <w:trHeight w:val="480"/>
        </w:trPr>
        <w:tc>
          <w:tcPr>
            <w:tcW w:w="21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7D89D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1DF16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At sampling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C285F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6M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98FE48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12M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6015E8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18M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353886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24M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C66551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At last follow-up (duration, months)</w:t>
            </w:r>
          </w:p>
        </w:tc>
        <w:tc>
          <w:tcPr>
            <w:tcW w:w="44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2998D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</w:p>
        </w:tc>
      </w:tr>
      <w:tr w:rsidR="009F2CEB" w:rsidRPr="003C2D0D" w14:paraId="2D28E0F9" w14:textId="77777777" w:rsidTr="002D5A62">
        <w:trPr>
          <w:trHeight w:val="76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8478A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1*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D28F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4/15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854AE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3/14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57AB8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3/11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1A0B6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3/13.5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F44FB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3/10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6030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3/12 (132)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E5BE9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+</w:t>
            </w:r>
          </w:p>
        </w:tc>
      </w:tr>
      <w:tr w:rsidR="009F2CEB" w:rsidRPr="003C2D0D" w14:paraId="35E691BB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B8D72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2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E11DA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2/8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F9DF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1/0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B779A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1/0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8203E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1/0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9C76F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1/0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4D028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1/0 (70)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25868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-</w:t>
            </w:r>
          </w:p>
        </w:tc>
      </w:tr>
      <w:tr w:rsidR="009F2CEB" w:rsidRPr="003C2D0D" w14:paraId="301E1E4B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187D3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3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4A223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4/18.5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CF58C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4FE17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45FFE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3707C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4/N/A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F1D63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3/15 (44)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73EB9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-</w:t>
            </w:r>
          </w:p>
        </w:tc>
      </w:tr>
      <w:tr w:rsidR="009F2CEB" w:rsidRPr="003C2D0D" w14:paraId="624D98D0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CE9FB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4*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907A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70707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0/0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5795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0/0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C409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0/0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5C53C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0/0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C3803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0/0 (39)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D7AD1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-</w:t>
            </w:r>
          </w:p>
        </w:tc>
      </w:tr>
      <w:tr w:rsidR="009F2CEB" w:rsidRPr="003C2D0D" w14:paraId="20007501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C4B3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D524B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2/N/A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AE9A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18BEB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3/N/A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1ACAF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3/N/A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A8825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3/N/A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5D3B9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3/22 (24)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849B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-</w:t>
            </w:r>
          </w:p>
        </w:tc>
      </w:tr>
      <w:tr w:rsidR="009F2CEB" w:rsidRPr="003C2D0D" w14:paraId="7E850DD6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56F85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6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41816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CC482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3/13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B71C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3/11.5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82B11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91439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9C1DF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3/11.5 (12)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F68D3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-</w:t>
            </w:r>
          </w:p>
        </w:tc>
      </w:tr>
      <w:tr w:rsidR="009F2CEB" w:rsidRPr="003C2D0D" w14:paraId="2AB020DF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0CADF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7*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3A34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AD113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1/9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3A548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8C41F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8DAF7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4F965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1/9 (9)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04BFE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-</w:t>
            </w:r>
          </w:p>
        </w:tc>
      </w:tr>
      <w:tr w:rsidR="009F2CEB" w:rsidRPr="003C2D0D" w14:paraId="335F2D6F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9DD6F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8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0BDAC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4/32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93ADD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4/30.5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3FFC8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8912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50B17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73252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4/30.5 (6)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239C6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+</w:t>
            </w:r>
          </w:p>
        </w:tc>
      </w:tr>
      <w:tr w:rsidR="009F2CEB" w:rsidRPr="003C2D0D" w14:paraId="452F1C01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EC042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9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28202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2855C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4/14.5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2CCD8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4/14.5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98409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4/14.5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B39FD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C8E5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4/14.5 (18)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D0A4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-</w:t>
            </w:r>
          </w:p>
        </w:tc>
      </w:tr>
      <w:tr w:rsidR="009F2CEB" w:rsidRPr="003C2D0D" w14:paraId="56D95B7B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23BA3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10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6BDEB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4/N/A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0DB2E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54263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09F29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6E7E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A3925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N/A/N/A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EFFD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N/A</w:t>
            </w:r>
          </w:p>
        </w:tc>
      </w:tr>
      <w:tr w:rsidR="009F2CEB" w:rsidRPr="003C2D0D" w14:paraId="76FABF8E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7540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11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E676F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2/N/A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2C24D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4C78E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88CA5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86BBC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17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9E45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N/A/N/A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8A2D0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N/A</w:t>
            </w:r>
          </w:p>
        </w:tc>
      </w:tr>
      <w:tr w:rsidR="009F2CEB" w:rsidRPr="003C2D0D" w14:paraId="1418C8D8" w14:textId="77777777" w:rsidTr="002D5A62">
        <w:trPr>
          <w:trHeight w:val="280"/>
        </w:trPr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939B0F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12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B0344A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3/N/A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D2CA4F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A800DA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35A854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875F07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Arial Unicode MS" w:cs="Times New Roman"/>
                <w:color w:val="000000" w:themeColor="text1"/>
                <w:szCs w:val="24"/>
              </w:rPr>
              <w:t>N/A/N/A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557871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N/A/N/A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FA6C48" w14:textId="77777777" w:rsidR="009F2CEB" w:rsidRPr="003C2D0D" w:rsidRDefault="009F2CEB" w:rsidP="002D5A62">
            <w:pPr>
              <w:spacing w:after="0" w:line="240" w:lineRule="auto"/>
              <w:jc w:val="both"/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Cs w:val="24"/>
                <w:lang w:eastAsia="ja-JP"/>
              </w:rPr>
              <w:t>N/A</w:t>
            </w:r>
          </w:p>
        </w:tc>
      </w:tr>
    </w:tbl>
    <w:p w14:paraId="15DDD346" w14:textId="77777777" w:rsidR="009F2CEB" w:rsidRPr="003C2D0D" w:rsidRDefault="009F2CEB" w:rsidP="009F2CEB">
      <w:pPr>
        <w:rPr>
          <w:rStyle w:val="aa"/>
          <w:rFonts w:cs="Times New Roman"/>
          <w:b w:val="0"/>
          <w:bCs w:val="0"/>
          <w:color w:val="000000" w:themeColor="text1"/>
        </w:rPr>
      </w:pPr>
    </w:p>
    <w:p w14:paraId="79FEDEDF" w14:textId="77777777" w:rsidR="009F2CEB" w:rsidRPr="003C2D0D" w:rsidRDefault="009F2CEB" w:rsidP="009F2CEB">
      <w:pPr>
        <w:rPr>
          <w:rFonts w:cs="Times New Roman"/>
          <w:color w:val="000000" w:themeColor="text1"/>
          <w:lang w:eastAsia="ja-JP"/>
        </w:rPr>
      </w:pPr>
      <w:r w:rsidRPr="003C2D0D">
        <w:rPr>
          <w:rStyle w:val="aa"/>
          <w:rFonts w:cs="Times New Roman"/>
          <w:b w:val="0"/>
          <w:bCs w:val="0"/>
          <w:color w:val="000000" w:themeColor="text1"/>
        </w:rPr>
        <w:t>N/A, not available; mRS, modified Rankin Scale; SARA, Scale for the Assessment and Rating of Ataxia.</w:t>
      </w:r>
      <w:r w:rsidRPr="003C2D0D">
        <w:rPr>
          <w:rFonts w:cs="Times New Roman"/>
          <w:color w:val="000000" w:themeColor="text1"/>
          <w:lang w:eastAsia="ja-JP"/>
        </w:rPr>
        <w:t xml:space="preserve"> Patients marked with an asterisk (*) were previously reported [23–25].</w:t>
      </w:r>
    </w:p>
    <w:p w14:paraId="41B904ED" w14:textId="77777777" w:rsidR="009F2CEB" w:rsidRPr="003C2D0D" w:rsidRDefault="009F2CEB" w:rsidP="009F2CEB">
      <w:pPr>
        <w:rPr>
          <w:rFonts w:cs="Times New Roman"/>
          <w:color w:val="000000" w:themeColor="text1"/>
          <w:lang w:eastAsia="ja-JP"/>
        </w:rPr>
        <w:sectPr w:rsidR="009F2CEB" w:rsidRPr="003C2D0D" w:rsidSect="009F2CEB">
          <w:pgSz w:w="16840" w:h="11900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71FED1EF" w14:textId="77777777" w:rsidR="009F2CEB" w:rsidRPr="003C2D0D" w:rsidRDefault="009F2CEB" w:rsidP="009F2CEB">
      <w:pPr>
        <w:rPr>
          <w:rFonts w:cs="Times New Roman"/>
          <w:color w:val="000000" w:themeColor="text1"/>
        </w:rPr>
      </w:pPr>
      <w:r w:rsidRPr="003C2D0D">
        <w:rPr>
          <w:rFonts w:cs="Times New Roman"/>
          <w:color w:val="000000" w:themeColor="text1"/>
        </w:rPr>
        <w:lastRenderedPageBreak/>
        <w:t>Supplementary Table 3. Exploratory univariable analysis of clinical characteristics, cerebrospinal fluid findings, treatment variables, and outcomes according to prognosis in Japanese patients with anti-mGluR1 antibody-associated cerebellar ataxia.</w:t>
      </w:r>
    </w:p>
    <w:p w14:paraId="57C8B5DC" w14:textId="77777777" w:rsidR="009F2CEB" w:rsidRPr="003C2D0D" w:rsidRDefault="009F2CEB" w:rsidP="009F2CEB">
      <w:pPr>
        <w:rPr>
          <w:rFonts w:cs="Times New Roman"/>
          <w:color w:val="000000" w:themeColor="text1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60"/>
        <w:gridCol w:w="4719"/>
        <w:gridCol w:w="4654"/>
        <w:gridCol w:w="795"/>
        <w:gridCol w:w="1272"/>
      </w:tblGrid>
      <w:tr w:rsidR="009F2CEB" w:rsidRPr="003C2D0D" w14:paraId="2CE9BFDB" w14:textId="77777777" w:rsidTr="002D5A62">
        <w:trPr>
          <w:trHeight w:val="280"/>
        </w:trPr>
        <w:tc>
          <w:tcPr>
            <w:tcW w:w="12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F5925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Variable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AD54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Good prognosis group (mRS ≤ 2 at last follow-up, n = 3)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D543A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Poor prognosis group (mRS ≥ 3 at last follow-up, n = 6)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90904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i/>
                <w:iCs/>
                <w:color w:val="000000" w:themeColor="text1"/>
                <w:sz w:val="18"/>
                <w:szCs w:val="18"/>
                <w:lang w:eastAsia="ja-JP"/>
              </w:rPr>
              <w:t>p</w:t>
            </w: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 xml:space="preserve"> value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FB68A1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95% CI</w:t>
            </w:r>
          </w:p>
        </w:tc>
      </w:tr>
      <w:tr w:rsidR="009F2CEB" w:rsidRPr="003C2D0D" w14:paraId="04827D5B" w14:textId="77777777" w:rsidTr="002D5A62">
        <w:trPr>
          <w:trHeight w:val="280"/>
        </w:trPr>
        <w:tc>
          <w:tcPr>
            <w:tcW w:w="12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2067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Age</w:t>
            </w:r>
            <w:r w:rsidRPr="003C2D0D">
              <w:rPr>
                <w:rFonts w:eastAsia="Yu Gothic" w:cs="Times New Roman"/>
                <w:color w:val="000000" w:themeColor="text1"/>
                <w:sz w:val="16"/>
                <w:szCs w:val="16"/>
              </w:rPr>
              <w:t xml:space="preserve"> (years)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E7E7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51 [51–58]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5508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64 [51–74]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FFE19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0.225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3ECDC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[−22.5, 7.0]</w:t>
            </w:r>
          </w:p>
        </w:tc>
      </w:tr>
      <w:tr w:rsidR="009F2CEB" w:rsidRPr="003C2D0D" w14:paraId="71771DA9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FBFD6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Sex (female), n (%)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F3BE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2 (66.7%)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ABC01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3 (50.0%)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B4218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&gt;0.999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3386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[0.11, 35.81]</w:t>
            </w:r>
          </w:p>
        </w:tc>
      </w:tr>
      <w:tr w:rsidR="009F2CEB" w:rsidRPr="003C2D0D" w14:paraId="08E18CF5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9DDC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Duration from onset to CSF sampling (months)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EA94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1.0 [0.75–4.5]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0342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2.0 [0.25–12]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C96BA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&gt;0.999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F350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[−6.5, 4.25]</w:t>
            </w:r>
          </w:p>
        </w:tc>
      </w:tr>
      <w:tr w:rsidR="009F2CEB" w:rsidRPr="003C2D0D" w14:paraId="71C3827A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956D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Cell counts (/</w:t>
            </w:r>
            <w:proofErr w:type="spellStart"/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μL</w:t>
            </w:r>
            <w:proofErr w:type="spellEnd"/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4522A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4 [1–6]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0DE9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4.5 [1–87]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90034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0.792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9BC8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[−43.0, 5.0]</w:t>
            </w:r>
          </w:p>
        </w:tc>
      </w:tr>
      <w:tr w:rsidR="009F2CEB" w:rsidRPr="003C2D0D" w14:paraId="6A265AF0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17BE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Protein levels (mg/dL)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C2BC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26 [22–31]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96FA7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38.5 [29–337]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D3022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0.070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C79B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[−172.5, 0.0]</w:t>
            </w:r>
          </w:p>
        </w:tc>
      </w:tr>
      <w:tr w:rsidR="009F2CEB" w:rsidRPr="003C2D0D" w14:paraId="2793144F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B93E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Oligoclonal band positive, n (%)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5381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1 (33.3%)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6A9C4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5 (83.3%)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BC05C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0.226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F628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[0.004, 2.50]</w:t>
            </w:r>
          </w:p>
        </w:tc>
      </w:tr>
      <w:tr w:rsidR="009F2CEB" w:rsidRPr="003C2D0D" w14:paraId="1E883DC0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ED09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Duration from onset to treatment (months)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461E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3.0 [1–6]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BE3B6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2.5 [1–12]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B70F7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0.894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9A83E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[−4.5, 5.0]</w:t>
            </w:r>
          </w:p>
        </w:tc>
      </w:tr>
      <w:tr w:rsidR="009F2CEB" w:rsidRPr="003C2D0D" w14:paraId="0196615E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59F7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Corticosteroid, n (%)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30187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1 (33.3%)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E708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6 (100%)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FFF1A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0.083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A5F4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Style w:val="aa"/>
                <w:rFonts w:cs="Times New Roman"/>
                <w:b w:val="0"/>
                <w:bCs w:val="0"/>
                <w:color w:val="000000" w:themeColor="text1"/>
                <w:sz w:val="18"/>
                <w:szCs w:val="18"/>
              </w:rPr>
              <w:t>–</w:t>
            </w:r>
          </w:p>
        </w:tc>
      </w:tr>
      <w:tr w:rsidR="009F2CEB" w:rsidRPr="003C2D0D" w14:paraId="4D9E4A19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21191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IVIG, n (%)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8A6EB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3 (100%)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8500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4 (66.7%)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33F79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0.500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6F127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Style w:val="aa"/>
                <w:rFonts w:cs="Times New Roman"/>
                <w:b w:val="0"/>
                <w:bCs w:val="0"/>
                <w:color w:val="000000" w:themeColor="text1"/>
                <w:sz w:val="18"/>
                <w:szCs w:val="18"/>
              </w:rPr>
              <w:t>–</w:t>
            </w:r>
          </w:p>
        </w:tc>
      </w:tr>
      <w:tr w:rsidR="009F2CEB" w:rsidRPr="003C2D0D" w14:paraId="4F81E64D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D6E4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PP, n (%)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BB74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264A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3 (50.0%)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C0FF2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0.464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C700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Style w:val="aa"/>
                <w:rFonts w:cs="Times New Roman"/>
                <w:b w:val="0"/>
                <w:bCs w:val="0"/>
                <w:color w:val="000000" w:themeColor="text1"/>
                <w:sz w:val="18"/>
                <w:szCs w:val="18"/>
              </w:rPr>
              <w:t>–</w:t>
            </w:r>
          </w:p>
        </w:tc>
      </w:tr>
      <w:tr w:rsidR="009F2CEB" w:rsidRPr="003C2D0D" w14:paraId="6A316CD7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CEF3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RTX, n (%)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0EEC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1 (33.3%)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7F04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1 (16.7%)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97D90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&gt;0.999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2F79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[0.10, 62.61]</w:t>
            </w:r>
          </w:p>
        </w:tc>
      </w:tr>
      <w:tr w:rsidR="009F2CEB" w:rsidRPr="003C2D0D" w14:paraId="1F673842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9602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IS, n (%)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A8F2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1 (33.3%)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2ED4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2 (33.3%)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6F299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&gt;0.999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5BE0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[0.05, 18.92]</w:t>
            </w:r>
          </w:p>
        </w:tc>
      </w:tr>
      <w:tr w:rsidR="009F2CEB" w:rsidRPr="003C2D0D" w14:paraId="45164A80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5F42C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mRS at presentation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51EAA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4 [2–4]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64211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4 [2–4]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145A4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0.722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978A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[−2.0, 1.0]</w:t>
            </w:r>
          </w:p>
        </w:tc>
      </w:tr>
      <w:tr w:rsidR="009F2CEB" w:rsidRPr="003C2D0D" w14:paraId="338ACD72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4F462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SARA at presentation</w:t>
            </w:r>
          </w:p>
        </w:tc>
        <w:tc>
          <w:tcPr>
            <w:tcW w:w="15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00BF3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19 [8–24]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73389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18.5 [13–32], n = 5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0D979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&gt;0.999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3D478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[−13.0, 9.0]</w:t>
            </w:r>
          </w:p>
        </w:tc>
      </w:tr>
      <w:tr w:rsidR="009F2CEB" w:rsidRPr="003C2D0D" w14:paraId="060BAB94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F85DB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mRS at 6 months after onset</w:t>
            </w:r>
          </w:p>
        </w:tc>
        <w:tc>
          <w:tcPr>
            <w:tcW w:w="153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2F0985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1 [0–1]</w:t>
            </w:r>
          </w:p>
        </w:tc>
        <w:tc>
          <w:tcPr>
            <w:tcW w:w="151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8D1267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4 [3–4]</w:t>
            </w:r>
          </w:p>
        </w:tc>
        <w:tc>
          <w:tcPr>
            <w:tcW w:w="25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07C027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0.021</w:t>
            </w:r>
          </w:p>
        </w:tc>
        <w:tc>
          <w:tcPr>
            <w:tcW w:w="41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635DA1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[−4.0, −2.0]</w:t>
            </w:r>
          </w:p>
        </w:tc>
      </w:tr>
      <w:tr w:rsidR="009F2CEB" w:rsidRPr="003C2D0D" w14:paraId="539F6A7C" w14:textId="77777777" w:rsidTr="002D5A62">
        <w:trPr>
          <w:trHeight w:val="280"/>
        </w:trPr>
        <w:tc>
          <w:tcPr>
            <w:tcW w:w="12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C20830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Relapse, n (%)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C0CE7D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BE5BF6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2 (33.3%)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DAE24F" w14:textId="77777777" w:rsidR="009F2CEB" w:rsidRPr="003C2D0D" w:rsidRDefault="009F2CEB" w:rsidP="002D5A62">
            <w:pPr>
              <w:spacing w:after="0" w:line="240" w:lineRule="auto"/>
              <w:jc w:val="right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  <w:t>0.500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28A06F" w14:textId="77777777" w:rsidR="009F2CEB" w:rsidRPr="003C2D0D" w:rsidRDefault="009F2CEB" w:rsidP="002D5A62">
            <w:pPr>
              <w:spacing w:after="0" w:line="240" w:lineRule="auto"/>
              <w:rPr>
                <w:rFonts w:eastAsia="ＭＳ Ｐゴシック" w:cs="Times New Roman"/>
                <w:color w:val="000000" w:themeColor="text1"/>
                <w:sz w:val="18"/>
                <w:szCs w:val="18"/>
                <w:lang w:eastAsia="ja-JP"/>
              </w:rPr>
            </w:pPr>
            <w:r w:rsidRPr="003C2D0D">
              <w:rPr>
                <w:rStyle w:val="aa"/>
                <w:rFonts w:cs="Times New Roman"/>
                <w:b w:val="0"/>
                <w:bCs w:val="0"/>
                <w:color w:val="000000" w:themeColor="text1"/>
                <w:sz w:val="18"/>
                <w:szCs w:val="18"/>
              </w:rPr>
              <w:t>–</w:t>
            </w:r>
          </w:p>
        </w:tc>
      </w:tr>
    </w:tbl>
    <w:p w14:paraId="25C4FEAD" w14:textId="77777777" w:rsidR="009F2CEB" w:rsidRPr="003C2D0D" w:rsidRDefault="009F2CEB" w:rsidP="009F2CEB">
      <w:pPr>
        <w:rPr>
          <w:rFonts w:cs="Times New Roman"/>
          <w:color w:val="000000" w:themeColor="text1"/>
        </w:rPr>
      </w:pPr>
    </w:p>
    <w:p w14:paraId="58BBFB13" w14:textId="49C0F667" w:rsidR="00B50EB4" w:rsidRPr="003C2D0D" w:rsidRDefault="009F2CEB">
      <w:pPr>
        <w:rPr>
          <w:rFonts w:cs="Times New Roman"/>
          <w:color w:val="000000" w:themeColor="text1"/>
          <w:lang w:eastAsia="ja-JP"/>
        </w:rPr>
      </w:pPr>
      <w:r w:rsidRPr="003C2D0D">
        <w:rPr>
          <w:rStyle w:val="aa"/>
          <w:rFonts w:cs="Times New Roman"/>
          <w:b w:val="0"/>
          <w:bCs w:val="0"/>
          <w:color w:val="000000" w:themeColor="text1"/>
        </w:rPr>
        <w:t>mRS, modified Rankin Scale; IVIG, intravenous immunoglobulin; IS, immunosuppressants; IVMP, intravenous methylprednisolone; PP, plasmapheresis; PSL, prednisolone; RTX, rituximab; SARA, Scale for the Assessment and Rating of Ataxia. Continuous variables are presented as median [range], and 95% CIs indicate the confidence intervals for the between-group differences. Categorical variables are presented as n (%), and 95% CIs indicate the confidence intervals for the odds ratios. Confidence intervals were not estimated when one cell contained zero.</w:t>
      </w:r>
    </w:p>
    <w:sectPr w:rsidR="00B50EB4" w:rsidRPr="003C2D0D" w:rsidSect="009F2CEB">
      <w:pgSz w:w="16840" w:h="11900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EB"/>
    <w:rsid w:val="00010CCA"/>
    <w:rsid w:val="00037BDC"/>
    <w:rsid w:val="00041DE4"/>
    <w:rsid w:val="00041EA9"/>
    <w:rsid w:val="00043E10"/>
    <w:rsid w:val="000556D9"/>
    <w:rsid w:val="000633A2"/>
    <w:rsid w:val="00072FC3"/>
    <w:rsid w:val="000758E4"/>
    <w:rsid w:val="00077631"/>
    <w:rsid w:val="00077E32"/>
    <w:rsid w:val="000810B3"/>
    <w:rsid w:val="000819A3"/>
    <w:rsid w:val="00086FA4"/>
    <w:rsid w:val="000A0237"/>
    <w:rsid w:val="000A2DE2"/>
    <w:rsid w:val="000B28F9"/>
    <w:rsid w:val="000B6BB4"/>
    <w:rsid w:val="000C390A"/>
    <w:rsid w:val="000C42DF"/>
    <w:rsid w:val="000C4F4A"/>
    <w:rsid w:val="000D62E3"/>
    <w:rsid w:val="000D7100"/>
    <w:rsid w:val="000F0BE1"/>
    <w:rsid w:val="000F3424"/>
    <w:rsid w:val="000F4E87"/>
    <w:rsid w:val="00100817"/>
    <w:rsid w:val="0010303F"/>
    <w:rsid w:val="001038CC"/>
    <w:rsid w:val="0010419C"/>
    <w:rsid w:val="001118A2"/>
    <w:rsid w:val="001120A9"/>
    <w:rsid w:val="00112E38"/>
    <w:rsid w:val="001175E1"/>
    <w:rsid w:val="00117B85"/>
    <w:rsid w:val="00121116"/>
    <w:rsid w:val="00121B51"/>
    <w:rsid w:val="00127A80"/>
    <w:rsid w:val="00134E1D"/>
    <w:rsid w:val="001469CF"/>
    <w:rsid w:val="00160B98"/>
    <w:rsid w:val="00166EA1"/>
    <w:rsid w:val="0017377D"/>
    <w:rsid w:val="00175296"/>
    <w:rsid w:val="0017539D"/>
    <w:rsid w:val="00175A7C"/>
    <w:rsid w:val="00175C6E"/>
    <w:rsid w:val="00180D7F"/>
    <w:rsid w:val="001819D7"/>
    <w:rsid w:val="00193230"/>
    <w:rsid w:val="001A121D"/>
    <w:rsid w:val="001A3750"/>
    <w:rsid w:val="001A7719"/>
    <w:rsid w:val="001B2C53"/>
    <w:rsid w:val="001B59E6"/>
    <w:rsid w:val="001C1432"/>
    <w:rsid w:val="001C27FD"/>
    <w:rsid w:val="001C3B8F"/>
    <w:rsid w:val="001C53DA"/>
    <w:rsid w:val="001D4C71"/>
    <w:rsid w:val="001D64CC"/>
    <w:rsid w:val="001E2D70"/>
    <w:rsid w:val="001E33C9"/>
    <w:rsid w:val="001F340D"/>
    <w:rsid w:val="00201951"/>
    <w:rsid w:val="00205D63"/>
    <w:rsid w:val="00206F17"/>
    <w:rsid w:val="00210473"/>
    <w:rsid w:val="00217981"/>
    <w:rsid w:val="00230FC4"/>
    <w:rsid w:val="00237045"/>
    <w:rsid w:val="00245D79"/>
    <w:rsid w:val="00253A39"/>
    <w:rsid w:val="00255014"/>
    <w:rsid w:val="002678D4"/>
    <w:rsid w:val="0027596F"/>
    <w:rsid w:val="002858BE"/>
    <w:rsid w:val="00290023"/>
    <w:rsid w:val="00293D0B"/>
    <w:rsid w:val="002A21F7"/>
    <w:rsid w:val="002A4C0C"/>
    <w:rsid w:val="002A5A75"/>
    <w:rsid w:val="002A6162"/>
    <w:rsid w:val="002A6E9D"/>
    <w:rsid w:val="002A795F"/>
    <w:rsid w:val="002B6581"/>
    <w:rsid w:val="002B703E"/>
    <w:rsid w:val="002D3781"/>
    <w:rsid w:val="002D4632"/>
    <w:rsid w:val="002D7CE6"/>
    <w:rsid w:val="002F2149"/>
    <w:rsid w:val="002F26C7"/>
    <w:rsid w:val="002F7086"/>
    <w:rsid w:val="0030575B"/>
    <w:rsid w:val="003077B4"/>
    <w:rsid w:val="00315E4F"/>
    <w:rsid w:val="00317B6C"/>
    <w:rsid w:val="00320E42"/>
    <w:rsid w:val="00327E79"/>
    <w:rsid w:val="0033420B"/>
    <w:rsid w:val="0033509E"/>
    <w:rsid w:val="003350EE"/>
    <w:rsid w:val="00335306"/>
    <w:rsid w:val="00336543"/>
    <w:rsid w:val="00345461"/>
    <w:rsid w:val="00345884"/>
    <w:rsid w:val="00346259"/>
    <w:rsid w:val="00356820"/>
    <w:rsid w:val="00363551"/>
    <w:rsid w:val="00363CFA"/>
    <w:rsid w:val="00365280"/>
    <w:rsid w:val="003659E3"/>
    <w:rsid w:val="00365E7F"/>
    <w:rsid w:val="0037068C"/>
    <w:rsid w:val="00375117"/>
    <w:rsid w:val="00380E3F"/>
    <w:rsid w:val="00382939"/>
    <w:rsid w:val="00387D3F"/>
    <w:rsid w:val="00397463"/>
    <w:rsid w:val="00397BA0"/>
    <w:rsid w:val="003A2E13"/>
    <w:rsid w:val="003A7DE1"/>
    <w:rsid w:val="003C2726"/>
    <w:rsid w:val="003C2D0D"/>
    <w:rsid w:val="003C33B9"/>
    <w:rsid w:val="003D1E22"/>
    <w:rsid w:val="003E2368"/>
    <w:rsid w:val="003F4367"/>
    <w:rsid w:val="00406E35"/>
    <w:rsid w:val="00413530"/>
    <w:rsid w:val="0041618D"/>
    <w:rsid w:val="00423AA2"/>
    <w:rsid w:val="00426D63"/>
    <w:rsid w:val="0043652F"/>
    <w:rsid w:val="00440D04"/>
    <w:rsid w:val="004432E4"/>
    <w:rsid w:val="00453363"/>
    <w:rsid w:val="00456443"/>
    <w:rsid w:val="0046438B"/>
    <w:rsid w:val="004654DA"/>
    <w:rsid w:val="004676CC"/>
    <w:rsid w:val="00472677"/>
    <w:rsid w:val="00476AC6"/>
    <w:rsid w:val="00477226"/>
    <w:rsid w:val="004779F2"/>
    <w:rsid w:val="00481867"/>
    <w:rsid w:val="00482A6B"/>
    <w:rsid w:val="0049150B"/>
    <w:rsid w:val="0049366D"/>
    <w:rsid w:val="00493912"/>
    <w:rsid w:val="00493D40"/>
    <w:rsid w:val="004A6538"/>
    <w:rsid w:val="004B223B"/>
    <w:rsid w:val="004B465C"/>
    <w:rsid w:val="004C3736"/>
    <w:rsid w:val="004C4578"/>
    <w:rsid w:val="004D1F26"/>
    <w:rsid w:val="004D3371"/>
    <w:rsid w:val="004D7965"/>
    <w:rsid w:val="004E019E"/>
    <w:rsid w:val="004E1FC8"/>
    <w:rsid w:val="004E59DE"/>
    <w:rsid w:val="004F14DC"/>
    <w:rsid w:val="004F78E1"/>
    <w:rsid w:val="00501D12"/>
    <w:rsid w:val="00502283"/>
    <w:rsid w:val="00503342"/>
    <w:rsid w:val="00504F6A"/>
    <w:rsid w:val="005176CF"/>
    <w:rsid w:val="00526356"/>
    <w:rsid w:val="0052795B"/>
    <w:rsid w:val="005364DA"/>
    <w:rsid w:val="005403E3"/>
    <w:rsid w:val="00541043"/>
    <w:rsid w:val="00542951"/>
    <w:rsid w:val="005441F1"/>
    <w:rsid w:val="00544BAB"/>
    <w:rsid w:val="00547438"/>
    <w:rsid w:val="00556F8C"/>
    <w:rsid w:val="0056319F"/>
    <w:rsid w:val="005729FA"/>
    <w:rsid w:val="00574738"/>
    <w:rsid w:val="0057495D"/>
    <w:rsid w:val="00581CAB"/>
    <w:rsid w:val="005828E6"/>
    <w:rsid w:val="00583AAD"/>
    <w:rsid w:val="00584DFB"/>
    <w:rsid w:val="00586DB7"/>
    <w:rsid w:val="005874EC"/>
    <w:rsid w:val="00595250"/>
    <w:rsid w:val="00596081"/>
    <w:rsid w:val="005970E7"/>
    <w:rsid w:val="005A2284"/>
    <w:rsid w:val="005A253A"/>
    <w:rsid w:val="005A4849"/>
    <w:rsid w:val="005B63B1"/>
    <w:rsid w:val="005C1D7A"/>
    <w:rsid w:val="005C3124"/>
    <w:rsid w:val="005C42DE"/>
    <w:rsid w:val="005C78EE"/>
    <w:rsid w:val="005D7D39"/>
    <w:rsid w:val="005E5408"/>
    <w:rsid w:val="005E7320"/>
    <w:rsid w:val="005F0CE6"/>
    <w:rsid w:val="005F2E0E"/>
    <w:rsid w:val="00602116"/>
    <w:rsid w:val="00605781"/>
    <w:rsid w:val="006071BA"/>
    <w:rsid w:val="00622411"/>
    <w:rsid w:val="00631C39"/>
    <w:rsid w:val="0063541C"/>
    <w:rsid w:val="00676F6F"/>
    <w:rsid w:val="00677B0B"/>
    <w:rsid w:val="006827A8"/>
    <w:rsid w:val="0068529B"/>
    <w:rsid w:val="006923AE"/>
    <w:rsid w:val="006A2353"/>
    <w:rsid w:val="006A26B2"/>
    <w:rsid w:val="006A46EC"/>
    <w:rsid w:val="006A5F67"/>
    <w:rsid w:val="006A7D4E"/>
    <w:rsid w:val="006B4EC0"/>
    <w:rsid w:val="006C162D"/>
    <w:rsid w:val="006D57A5"/>
    <w:rsid w:val="006E1C98"/>
    <w:rsid w:val="006E25B2"/>
    <w:rsid w:val="006F0C6B"/>
    <w:rsid w:val="006F4573"/>
    <w:rsid w:val="006F5D4F"/>
    <w:rsid w:val="00721077"/>
    <w:rsid w:val="007250A5"/>
    <w:rsid w:val="0073172E"/>
    <w:rsid w:val="0073632B"/>
    <w:rsid w:val="0074210F"/>
    <w:rsid w:val="007509F9"/>
    <w:rsid w:val="00751129"/>
    <w:rsid w:val="0075618C"/>
    <w:rsid w:val="00762A0C"/>
    <w:rsid w:val="007703D7"/>
    <w:rsid w:val="00771AE7"/>
    <w:rsid w:val="00774EA2"/>
    <w:rsid w:val="00785A0F"/>
    <w:rsid w:val="0079261A"/>
    <w:rsid w:val="007A097D"/>
    <w:rsid w:val="007A4C90"/>
    <w:rsid w:val="007A7735"/>
    <w:rsid w:val="007B1C96"/>
    <w:rsid w:val="007B730B"/>
    <w:rsid w:val="007C3F18"/>
    <w:rsid w:val="007D38D8"/>
    <w:rsid w:val="007D5EA6"/>
    <w:rsid w:val="007D6782"/>
    <w:rsid w:val="007E11D5"/>
    <w:rsid w:val="007E1BF8"/>
    <w:rsid w:val="007F3E7B"/>
    <w:rsid w:val="007F6711"/>
    <w:rsid w:val="00801094"/>
    <w:rsid w:val="0080167B"/>
    <w:rsid w:val="00801EE3"/>
    <w:rsid w:val="00814D7C"/>
    <w:rsid w:val="0082493B"/>
    <w:rsid w:val="00827CC8"/>
    <w:rsid w:val="00830E63"/>
    <w:rsid w:val="00830F5A"/>
    <w:rsid w:val="008326E0"/>
    <w:rsid w:val="0083673D"/>
    <w:rsid w:val="00837875"/>
    <w:rsid w:val="00843566"/>
    <w:rsid w:val="00844326"/>
    <w:rsid w:val="00857D53"/>
    <w:rsid w:val="00860CD9"/>
    <w:rsid w:val="0087162B"/>
    <w:rsid w:val="00872B45"/>
    <w:rsid w:val="00872C01"/>
    <w:rsid w:val="00874F65"/>
    <w:rsid w:val="0088198E"/>
    <w:rsid w:val="008934C9"/>
    <w:rsid w:val="008971E4"/>
    <w:rsid w:val="00897E7D"/>
    <w:rsid w:val="008B50DB"/>
    <w:rsid w:val="008B703E"/>
    <w:rsid w:val="008C1EAB"/>
    <w:rsid w:val="008D139C"/>
    <w:rsid w:val="008D4E43"/>
    <w:rsid w:val="008D7DE5"/>
    <w:rsid w:val="008E24ED"/>
    <w:rsid w:val="008E49F5"/>
    <w:rsid w:val="008E5A72"/>
    <w:rsid w:val="008E5D72"/>
    <w:rsid w:val="008F0084"/>
    <w:rsid w:val="008F27E2"/>
    <w:rsid w:val="008F5B69"/>
    <w:rsid w:val="00905606"/>
    <w:rsid w:val="009123AA"/>
    <w:rsid w:val="00917F7C"/>
    <w:rsid w:val="00923707"/>
    <w:rsid w:val="0093175B"/>
    <w:rsid w:val="00931C93"/>
    <w:rsid w:val="009354C5"/>
    <w:rsid w:val="00943764"/>
    <w:rsid w:val="00945E9C"/>
    <w:rsid w:val="00950D80"/>
    <w:rsid w:val="00963A7F"/>
    <w:rsid w:val="0096490A"/>
    <w:rsid w:val="00966101"/>
    <w:rsid w:val="00975646"/>
    <w:rsid w:val="0097738F"/>
    <w:rsid w:val="009862CC"/>
    <w:rsid w:val="00986C51"/>
    <w:rsid w:val="009930D3"/>
    <w:rsid w:val="009942D6"/>
    <w:rsid w:val="00997CDF"/>
    <w:rsid w:val="009A4EB3"/>
    <w:rsid w:val="009A72F4"/>
    <w:rsid w:val="009B162A"/>
    <w:rsid w:val="009B28D1"/>
    <w:rsid w:val="009C092E"/>
    <w:rsid w:val="009C2CFA"/>
    <w:rsid w:val="009D3D89"/>
    <w:rsid w:val="009E3424"/>
    <w:rsid w:val="009F2CEB"/>
    <w:rsid w:val="009F6099"/>
    <w:rsid w:val="009F6548"/>
    <w:rsid w:val="00A00298"/>
    <w:rsid w:val="00A14A40"/>
    <w:rsid w:val="00A20BC3"/>
    <w:rsid w:val="00A233C7"/>
    <w:rsid w:val="00A233E4"/>
    <w:rsid w:val="00A3715C"/>
    <w:rsid w:val="00A4137A"/>
    <w:rsid w:val="00A4754F"/>
    <w:rsid w:val="00A47700"/>
    <w:rsid w:val="00A545A9"/>
    <w:rsid w:val="00A56B43"/>
    <w:rsid w:val="00A61311"/>
    <w:rsid w:val="00A62A80"/>
    <w:rsid w:val="00A663F3"/>
    <w:rsid w:val="00A66FF6"/>
    <w:rsid w:val="00A72D6E"/>
    <w:rsid w:val="00A7335A"/>
    <w:rsid w:val="00A874E6"/>
    <w:rsid w:val="00A95978"/>
    <w:rsid w:val="00A95AFF"/>
    <w:rsid w:val="00A96E81"/>
    <w:rsid w:val="00AA18A9"/>
    <w:rsid w:val="00AA570D"/>
    <w:rsid w:val="00AA7E54"/>
    <w:rsid w:val="00AB23D5"/>
    <w:rsid w:val="00AB53F4"/>
    <w:rsid w:val="00AB6FC9"/>
    <w:rsid w:val="00AC78D2"/>
    <w:rsid w:val="00AD3E41"/>
    <w:rsid w:val="00AE2BFD"/>
    <w:rsid w:val="00AE5BE4"/>
    <w:rsid w:val="00AE63E4"/>
    <w:rsid w:val="00AF26B7"/>
    <w:rsid w:val="00B01D63"/>
    <w:rsid w:val="00B02417"/>
    <w:rsid w:val="00B031E7"/>
    <w:rsid w:val="00B1101F"/>
    <w:rsid w:val="00B3039B"/>
    <w:rsid w:val="00B34556"/>
    <w:rsid w:val="00B35383"/>
    <w:rsid w:val="00B36B84"/>
    <w:rsid w:val="00B401A2"/>
    <w:rsid w:val="00B421C3"/>
    <w:rsid w:val="00B445AC"/>
    <w:rsid w:val="00B4640D"/>
    <w:rsid w:val="00B50EB4"/>
    <w:rsid w:val="00B51D35"/>
    <w:rsid w:val="00B57F8A"/>
    <w:rsid w:val="00B64ADC"/>
    <w:rsid w:val="00B7244E"/>
    <w:rsid w:val="00B730F8"/>
    <w:rsid w:val="00B844F4"/>
    <w:rsid w:val="00B92CED"/>
    <w:rsid w:val="00B94298"/>
    <w:rsid w:val="00B9503C"/>
    <w:rsid w:val="00BA1C06"/>
    <w:rsid w:val="00BA7954"/>
    <w:rsid w:val="00BB530D"/>
    <w:rsid w:val="00BC0348"/>
    <w:rsid w:val="00BC68DB"/>
    <w:rsid w:val="00BD041D"/>
    <w:rsid w:val="00BD04D3"/>
    <w:rsid w:val="00BD3F58"/>
    <w:rsid w:val="00BD443A"/>
    <w:rsid w:val="00BD7B73"/>
    <w:rsid w:val="00BE0ACC"/>
    <w:rsid w:val="00BE60CC"/>
    <w:rsid w:val="00BE7225"/>
    <w:rsid w:val="00BF6302"/>
    <w:rsid w:val="00C041F7"/>
    <w:rsid w:val="00C11480"/>
    <w:rsid w:val="00C1369E"/>
    <w:rsid w:val="00C303B3"/>
    <w:rsid w:val="00C36D02"/>
    <w:rsid w:val="00C377C8"/>
    <w:rsid w:val="00C41F70"/>
    <w:rsid w:val="00C53772"/>
    <w:rsid w:val="00C53FC5"/>
    <w:rsid w:val="00C56CF9"/>
    <w:rsid w:val="00C72298"/>
    <w:rsid w:val="00C756BB"/>
    <w:rsid w:val="00C80053"/>
    <w:rsid w:val="00C93BD1"/>
    <w:rsid w:val="00CA55A0"/>
    <w:rsid w:val="00CA7EC5"/>
    <w:rsid w:val="00CB18DC"/>
    <w:rsid w:val="00CB6D25"/>
    <w:rsid w:val="00CC2376"/>
    <w:rsid w:val="00CC64F0"/>
    <w:rsid w:val="00CD5073"/>
    <w:rsid w:val="00CD5C1C"/>
    <w:rsid w:val="00CD6220"/>
    <w:rsid w:val="00CE1248"/>
    <w:rsid w:val="00CE552E"/>
    <w:rsid w:val="00CF2D01"/>
    <w:rsid w:val="00CF41AD"/>
    <w:rsid w:val="00CF711D"/>
    <w:rsid w:val="00CF7399"/>
    <w:rsid w:val="00D07945"/>
    <w:rsid w:val="00D24456"/>
    <w:rsid w:val="00D24828"/>
    <w:rsid w:val="00D277F0"/>
    <w:rsid w:val="00D31565"/>
    <w:rsid w:val="00D41ED5"/>
    <w:rsid w:val="00D5183F"/>
    <w:rsid w:val="00D60A21"/>
    <w:rsid w:val="00D6196C"/>
    <w:rsid w:val="00D641F0"/>
    <w:rsid w:val="00D67956"/>
    <w:rsid w:val="00D71573"/>
    <w:rsid w:val="00D76DC0"/>
    <w:rsid w:val="00D77689"/>
    <w:rsid w:val="00D81577"/>
    <w:rsid w:val="00D86A48"/>
    <w:rsid w:val="00D86D56"/>
    <w:rsid w:val="00D87201"/>
    <w:rsid w:val="00D8750E"/>
    <w:rsid w:val="00D976E6"/>
    <w:rsid w:val="00DA260B"/>
    <w:rsid w:val="00DA7CE2"/>
    <w:rsid w:val="00DC015F"/>
    <w:rsid w:val="00DC34D8"/>
    <w:rsid w:val="00DC5041"/>
    <w:rsid w:val="00DC7FB4"/>
    <w:rsid w:val="00DD51AA"/>
    <w:rsid w:val="00DD5CB0"/>
    <w:rsid w:val="00DE14C4"/>
    <w:rsid w:val="00DF2C2C"/>
    <w:rsid w:val="00E05FD0"/>
    <w:rsid w:val="00E114A5"/>
    <w:rsid w:val="00E15212"/>
    <w:rsid w:val="00E33217"/>
    <w:rsid w:val="00E3349C"/>
    <w:rsid w:val="00E35018"/>
    <w:rsid w:val="00E366C0"/>
    <w:rsid w:val="00E62FC8"/>
    <w:rsid w:val="00E63E93"/>
    <w:rsid w:val="00E921C2"/>
    <w:rsid w:val="00E93677"/>
    <w:rsid w:val="00E963C4"/>
    <w:rsid w:val="00E97704"/>
    <w:rsid w:val="00EA0352"/>
    <w:rsid w:val="00EA0561"/>
    <w:rsid w:val="00EA1402"/>
    <w:rsid w:val="00EA237D"/>
    <w:rsid w:val="00EA3EDE"/>
    <w:rsid w:val="00EB3394"/>
    <w:rsid w:val="00EC37E3"/>
    <w:rsid w:val="00EC39E8"/>
    <w:rsid w:val="00EC5E8E"/>
    <w:rsid w:val="00ED4F3D"/>
    <w:rsid w:val="00ED67EE"/>
    <w:rsid w:val="00EF2D21"/>
    <w:rsid w:val="00EF4CBC"/>
    <w:rsid w:val="00F0334E"/>
    <w:rsid w:val="00F10D5A"/>
    <w:rsid w:val="00F30799"/>
    <w:rsid w:val="00F31026"/>
    <w:rsid w:val="00F3665D"/>
    <w:rsid w:val="00F4745B"/>
    <w:rsid w:val="00F52166"/>
    <w:rsid w:val="00F548B0"/>
    <w:rsid w:val="00F5615E"/>
    <w:rsid w:val="00F577A2"/>
    <w:rsid w:val="00F66637"/>
    <w:rsid w:val="00F8153B"/>
    <w:rsid w:val="00F81674"/>
    <w:rsid w:val="00F86900"/>
    <w:rsid w:val="00F90578"/>
    <w:rsid w:val="00F92A36"/>
    <w:rsid w:val="00F94C9C"/>
    <w:rsid w:val="00F97F45"/>
    <w:rsid w:val="00FA073B"/>
    <w:rsid w:val="00FA1F03"/>
    <w:rsid w:val="00FA671F"/>
    <w:rsid w:val="00FA75A5"/>
    <w:rsid w:val="00FB60FA"/>
    <w:rsid w:val="00FC5589"/>
    <w:rsid w:val="00FC72ED"/>
    <w:rsid w:val="00FD08B2"/>
    <w:rsid w:val="00FD60DF"/>
    <w:rsid w:val="00FE2AC3"/>
    <w:rsid w:val="00FF1404"/>
    <w:rsid w:val="00FF2F18"/>
    <w:rsid w:val="00FF608E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DB37EC"/>
  <w15:chartTrackingRefBased/>
  <w15:docId w15:val="{6E4CBBC8-B422-CD42-B7CB-24F6D796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CEB"/>
    <w:pPr>
      <w:spacing w:after="200" w:line="276" w:lineRule="auto"/>
    </w:pPr>
    <w:rPr>
      <w:rFonts w:ascii="Times New Roman" w:hAnsi="Times New Roman"/>
      <w:kern w:val="0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F2CEB"/>
    <w:pPr>
      <w:keepNext/>
      <w:keepLines/>
      <w:widowControl w:val="0"/>
      <w:spacing w:before="2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CEB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CEB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ja-JP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CEB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CEB"/>
    <w:pPr>
      <w:keepNext/>
      <w:keepLines/>
      <w:widowControl w:val="0"/>
      <w:spacing w:before="80" w:after="40" w:line="240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CEB"/>
    <w:pPr>
      <w:keepNext/>
      <w:keepLines/>
      <w:widowControl w:val="0"/>
      <w:spacing w:before="80" w:after="40" w:line="240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CEB"/>
    <w:pPr>
      <w:keepNext/>
      <w:keepLines/>
      <w:widowControl w:val="0"/>
      <w:spacing w:before="80" w:after="40" w:line="240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CEB"/>
    <w:pPr>
      <w:keepNext/>
      <w:keepLines/>
      <w:widowControl w:val="0"/>
      <w:spacing w:before="80" w:after="40" w:line="240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CEB"/>
    <w:pPr>
      <w:keepNext/>
      <w:keepLines/>
      <w:widowControl w:val="0"/>
      <w:spacing w:before="80" w:after="40" w:line="240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2C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2C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2CE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F2C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2C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2C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2C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2C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2C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2CEB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a4">
    <w:name w:val="表題 (文字)"/>
    <w:basedOn w:val="a0"/>
    <w:link w:val="a3"/>
    <w:uiPriority w:val="10"/>
    <w:rsid w:val="009F2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CEB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</w:rPr>
  </w:style>
  <w:style w:type="character" w:customStyle="1" w:styleId="a6">
    <w:name w:val="副題 (文字)"/>
    <w:basedOn w:val="a0"/>
    <w:link w:val="a5"/>
    <w:uiPriority w:val="11"/>
    <w:rsid w:val="009F2C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2CEB"/>
    <w:pPr>
      <w:widowControl w:val="0"/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1"/>
      <w:szCs w:val="24"/>
      <w:lang w:eastAsia="ja-JP"/>
    </w:rPr>
  </w:style>
  <w:style w:type="character" w:customStyle="1" w:styleId="a8">
    <w:name w:val="引用文 (文字)"/>
    <w:basedOn w:val="a0"/>
    <w:link w:val="a7"/>
    <w:uiPriority w:val="29"/>
    <w:rsid w:val="009F2C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2CEB"/>
    <w:pPr>
      <w:widowControl w:val="0"/>
      <w:spacing w:after="0" w:line="240" w:lineRule="auto"/>
      <w:ind w:left="720"/>
      <w:contextualSpacing/>
      <w:jc w:val="both"/>
    </w:pPr>
    <w:rPr>
      <w:rFonts w:asciiTheme="minorHAnsi" w:hAnsiTheme="minorHAnsi"/>
      <w:kern w:val="2"/>
      <w:sz w:val="21"/>
      <w:szCs w:val="24"/>
      <w:lang w:eastAsia="ja-JP"/>
    </w:rPr>
  </w:style>
  <w:style w:type="character" w:styleId="21">
    <w:name w:val="Intense Emphasis"/>
    <w:basedOn w:val="a0"/>
    <w:uiPriority w:val="21"/>
    <w:qFormat/>
    <w:rsid w:val="009F2C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2CEB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1"/>
      <w:szCs w:val="24"/>
      <w:lang w:eastAsia="ja-JP"/>
    </w:rPr>
  </w:style>
  <w:style w:type="character" w:customStyle="1" w:styleId="23">
    <w:name w:val="引用文 2 (文字)"/>
    <w:basedOn w:val="a0"/>
    <w:link w:val="22"/>
    <w:uiPriority w:val="30"/>
    <w:rsid w:val="009F2CE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F2CEB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9F2C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740</Words>
  <Characters>3732</Characters>
  <Application>Microsoft Office Word</Application>
  <DocSecurity>0</DocSecurity>
  <Lines>331</Lines>
  <Paragraphs>310</Paragraphs>
  <ScaleCrop>false</ScaleCrop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延亮 吉倉</dc:creator>
  <cp:keywords/>
  <dc:description/>
  <cp:lastModifiedBy>延亮 吉倉</cp:lastModifiedBy>
  <cp:revision>2</cp:revision>
  <dcterms:created xsi:type="dcterms:W3CDTF">2026-09-07T13:10:00Z</dcterms:created>
  <dcterms:modified xsi:type="dcterms:W3CDTF">2026-09-07T13:55:00Z</dcterms:modified>
</cp:coreProperties>
</file>