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8B" w:rsidRPr="00AF0A22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A22">
        <w:rPr>
          <w:rFonts w:ascii="Times New Roman" w:hAnsi="Times New Roman" w:cs="Times New Roman"/>
          <w:b/>
          <w:sz w:val="24"/>
          <w:szCs w:val="24"/>
        </w:rPr>
        <w:t>Appendix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051"/>
        <w:tblW w:w="8648" w:type="dxa"/>
        <w:tblLayout w:type="fixed"/>
        <w:tblLook w:val="04A0" w:firstRow="1" w:lastRow="0" w:firstColumn="1" w:lastColumn="0" w:noHBand="0" w:noVBand="1"/>
      </w:tblPr>
      <w:tblGrid>
        <w:gridCol w:w="1419"/>
        <w:gridCol w:w="2268"/>
        <w:gridCol w:w="1559"/>
        <w:gridCol w:w="851"/>
        <w:gridCol w:w="1276"/>
        <w:gridCol w:w="1275"/>
      </w:tblGrid>
      <w:tr w:rsidR="00C9148B" w:rsidRPr="00A75C1D" w:rsidTr="009B65AB">
        <w:tc>
          <w:tcPr>
            <w:tcW w:w="1419" w:type="dxa"/>
            <w:tcBorders>
              <w:right w:val="nil"/>
            </w:tcBorders>
          </w:tcPr>
          <w:p w:rsidR="00C9148B" w:rsidRPr="009667D1" w:rsidRDefault="00C9148B" w:rsidP="009B65A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>Product name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C9148B" w:rsidRPr="009667D1" w:rsidRDefault="00C9148B" w:rsidP="009B65A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>Manufacturer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9148B" w:rsidRPr="009667D1" w:rsidRDefault="00C9148B" w:rsidP="009B65A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>Hyaluronic acid source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9148B" w:rsidRPr="009667D1" w:rsidRDefault="00C9148B" w:rsidP="009B65A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Dose (mL)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C9148B" w:rsidRPr="009667D1" w:rsidRDefault="00C9148B" w:rsidP="009B65A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>Number of weekly injections</w:t>
            </w:r>
          </w:p>
        </w:tc>
        <w:tc>
          <w:tcPr>
            <w:tcW w:w="1275" w:type="dxa"/>
            <w:tcBorders>
              <w:left w:val="nil"/>
            </w:tcBorders>
          </w:tcPr>
          <w:p w:rsidR="00C9148B" w:rsidRPr="009667D1" w:rsidRDefault="00C9148B" w:rsidP="009B65A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>Mean molecular weight (</w:t>
            </w:r>
            <w:proofErr w:type="spellStart"/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>kDa</w:t>
            </w:r>
            <w:proofErr w:type="spellEnd"/>
            <w:r w:rsidRPr="009667D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9148B" w:rsidRPr="00A75C1D" w:rsidTr="009B65AB">
        <w:tc>
          <w:tcPr>
            <w:tcW w:w="1419" w:type="dxa"/>
            <w:tcBorders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C1D">
              <w:rPr>
                <w:rFonts w:ascii="Times New Roman" w:eastAsia="AdvTimes" w:hAnsi="Times New Roman" w:cs="Times New Roman"/>
                <w:sz w:val="24"/>
                <w:szCs w:val="24"/>
              </w:rPr>
              <w:t>Euflexxa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C1D">
              <w:rPr>
                <w:rFonts w:ascii="Times New Roman" w:eastAsia="AdvTimes" w:hAnsi="Times New Roman" w:cs="Times New Roman"/>
                <w:sz w:val="24"/>
                <w:szCs w:val="24"/>
              </w:rPr>
              <w:t>Ferring</w:t>
            </w:r>
            <w:proofErr w:type="spellEnd"/>
            <w:r w:rsidRPr="00A75C1D">
              <w:rPr>
                <w:rFonts w:ascii="Times New Roman" w:eastAsia="AdvTimes" w:hAnsi="Times New Roman" w:cs="Times New Roman"/>
                <w:sz w:val="24"/>
                <w:szCs w:val="24"/>
              </w:rPr>
              <w:t xml:space="preserve"> Pharmaceuticals, </w:t>
            </w: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Saint-</w:t>
            </w:r>
            <w:proofErr w:type="spellStart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Prex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, Switzerland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Bacterial fermentation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2,400-3,600</w:t>
            </w:r>
          </w:p>
        </w:tc>
      </w:tr>
      <w:tr w:rsidR="00C9148B" w:rsidRPr="00A75C1D" w:rsidTr="009B65AB">
        <w:tc>
          <w:tcPr>
            <w:tcW w:w="1419" w:type="dxa"/>
            <w:tcBorders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C1D">
              <w:rPr>
                <w:rFonts w:ascii="Times New Roman" w:eastAsia="AdvTimes" w:hAnsi="Times New Roman" w:cs="Times New Roman"/>
                <w:sz w:val="24"/>
                <w:szCs w:val="24"/>
              </w:rPr>
              <w:t>Hyalgan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Fidia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 xml:space="preserve"> Pharmaceutical, Padua, Italy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Rooster combs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275" w:type="dxa"/>
            <w:tcBorders>
              <w:lef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500-730</w:t>
            </w:r>
          </w:p>
        </w:tc>
      </w:tr>
      <w:tr w:rsidR="00C9148B" w:rsidRPr="00A75C1D" w:rsidTr="009B65AB">
        <w:tc>
          <w:tcPr>
            <w:tcW w:w="1419" w:type="dxa"/>
            <w:tcBorders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C1D">
              <w:rPr>
                <w:rFonts w:ascii="Times New Roman" w:eastAsia="AdvTimes" w:hAnsi="Times New Roman" w:cs="Times New Roman"/>
                <w:sz w:val="24"/>
                <w:szCs w:val="24"/>
              </w:rPr>
              <w:t>Supartz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Seikagaku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 xml:space="preserve"> Corporation, Tokyo, Japan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Rooster</w:t>
            </w: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 xml:space="preserve"> combs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275" w:type="dxa"/>
            <w:tcBorders>
              <w:lef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630-1,170</w:t>
            </w:r>
          </w:p>
        </w:tc>
      </w:tr>
      <w:tr w:rsidR="00C9148B" w:rsidRPr="00A75C1D" w:rsidTr="009B65AB">
        <w:tc>
          <w:tcPr>
            <w:tcW w:w="1419" w:type="dxa"/>
            <w:tcBorders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C1D">
              <w:rPr>
                <w:rFonts w:ascii="Times New Roman" w:eastAsia="AdvTimes" w:hAnsi="Times New Roman" w:cs="Times New Roman"/>
                <w:sz w:val="24"/>
                <w:szCs w:val="24"/>
              </w:rPr>
              <w:t>Synvisc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 xml:space="preserve">Genzyme </w:t>
            </w:r>
            <w:proofErr w:type="spellStart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Biosurgery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, Ridgefield, NJ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Rooster</w:t>
            </w: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 xml:space="preserve"> combs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D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C9148B" w:rsidRPr="00A75C1D" w:rsidTr="009B65AB">
        <w:tc>
          <w:tcPr>
            <w:tcW w:w="1419" w:type="dxa"/>
            <w:tcBorders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eastAsia="AdvTime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dvTimes" w:hAnsi="Times New Roman" w:cs="Times New Roman"/>
                <w:sz w:val="24"/>
                <w:szCs w:val="24"/>
              </w:rPr>
              <w:t>Durolane</w:t>
            </w:r>
            <w:proofErr w:type="spellEnd"/>
            <w:r w:rsidRPr="00A75C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Bioventus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Hoofddorp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66B3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9148B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NASHA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C9148B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nil"/>
            </w:tcBorders>
          </w:tcPr>
          <w:p w:rsidR="00C9148B" w:rsidRPr="00A75C1D" w:rsidRDefault="00C9148B" w:rsidP="009B6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Gel*</w:t>
            </w:r>
          </w:p>
        </w:tc>
      </w:tr>
    </w:tbl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C9148B" w:rsidRDefault="00C9148B" w:rsidP="00C9148B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NASHA: Non-animal stabilized hyaluronic acid</w:t>
      </w:r>
    </w:p>
    <w:p w:rsidR="00C9148B" w:rsidRPr="00051387" w:rsidRDefault="00C9148B" w:rsidP="00C9148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*</w:t>
      </w:r>
      <w:proofErr w:type="spellStart"/>
      <w:r>
        <w:rPr>
          <w:rFonts w:ascii="Times New Roman" w:hAnsi="Times New Roman" w:cs="Times New Roman"/>
          <w:sz w:val="20"/>
          <w:szCs w:val="20"/>
        </w:rPr>
        <w:t>Durolane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is a viscous gel-like substance that is not characterized by molecular weight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A226C1" w:rsidRDefault="00A226C1">
      <w:bookmarkStart w:id="0" w:name="_GoBack"/>
      <w:bookmarkEnd w:id="0"/>
    </w:p>
    <w:sectPr w:rsidR="00A226C1" w:rsidSect="00AF0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8B"/>
    <w:rsid w:val="00A226C1"/>
    <w:rsid w:val="00C9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48B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48B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Hooson, Matthew, Springer Healthcare UK</dc:creator>
  <cp:lastModifiedBy>Hooson, Matthew, Springer Healthcare UK</cp:lastModifiedBy>
  <cp:revision>1</cp:revision>
  <dcterms:created xsi:type="dcterms:W3CDTF">2016-04-06T13:45:00Z</dcterms:created>
  <dcterms:modified xsi:type="dcterms:W3CDTF">2016-04-06T13:45:00Z</dcterms:modified>
</cp:coreProperties>
</file>