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86B" w:rsidRPr="00032BA4" w:rsidRDefault="008C586B" w:rsidP="008C586B">
      <w:pPr>
        <w:pStyle w:val="Heading1"/>
        <w:jc w:val="center"/>
        <w:rPr>
          <w:sz w:val="24"/>
          <w:szCs w:val="24"/>
        </w:rPr>
      </w:pPr>
      <w:r>
        <w:rPr>
          <w:b w:val="0"/>
          <w:sz w:val="24"/>
          <w:szCs w:val="24"/>
        </w:rPr>
        <w:t>Pharmacokinetics of Daratumumab in Combination Therapy Regimens for Patients with Multiple Myeloma</w:t>
      </w:r>
      <w:r w:rsidDel="00943256">
        <w:rPr>
          <w:b w:val="0"/>
          <w:sz w:val="24"/>
          <w:szCs w:val="24"/>
        </w:rPr>
        <w:t xml:space="preserve"> </w:t>
      </w:r>
      <w:r w:rsidRPr="00032BA4">
        <w:rPr>
          <w:sz w:val="24"/>
          <w:szCs w:val="24"/>
        </w:rPr>
        <w:t>Supplemental Data</w:t>
      </w:r>
    </w:p>
    <w:p w:rsidR="008C586B" w:rsidRDefault="008C586B" w:rsidP="008C586B">
      <w:pPr>
        <w:spacing w:after="200" w:line="276" w:lineRule="auto"/>
        <w:rPr>
          <w:rFonts w:ascii="Times New Roman" w:eastAsia="Times New Roman" w:hAnsi="Times New Roman"/>
          <w:b/>
          <w:sz w:val="24"/>
          <w:szCs w:val="20"/>
        </w:rPr>
      </w:pPr>
    </w:p>
    <w:p w:rsidR="008C586B" w:rsidRPr="00AE1A8B" w:rsidRDefault="008C586B" w:rsidP="008C586B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2527C9">
        <w:rPr>
          <w:rFonts w:ascii="Times New Roman" w:hAnsi="Times New Roman"/>
          <w:b/>
          <w:sz w:val="24"/>
          <w:szCs w:val="24"/>
        </w:rPr>
        <w:t>Supplemental</w:t>
      </w:r>
      <w:r w:rsidRPr="00AE1A8B">
        <w:rPr>
          <w:rFonts w:ascii="Times New Roman" w:hAnsi="Times New Roman"/>
          <w:b/>
          <w:sz w:val="24"/>
          <w:szCs w:val="24"/>
        </w:rPr>
        <w:t xml:space="preserve"> Table 1. </w:t>
      </w:r>
      <w:r w:rsidRPr="00ED1931">
        <w:rPr>
          <w:rFonts w:ascii="Times New Roman" w:hAnsi="Times New Roman"/>
          <w:sz w:val="24"/>
          <w:szCs w:val="24"/>
        </w:rPr>
        <w:t xml:space="preserve">Eligibility </w:t>
      </w:r>
      <w:r w:rsidRPr="00C3591B">
        <w:rPr>
          <w:rFonts w:ascii="Times New Roman" w:hAnsi="Times New Roman"/>
          <w:sz w:val="24"/>
          <w:szCs w:val="24"/>
        </w:rPr>
        <w:t xml:space="preserve">criteria for </w:t>
      </w:r>
      <w:r w:rsidRPr="000A64A8">
        <w:rPr>
          <w:rFonts w:ascii="Times New Roman" w:hAnsi="Times New Roman"/>
          <w:sz w:val="24"/>
          <w:szCs w:val="24"/>
        </w:rPr>
        <w:t>clinical studies</w:t>
      </w:r>
      <w:r w:rsidRPr="002527C9"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7"/>
        <w:gridCol w:w="7553"/>
      </w:tblGrid>
      <w:tr w:rsidR="008C586B" w:rsidTr="00670DAA"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Pr="001A7441" w:rsidRDefault="008C586B" w:rsidP="00670D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7441">
              <w:rPr>
                <w:rFonts w:ascii="Times New Roman" w:hAnsi="Times New Roman"/>
                <w:b/>
                <w:sz w:val="24"/>
                <w:szCs w:val="24"/>
              </w:rPr>
              <w:t>Study</w:t>
            </w:r>
          </w:p>
        </w:tc>
        <w:tc>
          <w:tcPr>
            <w:tcW w:w="775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Pr="001A7441" w:rsidRDefault="008C586B" w:rsidP="00670D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7441">
              <w:rPr>
                <w:rFonts w:ascii="Times New Roman" w:hAnsi="Times New Roman"/>
                <w:b/>
                <w:sz w:val="24"/>
                <w:szCs w:val="24"/>
              </w:rPr>
              <w:t>Key eligibility criteria</w:t>
            </w:r>
          </w:p>
        </w:tc>
      </w:tr>
      <w:tr w:rsidR="008C586B" w:rsidTr="00670DAA"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Pr="001A7441" w:rsidRDefault="008C586B" w:rsidP="00670D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7441">
              <w:rPr>
                <w:rFonts w:ascii="Times New Roman" w:hAnsi="Times New Roman"/>
                <w:b/>
                <w:sz w:val="24"/>
                <w:szCs w:val="24"/>
              </w:rPr>
              <w:t>GEN503</w:t>
            </w:r>
          </w:p>
        </w:tc>
        <w:tc>
          <w:tcPr>
            <w:tcW w:w="775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Default="008C586B" w:rsidP="00670DAA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 ≥18 years with measurable, documented MM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ECOG performance status ≤2</w:t>
            </w:r>
          </w:p>
          <w:p w:rsidR="008C586B" w:rsidRPr="001E494C" w:rsidRDefault="008C586B" w:rsidP="00670DAA">
            <w:pPr>
              <w:pStyle w:val="ListParagraph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1E494C">
              <w:rPr>
                <w:rFonts w:ascii="Times New Roman" w:hAnsi="Times New Roman"/>
                <w:b/>
                <w:sz w:val="24"/>
                <w:szCs w:val="24"/>
              </w:rPr>
              <w:t>Part 1: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Between 2 and 4 prior lines of therapy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Eligible for treatment with Rd</w:t>
            </w:r>
          </w:p>
          <w:p w:rsidR="008C586B" w:rsidRPr="001E494C" w:rsidRDefault="008C586B" w:rsidP="00670DAA">
            <w:pPr>
              <w:pStyle w:val="ListParagraph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1E494C">
              <w:rPr>
                <w:rFonts w:ascii="Times New Roman" w:hAnsi="Times New Roman"/>
                <w:b/>
                <w:sz w:val="24"/>
                <w:szCs w:val="24"/>
              </w:rPr>
              <w:t>Part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≥1 prior line of therapy and a PR or better with a prior treatment</w:t>
            </w:r>
          </w:p>
          <w:p w:rsidR="008C586B" w:rsidRPr="001A7441" w:rsidRDefault="008C586B" w:rsidP="00670DAA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Disease progression on the last line of therapy</w:t>
            </w:r>
          </w:p>
        </w:tc>
      </w:tr>
      <w:tr w:rsidR="008C586B" w:rsidTr="00670DAA"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Pr="001A7441" w:rsidRDefault="008C586B" w:rsidP="00670D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7441">
              <w:rPr>
                <w:rFonts w:ascii="Times New Roman" w:hAnsi="Times New Roman"/>
                <w:b/>
                <w:sz w:val="24"/>
                <w:szCs w:val="24"/>
              </w:rPr>
              <w:t>EQUULEUS</w:t>
            </w:r>
          </w:p>
        </w:tc>
        <w:tc>
          <w:tcPr>
            <w:tcW w:w="775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Default="008C586B" w:rsidP="00670DAA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 ≥18 years with measurable, documented MM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ECOG performance status ≤2</w:t>
            </w:r>
          </w:p>
          <w:p w:rsidR="008C586B" w:rsidRPr="001A7441" w:rsidRDefault="008C586B" w:rsidP="00670D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D-</w:t>
            </w:r>
            <w:r w:rsidRPr="001A7441">
              <w:rPr>
                <w:rFonts w:ascii="Times New Roman" w:hAnsi="Times New Roman"/>
                <w:b/>
                <w:sz w:val="24"/>
                <w:szCs w:val="24"/>
              </w:rPr>
              <w:t xml:space="preserve">Vd and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D-</w:t>
            </w:r>
            <w:r w:rsidRPr="001A7441">
              <w:rPr>
                <w:rFonts w:ascii="Times New Roman" w:hAnsi="Times New Roman"/>
                <w:b/>
                <w:sz w:val="24"/>
                <w:szCs w:val="24"/>
              </w:rPr>
              <w:t>VTd arms: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Newly diagnosed with symptomatic disease fulfilling CRAB criteria</w:t>
            </w:r>
          </w:p>
          <w:p w:rsidR="008C586B" w:rsidRPr="001A7441" w:rsidRDefault="008C586B" w:rsidP="00670D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D-</w:t>
            </w:r>
            <w:r w:rsidRPr="001A7441">
              <w:rPr>
                <w:rFonts w:ascii="Times New Roman" w:hAnsi="Times New Roman"/>
                <w:b/>
                <w:sz w:val="24"/>
                <w:szCs w:val="24"/>
              </w:rPr>
              <w:t>VMP arm: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Newly diagnosed with symptomatic disease fulfilling CRAB criteria and ineligible for transplantation</w:t>
            </w:r>
          </w:p>
          <w:p w:rsidR="008C586B" w:rsidRPr="001A7441" w:rsidRDefault="008C586B" w:rsidP="00670D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D-</w:t>
            </w:r>
            <w:r w:rsidRPr="001A7441">
              <w:rPr>
                <w:rFonts w:ascii="Times New Roman" w:hAnsi="Times New Roman"/>
                <w:b/>
                <w:sz w:val="24"/>
                <w:szCs w:val="24"/>
              </w:rPr>
              <w:t>Pd arm: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≥2 prior lines of therapy, including R and V</w:t>
            </w:r>
          </w:p>
          <w:p w:rsidR="008C586B" w:rsidRPr="001A7441" w:rsidRDefault="008C586B" w:rsidP="00670DAA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Disease refractory to the last line of treatment</w:t>
            </w:r>
          </w:p>
        </w:tc>
      </w:tr>
      <w:tr w:rsidR="008C586B" w:rsidTr="00670DAA"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Pr="001A7441" w:rsidRDefault="008C586B" w:rsidP="00670D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7441">
              <w:rPr>
                <w:rFonts w:ascii="Times New Roman" w:hAnsi="Times New Roman"/>
                <w:b/>
                <w:sz w:val="24"/>
                <w:szCs w:val="24"/>
              </w:rPr>
              <w:t>POLLUX</w:t>
            </w:r>
          </w:p>
        </w:tc>
        <w:tc>
          <w:tcPr>
            <w:tcW w:w="775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Default="008C586B" w:rsidP="00670DAA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/>
                <w:sz w:val="24"/>
                <w:szCs w:val="24"/>
              </w:rPr>
            </w:pPr>
            <w:r w:rsidRPr="001A7441">
              <w:rPr>
                <w:rFonts w:ascii="Times New Roman" w:hAnsi="Times New Roman"/>
                <w:sz w:val="24"/>
                <w:szCs w:val="24"/>
              </w:rPr>
              <w:t>Age ≥18 years with measurable, documented MM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ECOG performance status ≤2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≥1 prior line of therapy and a PR or better with a prior treatment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Disease progression on the last line of therapy</w:t>
            </w:r>
          </w:p>
          <w:p w:rsidR="008C586B" w:rsidRPr="001A7441" w:rsidRDefault="008C586B" w:rsidP="00670DAA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 intolerant or refractory to R</w:t>
            </w:r>
          </w:p>
        </w:tc>
      </w:tr>
      <w:tr w:rsidR="008C586B" w:rsidTr="00670DAA"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Pr="001A7441" w:rsidRDefault="008C586B" w:rsidP="00670D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7441">
              <w:rPr>
                <w:rFonts w:ascii="Times New Roman" w:hAnsi="Times New Roman"/>
                <w:b/>
                <w:sz w:val="24"/>
                <w:szCs w:val="24"/>
              </w:rPr>
              <w:t>CASTOR</w:t>
            </w:r>
          </w:p>
        </w:tc>
        <w:tc>
          <w:tcPr>
            <w:tcW w:w="775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Default="008C586B" w:rsidP="00670DAA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/>
                <w:sz w:val="24"/>
                <w:szCs w:val="24"/>
              </w:rPr>
            </w:pPr>
            <w:r w:rsidRPr="001A7441">
              <w:rPr>
                <w:rFonts w:ascii="Times New Roman" w:hAnsi="Times New Roman"/>
                <w:sz w:val="24"/>
                <w:szCs w:val="24"/>
              </w:rPr>
              <w:t>Age ≥18 years with measurable, documented MM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ECOG performance status ≤2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≥1 prior line of therapy and a PR or better with a prior treatment</w:t>
            </w:r>
          </w:p>
          <w:p w:rsidR="008C586B" w:rsidRDefault="008C586B" w:rsidP="00670DAA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Disease progression on the last line of therapy</w:t>
            </w:r>
          </w:p>
          <w:p w:rsidR="008C586B" w:rsidRPr="001A7441" w:rsidRDefault="008C586B" w:rsidP="00670DAA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 intolerant or refractory to V or other PIs</w:t>
            </w:r>
          </w:p>
        </w:tc>
      </w:tr>
    </w:tbl>
    <w:p w:rsidR="008C586B" w:rsidRPr="000A64A8" w:rsidRDefault="008C586B" w:rsidP="008C586B">
      <w:pPr>
        <w:rPr>
          <w:rFonts w:ascii="Times New Roman" w:hAnsi="Times New Roman"/>
          <w:sz w:val="24"/>
          <w:szCs w:val="24"/>
        </w:rPr>
      </w:pPr>
      <w:r w:rsidRPr="000A64A8">
        <w:rPr>
          <w:rFonts w:ascii="Times New Roman" w:hAnsi="Times New Roman"/>
          <w:sz w:val="24"/>
          <w:szCs w:val="24"/>
        </w:rPr>
        <w:t xml:space="preserve">MM, multiple myeloma; ECOG, Eastern Cooperative Oncology Group; Rd, lenalidomide and dexamethasone; PR, partial response; </w:t>
      </w:r>
      <w:r>
        <w:rPr>
          <w:rFonts w:ascii="Times New Roman" w:hAnsi="Times New Roman"/>
          <w:sz w:val="24"/>
          <w:szCs w:val="24"/>
        </w:rPr>
        <w:t>D-</w:t>
      </w:r>
      <w:r w:rsidRPr="000A64A8">
        <w:rPr>
          <w:rFonts w:ascii="Times New Roman" w:hAnsi="Times New Roman"/>
          <w:sz w:val="24"/>
          <w:szCs w:val="24"/>
        </w:rPr>
        <w:t xml:space="preserve">Vd, </w:t>
      </w:r>
      <w:r>
        <w:rPr>
          <w:rFonts w:ascii="Times New Roman" w:hAnsi="Times New Roman"/>
          <w:sz w:val="24"/>
          <w:szCs w:val="24"/>
        </w:rPr>
        <w:t xml:space="preserve">daratumumab plus </w:t>
      </w:r>
      <w:r w:rsidRPr="000A64A8">
        <w:rPr>
          <w:rFonts w:ascii="Times New Roman" w:hAnsi="Times New Roman"/>
          <w:sz w:val="24"/>
          <w:szCs w:val="24"/>
        </w:rPr>
        <w:t xml:space="preserve">bortezomib and dexamethasone; </w:t>
      </w:r>
      <w:r>
        <w:rPr>
          <w:rFonts w:ascii="Times New Roman" w:hAnsi="Times New Roman"/>
          <w:sz w:val="24"/>
          <w:szCs w:val="24"/>
        </w:rPr>
        <w:t>D-</w:t>
      </w:r>
      <w:r w:rsidRPr="000A64A8">
        <w:rPr>
          <w:rFonts w:ascii="Times New Roman" w:hAnsi="Times New Roman"/>
          <w:sz w:val="24"/>
          <w:szCs w:val="24"/>
        </w:rPr>
        <w:t xml:space="preserve">VTd, </w:t>
      </w:r>
      <w:r>
        <w:rPr>
          <w:rFonts w:ascii="Times New Roman" w:hAnsi="Times New Roman"/>
          <w:sz w:val="24"/>
          <w:szCs w:val="24"/>
        </w:rPr>
        <w:t xml:space="preserve">daratumumab plus </w:t>
      </w:r>
      <w:r w:rsidRPr="000A64A8">
        <w:rPr>
          <w:rFonts w:ascii="Times New Roman" w:hAnsi="Times New Roman"/>
          <w:sz w:val="24"/>
          <w:szCs w:val="24"/>
        </w:rPr>
        <w:t xml:space="preserve">bortezomib, thalidomide, and dexamethasone; CRAB, calcium elevated, renal failure, anemia, and bone lesions; </w:t>
      </w:r>
      <w:r>
        <w:rPr>
          <w:rFonts w:ascii="Times New Roman" w:hAnsi="Times New Roman"/>
          <w:sz w:val="24"/>
          <w:szCs w:val="24"/>
        </w:rPr>
        <w:t>D-</w:t>
      </w:r>
      <w:r w:rsidRPr="000A64A8">
        <w:rPr>
          <w:rFonts w:ascii="Times New Roman" w:hAnsi="Times New Roman"/>
          <w:sz w:val="24"/>
          <w:szCs w:val="24"/>
        </w:rPr>
        <w:t xml:space="preserve">VMP, </w:t>
      </w:r>
      <w:r>
        <w:rPr>
          <w:rFonts w:ascii="Times New Roman" w:hAnsi="Times New Roman"/>
          <w:sz w:val="24"/>
          <w:szCs w:val="24"/>
        </w:rPr>
        <w:t xml:space="preserve">daratumumab plus </w:t>
      </w:r>
      <w:r w:rsidRPr="000A64A8">
        <w:rPr>
          <w:rFonts w:ascii="Times New Roman" w:hAnsi="Times New Roman"/>
          <w:sz w:val="24"/>
          <w:szCs w:val="24"/>
        </w:rPr>
        <w:t xml:space="preserve">bortezomib, melphalan, and prednisone; </w:t>
      </w:r>
      <w:r>
        <w:rPr>
          <w:rFonts w:ascii="Times New Roman" w:hAnsi="Times New Roman"/>
          <w:sz w:val="24"/>
          <w:szCs w:val="24"/>
        </w:rPr>
        <w:t>D-</w:t>
      </w:r>
      <w:r w:rsidRPr="000A64A8">
        <w:rPr>
          <w:rFonts w:ascii="Times New Roman" w:hAnsi="Times New Roman"/>
          <w:sz w:val="24"/>
          <w:szCs w:val="24"/>
        </w:rPr>
        <w:t xml:space="preserve">Pd, </w:t>
      </w:r>
      <w:r>
        <w:rPr>
          <w:rFonts w:ascii="Times New Roman" w:hAnsi="Times New Roman"/>
          <w:sz w:val="24"/>
          <w:szCs w:val="24"/>
        </w:rPr>
        <w:t xml:space="preserve">daratumumab plus </w:t>
      </w:r>
      <w:r w:rsidRPr="000A64A8">
        <w:rPr>
          <w:rFonts w:ascii="Times New Roman" w:hAnsi="Times New Roman"/>
          <w:sz w:val="24"/>
          <w:szCs w:val="24"/>
        </w:rPr>
        <w:t>pomalidomide and dexamethasone; R, lenalidomide; V, bortezomib; PI, proteasome inhibitor.</w:t>
      </w:r>
    </w:p>
    <w:p w:rsidR="008C586B" w:rsidRDefault="008C586B" w:rsidP="008C586B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C586B" w:rsidRPr="00AE1A8B" w:rsidRDefault="008C586B" w:rsidP="008C586B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2527C9">
        <w:rPr>
          <w:rFonts w:ascii="Times New Roman" w:hAnsi="Times New Roman"/>
          <w:b/>
          <w:sz w:val="24"/>
          <w:szCs w:val="24"/>
        </w:rPr>
        <w:lastRenderedPageBreak/>
        <w:t>S</w:t>
      </w:r>
      <w:r w:rsidRPr="00AE1A8B">
        <w:rPr>
          <w:rFonts w:ascii="Times New Roman" w:hAnsi="Times New Roman"/>
          <w:b/>
          <w:sz w:val="24"/>
          <w:szCs w:val="24"/>
        </w:rPr>
        <w:t xml:space="preserve">upplemental Table 2. </w:t>
      </w:r>
      <w:r w:rsidRPr="00ED1931">
        <w:rPr>
          <w:rFonts w:ascii="Times New Roman" w:hAnsi="Times New Roman"/>
          <w:sz w:val="24"/>
          <w:szCs w:val="24"/>
        </w:rPr>
        <w:t xml:space="preserve">Dosing </w:t>
      </w:r>
      <w:r w:rsidRPr="00C3591B">
        <w:rPr>
          <w:rFonts w:ascii="Times New Roman" w:hAnsi="Times New Roman"/>
          <w:sz w:val="24"/>
          <w:szCs w:val="24"/>
        </w:rPr>
        <w:t xml:space="preserve">schedules for </w:t>
      </w:r>
      <w:r w:rsidRPr="000A64A8">
        <w:rPr>
          <w:rFonts w:ascii="Times New Roman" w:hAnsi="Times New Roman"/>
          <w:sz w:val="24"/>
          <w:szCs w:val="24"/>
        </w:rPr>
        <w:t>clinical studies</w:t>
      </w:r>
      <w:r w:rsidRPr="002527C9"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552"/>
      </w:tblGrid>
      <w:tr w:rsidR="008C586B" w:rsidTr="00670DAA"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Study</w:t>
            </w:r>
          </w:p>
        </w:tc>
        <w:tc>
          <w:tcPr>
            <w:tcW w:w="7758" w:type="dxa"/>
            <w:tcBorders>
              <w:top w:val="single" w:sz="4" w:space="0" w:color="auto"/>
              <w:bottom w:val="single" w:sz="4" w:space="0" w:color="auto"/>
            </w:tcBorders>
          </w:tcPr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Daratumumab dose and schedule</w:t>
            </w:r>
          </w:p>
        </w:tc>
      </w:tr>
      <w:tr w:rsidR="008C586B" w:rsidTr="00670DAA">
        <w:tc>
          <w:tcPr>
            <w:tcW w:w="1818" w:type="dxa"/>
            <w:tcBorders>
              <w:top w:val="single" w:sz="4" w:space="0" w:color="auto"/>
            </w:tcBorders>
          </w:tcPr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GEN503</w:t>
            </w:r>
          </w:p>
        </w:tc>
        <w:tc>
          <w:tcPr>
            <w:tcW w:w="7758" w:type="dxa"/>
            <w:tcBorders>
              <w:top w:val="single" w:sz="4" w:space="0" w:color="auto"/>
            </w:tcBorders>
          </w:tcPr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Dose: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aratumumab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 2, 4, 8, and 16 mg/kg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IV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(Part 1) OR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835FF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aratumumab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 16 mg/kg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IV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(Part 2)</w:t>
            </w:r>
          </w:p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Schedule</w:t>
            </w:r>
            <w:r w:rsidRPr="00D835FF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QW for Cycles 1-2, Q2W for Cycles 3-6, then Q4W thereafter</w:t>
            </w:r>
          </w:p>
        </w:tc>
      </w:tr>
      <w:tr w:rsidR="008C586B" w:rsidTr="00670DAA">
        <w:tc>
          <w:tcPr>
            <w:tcW w:w="1818" w:type="dxa"/>
          </w:tcPr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EQUULEUS</w:t>
            </w:r>
          </w:p>
        </w:tc>
        <w:tc>
          <w:tcPr>
            <w:tcW w:w="7758" w:type="dxa"/>
          </w:tcPr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Dose: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aratumumab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16 mg/kg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IV</w:t>
            </w:r>
          </w:p>
          <w:p w:rsidR="008C586B" w:rsidRPr="00F057DF" w:rsidRDefault="008C586B" w:rsidP="00670DA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Schedule: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QW for </w:t>
            </w:r>
            <w:r>
              <w:rPr>
                <w:rFonts w:ascii="Times New Roman" w:hAnsi="Times New Roman"/>
                <w:sz w:val="24"/>
                <w:szCs w:val="24"/>
              </w:rPr>
              <w:t>Cycles 1-2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, then Q3W thereafter (</w:t>
            </w:r>
            <w:r>
              <w:rPr>
                <w:rFonts w:ascii="Times New Roman" w:hAnsi="Times New Roman"/>
                <w:sz w:val="24"/>
                <w:szCs w:val="24"/>
              </w:rPr>
              <w:t>D-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Vd</w:t>
            </w:r>
            <w:r w:rsidRPr="00D835FF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and D-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VTd</w:t>
            </w:r>
            <w:r w:rsidRPr="00D835FF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 arms) OR </w:t>
            </w:r>
            <w:r>
              <w:rPr>
                <w:rFonts w:ascii="Times New Roman" w:hAnsi="Times New Roman"/>
                <w:sz w:val="24"/>
                <w:szCs w:val="24"/>
              </w:rPr>
              <w:t>QW for Cycle 1, then Q3W thereafter (D-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VMP</w:t>
            </w:r>
            <w:r w:rsidRPr="00D835FF">
              <w:rPr>
                <w:rFonts w:ascii="Times New Roman" w:hAnsi="Times New Roman"/>
                <w:sz w:val="24"/>
                <w:szCs w:val="24"/>
                <w:vertAlign w:val="superscript"/>
              </w:rPr>
              <w:t>c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 arm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835FF">
              <w:rPr>
                <w:rFonts w:ascii="Times New Roman" w:hAnsi="Times New Roman"/>
                <w:sz w:val="24"/>
                <w:szCs w:val="24"/>
              </w:rPr>
              <w:t>QW for Cycles 1-2, Q2W for Cycles 3-6, then Q4W thereafter (</w:t>
            </w:r>
            <w:r>
              <w:rPr>
                <w:rFonts w:ascii="Times New Roman" w:hAnsi="Times New Roman"/>
                <w:sz w:val="24"/>
                <w:szCs w:val="24"/>
              </w:rPr>
              <w:t>D-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 arm</w:t>
            </w:r>
            <w:r w:rsidRPr="00D835FF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C586B" w:rsidTr="00670DAA">
        <w:tc>
          <w:tcPr>
            <w:tcW w:w="1818" w:type="dxa"/>
          </w:tcPr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POLLUX</w:t>
            </w:r>
          </w:p>
        </w:tc>
        <w:tc>
          <w:tcPr>
            <w:tcW w:w="7758" w:type="dxa"/>
          </w:tcPr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Dose: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aratumumab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 16 mg/kg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IV</w:t>
            </w:r>
          </w:p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Schedule</w:t>
            </w:r>
            <w:r w:rsidRPr="00D835FF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QW for Cycles 1-2, Q2W for Cycles 3-6, then Q4W thereafter</w:t>
            </w:r>
          </w:p>
        </w:tc>
      </w:tr>
      <w:tr w:rsidR="008C586B" w:rsidTr="00670DAA">
        <w:tc>
          <w:tcPr>
            <w:tcW w:w="1818" w:type="dxa"/>
            <w:tcBorders>
              <w:bottom w:val="single" w:sz="4" w:space="0" w:color="auto"/>
            </w:tcBorders>
          </w:tcPr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CASTOR</w:t>
            </w:r>
          </w:p>
        </w:tc>
        <w:tc>
          <w:tcPr>
            <w:tcW w:w="7758" w:type="dxa"/>
            <w:tcBorders>
              <w:bottom w:val="single" w:sz="4" w:space="0" w:color="auto"/>
            </w:tcBorders>
          </w:tcPr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Dose: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aratumumab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 16 mg/kg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IV</w:t>
            </w:r>
          </w:p>
          <w:p w:rsidR="008C586B" w:rsidRDefault="008C586B" w:rsidP="00670DAA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Schedule: 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>QW for Cycles 1-3,</w:t>
            </w:r>
            <w:r w:rsidRPr="00D835FF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 Q3W on Cycles 4-8,</w:t>
            </w:r>
            <w:r w:rsidRPr="00D835FF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  <w:r w:rsidRPr="00D835FF">
              <w:rPr>
                <w:rFonts w:ascii="Times New Roman" w:hAnsi="Times New Roman"/>
                <w:sz w:val="24"/>
                <w:szCs w:val="24"/>
              </w:rPr>
              <w:t xml:space="preserve"> then Q4W thereafter</w:t>
            </w:r>
            <w:r w:rsidRPr="00D835FF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</w:p>
        </w:tc>
      </w:tr>
    </w:tbl>
    <w:p w:rsidR="008C586B" w:rsidRPr="000A64A8" w:rsidRDefault="008C586B" w:rsidP="008C586B">
      <w:pPr>
        <w:rPr>
          <w:rFonts w:ascii="Times New Roman" w:hAnsi="Times New Roman"/>
          <w:sz w:val="24"/>
          <w:szCs w:val="24"/>
        </w:rPr>
      </w:pPr>
      <w:r w:rsidRPr="000A64A8">
        <w:rPr>
          <w:rFonts w:ascii="Times New Roman" w:hAnsi="Times New Roman"/>
          <w:sz w:val="24"/>
          <w:szCs w:val="24"/>
        </w:rPr>
        <w:t xml:space="preserve">IV, intravenous; QW, weekly; Q2W, every 2 weeks; Q4W, every 4 weeks; Q3W, every 3 weeks; </w:t>
      </w:r>
      <w:r>
        <w:rPr>
          <w:rFonts w:ascii="Times New Roman" w:hAnsi="Times New Roman"/>
          <w:sz w:val="24"/>
          <w:szCs w:val="24"/>
        </w:rPr>
        <w:t>D-</w:t>
      </w:r>
      <w:r w:rsidRPr="000A64A8">
        <w:rPr>
          <w:rFonts w:ascii="Times New Roman" w:hAnsi="Times New Roman"/>
          <w:sz w:val="24"/>
          <w:szCs w:val="24"/>
        </w:rPr>
        <w:t xml:space="preserve">Vd, </w:t>
      </w:r>
      <w:r>
        <w:rPr>
          <w:rFonts w:ascii="Times New Roman" w:hAnsi="Times New Roman"/>
          <w:sz w:val="24"/>
          <w:szCs w:val="24"/>
        </w:rPr>
        <w:t xml:space="preserve">daratumumab plus </w:t>
      </w:r>
      <w:r w:rsidRPr="000A64A8">
        <w:rPr>
          <w:rFonts w:ascii="Times New Roman" w:hAnsi="Times New Roman"/>
          <w:sz w:val="24"/>
          <w:szCs w:val="24"/>
        </w:rPr>
        <w:t xml:space="preserve">bortezomib and dexamethasone; </w:t>
      </w:r>
      <w:r>
        <w:rPr>
          <w:rFonts w:ascii="Times New Roman" w:hAnsi="Times New Roman"/>
          <w:sz w:val="24"/>
          <w:szCs w:val="24"/>
        </w:rPr>
        <w:t>D-</w:t>
      </w:r>
      <w:r w:rsidRPr="000A64A8">
        <w:rPr>
          <w:rFonts w:ascii="Times New Roman" w:hAnsi="Times New Roman"/>
          <w:sz w:val="24"/>
          <w:szCs w:val="24"/>
        </w:rPr>
        <w:t xml:space="preserve">VTd, </w:t>
      </w:r>
      <w:r>
        <w:rPr>
          <w:rFonts w:ascii="Times New Roman" w:hAnsi="Times New Roman"/>
          <w:sz w:val="24"/>
          <w:szCs w:val="24"/>
        </w:rPr>
        <w:t xml:space="preserve">daratumumab plus </w:t>
      </w:r>
      <w:r w:rsidRPr="000A64A8">
        <w:rPr>
          <w:rFonts w:ascii="Times New Roman" w:hAnsi="Times New Roman"/>
          <w:sz w:val="24"/>
          <w:szCs w:val="24"/>
        </w:rPr>
        <w:t xml:space="preserve">bortezomib, thalidomide, and dexamethasone; </w:t>
      </w:r>
      <w:r>
        <w:rPr>
          <w:rFonts w:ascii="Times New Roman" w:hAnsi="Times New Roman"/>
          <w:sz w:val="24"/>
          <w:szCs w:val="24"/>
        </w:rPr>
        <w:t>D-</w:t>
      </w:r>
      <w:r w:rsidRPr="000A64A8">
        <w:rPr>
          <w:rFonts w:ascii="Times New Roman" w:hAnsi="Times New Roman"/>
          <w:sz w:val="24"/>
          <w:szCs w:val="24"/>
        </w:rPr>
        <w:t xml:space="preserve">VMP, </w:t>
      </w:r>
      <w:r>
        <w:rPr>
          <w:rFonts w:ascii="Times New Roman" w:hAnsi="Times New Roman"/>
          <w:sz w:val="24"/>
          <w:szCs w:val="24"/>
        </w:rPr>
        <w:t xml:space="preserve">daratumumab plus </w:t>
      </w:r>
      <w:r w:rsidRPr="000A64A8">
        <w:rPr>
          <w:rFonts w:ascii="Times New Roman" w:hAnsi="Times New Roman"/>
          <w:sz w:val="24"/>
          <w:szCs w:val="24"/>
        </w:rPr>
        <w:t xml:space="preserve">bortezomib, melphalan, and prednisone; </w:t>
      </w:r>
      <w:r>
        <w:rPr>
          <w:rFonts w:ascii="Times New Roman" w:hAnsi="Times New Roman"/>
          <w:sz w:val="24"/>
          <w:szCs w:val="24"/>
        </w:rPr>
        <w:t>D-</w:t>
      </w:r>
      <w:r w:rsidRPr="000A64A8">
        <w:rPr>
          <w:rFonts w:ascii="Times New Roman" w:hAnsi="Times New Roman"/>
          <w:sz w:val="24"/>
          <w:szCs w:val="24"/>
        </w:rPr>
        <w:t>Pd</w:t>
      </w:r>
      <w:r>
        <w:rPr>
          <w:rFonts w:ascii="Times New Roman" w:hAnsi="Times New Roman"/>
          <w:sz w:val="24"/>
          <w:szCs w:val="24"/>
        </w:rPr>
        <w:t>, daratumumab plus</w:t>
      </w:r>
      <w:r w:rsidRPr="000A64A8">
        <w:rPr>
          <w:rFonts w:ascii="Times New Roman" w:hAnsi="Times New Roman"/>
          <w:sz w:val="24"/>
          <w:szCs w:val="24"/>
        </w:rPr>
        <w:t xml:space="preserve"> pomalidomide and dexamethasone.</w:t>
      </w:r>
    </w:p>
    <w:p w:rsidR="008C586B" w:rsidRPr="000A64A8" w:rsidRDefault="008C586B" w:rsidP="008C586B">
      <w:pPr>
        <w:rPr>
          <w:rFonts w:ascii="Times New Roman" w:hAnsi="Times New Roman"/>
          <w:sz w:val="24"/>
          <w:szCs w:val="24"/>
        </w:rPr>
      </w:pPr>
      <w:r w:rsidRPr="000A64A8">
        <w:rPr>
          <w:rFonts w:ascii="Times New Roman" w:hAnsi="Times New Roman"/>
          <w:sz w:val="24"/>
          <w:szCs w:val="24"/>
          <w:vertAlign w:val="superscript"/>
        </w:rPr>
        <w:t>a</w:t>
      </w:r>
      <w:r w:rsidRPr="000A64A8">
        <w:rPr>
          <w:rFonts w:ascii="Times New Roman" w:hAnsi="Times New Roman"/>
          <w:sz w:val="24"/>
          <w:szCs w:val="24"/>
        </w:rPr>
        <w:t>28-day cycles.</w:t>
      </w:r>
    </w:p>
    <w:p w:rsidR="008C586B" w:rsidRPr="000A64A8" w:rsidRDefault="008C586B" w:rsidP="008C586B">
      <w:pPr>
        <w:rPr>
          <w:rFonts w:ascii="Times New Roman" w:hAnsi="Times New Roman"/>
          <w:sz w:val="24"/>
          <w:szCs w:val="24"/>
        </w:rPr>
      </w:pPr>
      <w:r w:rsidRPr="000A64A8">
        <w:rPr>
          <w:rFonts w:ascii="Times New Roman" w:hAnsi="Times New Roman"/>
          <w:sz w:val="24"/>
          <w:szCs w:val="24"/>
          <w:vertAlign w:val="superscript"/>
        </w:rPr>
        <w:t>b</w:t>
      </w:r>
      <w:r w:rsidRPr="000A64A8">
        <w:rPr>
          <w:rFonts w:ascii="Times New Roman" w:hAnsi="Times New Roman"/>
          <w:sz w:val="24"/>
          <w:szCs w:val="24"/>
        </w:rPr>
        <w:t>21-day cycles.</w:t>
      </w:r>
    </w:p>
    <w:p w:rsidR="008C586B" w:rsidRPr="000A64A8" w:rsidRDefault="008C586B" w:rsidP="008C586B">
      <w:pPr>
        <w:rPr>
          <w:rFonts w:ascii="Times New Roman" w:hAnsi="Times New Roman"/>
          <w:sz w:val="24"/>
          <w:szCs w:val="24"/>
        </w:rPr>
      </w:pPr>
      <w:r w:rsidRPr="000A64A8">
        <w:rPr>
          <w:rFonts w:ascii="Times New Roman" w:hAnsi="Times New Roman"/>
          <w:sz w:val="24"/>
          <w:szCs w:val="24"/>
          <w:vertAlign w:val="superscript"/>
        </w:rPr>
        <w:t>c</w:t>
      </w:r>
      <w:r w:rsidRPr="000A64A8">
        <w:rPr>
          <w:rFonts w:ascii="Times New Roman" w:hAnsi="Times New Roman"/>
          <w:sz w:val="24"/>
          <w:szCs w:val="24"/>
        </w:rPr>
        <w:t>42-day cycles.</w:t>
      </w:r>
    </w:p>
    <w:p w:rsidR="008C586B" w:rsidRDefault="008C586B" w:rsidP="008C586B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C586B" w:rsidRPr="00AE1A8B" w:rsidRDefault="008C586B" w:rsidP="008C586B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2527C9">
        <w:rPr>
          <w:rFonts w:ascii="Times New Roman" w:hAnsi="Times New Roman"/>
          <w:b/>
          <w:sz w:val="24"/>
          <w:szCs w:val="24"/>
        </w:rPr>
        <w:lastRenderedPageBreak/>
        <w:t xml:space="preserve">Supplemental </w:t>
      </w:r>
      <w:r w:rsidRPr="00AE1A8B">
        <w:rPr>
          <w:rFonts w:ascii="Times New Roman" w:hAnsi="Times New Roman"/>
          <w:b/>
          <w:sz w:val="24"/>
          <w:szCs w:val="24"/>
        </w:rPr>
        <w:t>Table 3</w:t>
      </w:r>
      <w:r w:rsidRPr="00ED1931">
        <w:rPr>
          <w:rFonts w:ascii="Times New Roman" w:hAnsi="Times New Roman"/>
          <w:b/>
          <w:sz w:val="24"/>
          <w:szCs w:val="24"/>
        </w:rPr>
        <w:t xml:space="preserve">. </w:t>
      </w:r>
      <w:r w:rsidRPr="00C3591B">
        <w:rPr>
          <w:rFonts w:ascii="Times New Roman" w:hAnsi="Times New Roman"/>
          <w:sz w:val="24"/>
          <w:szCs w:val="24"/>
        </w:rPr>
        <w:t xml:space="preserve">Descriptive </w:t>
      </w:r>
      <w:r w:rsidRPr="000A64A8">
        <w:rPr>
          <w:rFonts w:ascii="Times New Roman" w:hAnsi="Times New Roman"/>
          <w:sz w:val="24"/>
          <w:szCs w:val="24"/>
        </w:rPr>
        <w:t>statistics of baseline continuous covariates</w:t>
      </w:r>
      <w:r w:rsidRPr="002527C9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0"/>
        <w:gridCol w:w="1306"/>
        <w:gridCol w:w="1306"/>
        <w:gridCol w:w="1306"/>
        <w:gridCol w:w="1306"/>
        <w:gridCol w:w="1316"/>
      </w:tblGrid>
      <w:tr w:rsidR="008C586B" w:rsidRPr="00C57835" w:rsidTr="00670DAA">
        <w:trPr>
          <w:cantSplit/>
          <w:tblHeader/>
          <w:jc w:val="center"/>
        </w:trPr>
        <w:tc>
          <w:tcPr>
            <w:tcW w:w="28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347EFB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347EFB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GEN503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br/>
              <w:t>N</w:t>
            </w: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 xml:space="preserve"> 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=</w:t>
            </w: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 xml:space="preserve"> 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44</w:t>
            </w: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347EFB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>EQUULEUS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br/>
              <w:t>N</w:t>
            </w: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 xml:space="preserve"> 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=</w:t>
            </w: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 xml:space="preserve"> 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128</w:t>
            </w: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347EFB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>POLLUX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br/>
              <w:t>N</w:t>
            </w: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 xml:space="preserve"> 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=</w:t>
            </w: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 xml:space="preserve"> 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282</w:t>
            </w: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347EFB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>CASTOR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br/>
              <w:t>N</w:t>
            </w: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 xml:space="preserve"> 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=</w:t>
            </w: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 xml:space="preserve"> 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240</w:t>
            </w:r>
          </w:p>
        </w:tc>
        <w:tc>
          <w:tcPr>
            <w:tcW w:w="13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347EFB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Combined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br/>
              <w:t>N</w:t>
            </w: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 xml:space="preserve"> 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=</w:t>
            </w:r>
            <w:r>
              <w:rPr>
                <w:rFonts w:ascii="Times New Roman" w:eastAsiaTheme="minorEastAsia" w:hAnsi="Times New Roman"/>
                <w:b/>
                <w:color w:val="000000"/>
                <w:sz w:val="20"/>
              </w:rPr>
              <w:t xml:space="preserve"> </w:t>
            </w:r>
            <w:r w:rsidRPr="00347EFB">
              <w:rPr>
                <w:rFonts w:ascii="Times New Roman" w:eastAsiaTheme="minorEastAsia" w:hAnsi="Times New Roman"/>
                <w:b/>
                <w:color w:val="000000"/>
                <w:sz w:val="20"/>
              </w:rPr>
              <w:t>694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Weight (kg)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693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82.9 (14.90)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78.9 (18.71)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73.8 (16.24)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78.3 (17.06)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76.9 (17.11)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81.5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77.3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73.0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77.8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75.9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(57.0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120.0)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(41.2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137.0)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(37.0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132.0)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(45.0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134.8)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(37.0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137.0)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Body mass index (kg/m</w:t>
            </w:r>
            <w:r w:rsidRPr="00C57835">
              <w:rPr>
                <w:rFonts w:eastAsiaTheme="minorEastAsia"/>
                <w:vertAlign w:val="superscript"/>
              </w:rPr>
              <w:t>2</w:t>
            </w:r>
            <w:r w:rsidRPr="00C57835">
              <w:rPr>
                <w:rFonts w:eastAsiaTheme="minorEastAsia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278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688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27.8 (4.29)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27.8 (5.67)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26.7 (4.57)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28.0 (5.35)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27.5 (5.08)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27.0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27.3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26.2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27.3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26.8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(20.7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40.7)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(15.3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43.1)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(16.8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44.6)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(16.5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46.5)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(15.3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46.5)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Age (y</w:t>
            </w:r>
            <w:r>
              <w:rPr>
                <w:rFonts w:eastAsiaTheme="minorEastAsia"/>
              </w:rPr>
              <w:t>ea</w:t>
            </w:r>
            <w:r w:rsidRPr="00C57835">
              <w:rPr>
                <w:rFonts w:eastAsiaTheme="minorEastAsia"/>
              </w:rPr>
              <w:t>rs)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694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60.6 (8.57)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63.5 (10.51)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64.4 (9.03)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62.5 (9.57)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63.3 (9.52)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61.0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65.0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65.0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63.0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64.0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(41.0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76.0)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(35.0-</w:t>
            </w:r>
            <w:r w:rsidRPr="00C57835">
              <w:rPr>
                <w:rFonts w:eastAsiaTheme="minorEastAsia"/>
              </w:rPr>
              <w:t>86.0)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(34.0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89.0)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(30.0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84.0)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(30.0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89.0)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Albumin (g/L)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694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37.1 (6.17)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36.1 (5.78)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38.0 (4.96)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37.7 (6.09)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37.5 (5.64)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38.0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36.0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38.0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39.0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38.0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(16.0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46.5)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(21.0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50.0)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(17.0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51.0)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(3.7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52.0)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(3.7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52.0)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Alanine aminotransferase (U/L)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693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28.3 (32.40)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26.4 (20.44)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23.1 (29.24)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24.1 (17.53)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24.4 (24.42)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19.0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21.0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18.0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19.5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19.0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(5.0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144.0)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(7.0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170.0)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(4.8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401.0)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(5.0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120.0)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(4.8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401.0)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Aspartate aminotransferase (U/L)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276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239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687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25.8 (12.89)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30.5 (30.55)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25.3 (23.61)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25.8 (13.20)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26.5 (21.70)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21.0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23.5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22.0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23.0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22.2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(5.0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61.0)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(10.0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319.5)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(6.0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371.0)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(7.0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121.0)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(5.0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371.0)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Creatinine clearance (mL/min)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693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98.3 (35.47)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79.3 (30.04)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81.4 (33.67)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84.6 (33.48)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83.2 (33.31)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92.2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72.8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74.0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80.6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77.8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(42.6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224.7)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(26.1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176.4)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(24.0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266.5)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(21.1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208.7)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(21.1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266.5)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Alkaline phosphatase (U/L)</w:t>
            </w:r>
          </w:p>
        </w:tc>
        <w:tc>
          <w:tcPr>
            <w:tcW w:w="1306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694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59.6 (18.19)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71.4 (38.76)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83.1 (50.51)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85.8 (61.58)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80.4 (51.90)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60.0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62.2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69.0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67.0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66.0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lastRenderedPageBreak/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(28.0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114.0)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(21.0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252.0)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(27.0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352.0)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(19.0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631.0)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(19.0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631.0)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Total bilirubin (µmol/L)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692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6.2 (2.43)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9.2 (6.73)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8.5 (4.20)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9.6 (7.58)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8.9 (6.03)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5.7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7.1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7.8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8.1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7.7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(1.7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11.5)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(2.6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60.0)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(2.9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29.0)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100.7)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(1.7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100.7)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Total protein (g/L)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694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76.9 (14.82)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82.5 (20.19)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79.5 (13.88)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82.7 (15.69)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81.0 (15.96)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77.0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79.9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77.0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80.5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79.0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(25.0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114.0)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(47.0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158.0)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(51.0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131.0)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(55.0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140.0)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(25.0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158.0)</w:t>
            </w:r>
          </w:p>
        </w:tc>
      </w:tr>
      <w:tr w:rsidR="008C586B" w:rsidRPr="00C57835" w:rsidTr="00670DAA">
        <w:trPr>
          <w:cantSplit/>
          <w:trHeight w:hRule="exact" w:val="576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Estimated glomerular filtration rate (mL/min/1.73 m</w:t>
            </w:r>
            <w:r w:rsidRPr="00C57835">
              <w:rPr>
                <w:rFonts w:eastAsiaTheme="minorEastAsia"/>
                <w:vertAlign w:val="superscript"/>
              </w:rPr>
              <w:t>2</w:t>
            </w:r>
            <w:r w:rsidRPr="00C57835">
              <w:rPr>
                <w:rFonts w:eastAsiaTheme="minorEastAsia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128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282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694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Mean (SD)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83.4 (40.15)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70.5 (23.15)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77.1 (27.18)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73.4 (24.90)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75.0 (26.88)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Median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76.1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68.4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74.2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72.2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72.6</w:t>
            </w:r>
          </w:p>
        </w:tc>
      </w:tr>
      <w:tr w:rsidR="008C586B" w:rsidRPr="00C57835" w:rsidTr="00670DAA">
        <w:trPr>
          <w:cantSplit/>
          <w:trHeight w:hRule="exact" w:val="298"/>
          <w:jc w:val="center"/>
        </w:trPr>
        <w:tc>
          <w:tcPr>
            <w:tcW w:w="28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ab/>
              <w:t>Range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(27.9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278.2)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(8.5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139.1)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(24.0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231.8)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(18.3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165.4)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C57835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C57835">
              <w:rPr>
                <w:rFonts w:eastAsiaTheme="minorEastAsia"/>
              </w:rPr>
              <w:t>(8.5</w:t>
            </w:r>
            <w:r>
              <w:rPr>
                <w:rFonts w:eastAsiaTheme="minorEastAsia"/>
              </w:rPr>
              <w:t>-</w:t>
            </w:r>
            <w:r w:rsidRPr="00C57835">
              <w:rPr>
                <w:rFonts w:eastAsiaTheme="minorEastAsia"/>
              </w:rPr>
              <w:t>278.2)</w:t>
            </w:r>
          </w:p>
        </w:tc>
      </w:tr>
    </w:tbl>
    <w:p w:rsidR="008C586B" w:rsidRPr="000A64A8" w:rsidRDefault="008C586B" w:rsidP="008C586B">
      <w:pPr>
        <w:pStyle w:val="BodyText12"/>
        <w:spacing w:after="0" w:line="240" w:lineRule="auto"/>
        <w:jc w:val="left"/>
        <w:rPr>
          <w:szCs w:val="24"/>
        </w:rPr>
      </w:pPr>
      <w:r w:rsidRPr="000A64A8">
        <w:rPr>
          <w:szCs w:val="24"/>
        </w:rPr>
        <w:t>Note: Statistics were calculated before the imputation of missing values.</w:t>
      </w:r>
    </w:p>
    <w:p w:rsidR="008C586B" w:rsidRPr="000A64A8" w:rsidRDefault="008C586B" w:rsidP="008C586B">
      <w:pPr>
        <w:pStyle w:val="BodyText12"/>
        <w:spacing w:after="0" w:line="240" w:lineRule="auto"/>
        <w:jc w:val="left"/>
        <w:rPr>
          <w:szCs w:val="24"/>
        </w:rPr>
      </w:pPr>
      <w:r w:rsidRPr="000A64A8">
        <w:rPr>
          <w:szCs w:val="24"/>
        </w:rPr>
        <w:t xml:space="preserve">SD, standard deviation. </w:t>
      </w:r>
    </w:p>
    <w:p w:rsidR="008C586B" w:rsidRPr="002527C9" w:rsidRDefault="008C586B" w:rsidP="008C586B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2527C9">
        <w:rPr>
          <w:rFonts w:ascii="Times New Roman" w:hAnsi="Times New Roman"/>
          <w:b/>
          <w:sz w:val="24"/>
          <w:szCs w:val="24"/>
        </w:rPr>
        <w:br w:type="page"/>
      </w:r>
    </w:p>
    <w:p w:rsidR="008C586B" w:rsidRPr="00AE1A8B" w:rsidRDefault="008C586B" w:rsidP="008C586B">
      <w:pPr>
        <w:rPr>
          <w:rFonts w:ascii="Times New Roman" w:hAnsi="Times New Roman"/>
          <w:sz w:val="24"/>
          <w:szCs w:val="24"/>
        </w:rPr>
      </w:pPr>
      <w:r w:rsidRPr="002527C9">
        <w:rPr>
          <w:rFonts w:ascii="Times New Roman" w:hAnsi="Times New Roman"/>
          <w:b/>
          <w:sz w:val="24"/>
          <w:szCs w:val="24"/>
        </w:rPr>
        <w:lastRenderedPageBreak/>
        <w:t>Supplemental Table 4</w:t>
      </w:r>
      <w:r w:rsidRPr="00AE1A8B">
        <w:rPr>
          <w:rFonts w:ascii="Times New Roman" w:hAnsi="Times New Roman"/>
          <w:b/>
          <w:sz w:val="24"/>
          <w:szCs w:val="24"/>
        </w:rPr>
        <w:t xml:space="preserve">. </w:t>
      </w:r>
      <w:r w:rsidRPr="00ED1931">
        <w:rPr>
          <w:rFonts w:ascii="Times New Roman" w:hAnsi="Times New Roman"/>
          <w:sz w:val="24"/>
          <w:szCs w:val="24"/>
        </w:rPr>
        <w:t xml:space="preserve">Descriptive </w:t>
      </w:r>
      <w:r w:rsidRPr="00C3591B">
        <w:rPr>
          <w:rFonts w:ascii="Times New Roman" w:hAnsi="Times New Roman"/>
          <w:sz w:val="24"/>
          <w:szCs w:val="24"/>
        </w:rPr>
        <w:t xml:space="preserve">statistics of </w:t>
      </w:r>
      <w:r w:rsidRPr="000A64A8">
        <w:rPr>
          <w:rFonts w:ascii="Times New Roman" w:hAnsi="Times New Roman"/>
          <w:sz w:val="24"/>
          <w:szCs w:val="24"/>
        </w:rPr>
        <w:t>baseline categorical covariates</w:t>
      </w:r>
      <w:r w:rsidRPr="002527C9">
        <w:rPr>
          <w:rFonts w:ascii="Times New Roman" w:hAnsi="Times New Roman"/>
          <w:sz w:val="24"/>
          <w:szCs w:val="24"/>
        </w:rPr>
        <w:t>.</w:t>
      </w: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tbl>
      <w:tblPr>
        <w:tblW w:w="963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1162"/>
        <w:gridCol w:w="1162"/>
        <w:gridCol w:w="136"/>
        <w:gridCol w:w="1140"/>
        <w:gridCol w:w="1170"/>
        <w:gridCol w:w="1260"/>
      </w:tblGrid>
      <w:tr w:rsidR="008C586B" w:rsidRPr="00924F7D" w:rsidTr="00670DAA">
        <w:trPr>
          <w:cantSplit/>
          <w:tblHeader/>
          <w:jc w:val="center"/>
        </w:trPr>
        <w:tc>
          <w:tcPr>
            <w:tcW w:w="36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924F7D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924F7D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</w:pPr>
            <w:r w:rsidRPr="00924F7D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  <w:t>GEN503</w:t>
            </w:r>
            <w:r w:rsidRPr="00924F7D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  <w:br/>
              <w:t>N = 44</w:t>
            </w: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924F7D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</w:pPr>
            <w:r w:rsidRPr="00924F7D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  <w:t>EQUULEUS</w:t>
            </w:r>
            <w:r w:rsidRPr="00924F7D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  <w:br/>
              <w:t>N = 128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924F7D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</w:pPr>
            <w:r w:rsidRPr="00924F7D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  <w:t>POLLUX</w:t>
            </w:r>
            <w:r w:rsidRPr="00924F7D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  <w:br/>
              <w:t>N = 282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924F7D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</w:pPr>
            <w:r w:rsidRPr="00924F7D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  <w:t>CASTOR</w:t>
            </w:r>
            <w:r w:rsidRPr="00924F7D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  <w:br/>
              <w:t>N = 240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924F7D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</w:pPr>
            <w:r w:rsidRPr="00924F7D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  <w:t>Combined</w:t>
            </w:r>
            <w:r w:rsidRPr="00924F7D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</w:rPr>
              <w:br/>
              <w:t>N = 694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Dose group (N = 694)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2 mg/kg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6.8% (3)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0.4% (3)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4 mg/kg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6.8% (3)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0.4% (3)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8 mg/kg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9.1% (4)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0.6% (4)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16 mg/kg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77.3% (34)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100% (128)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100% (282)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100% (240)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98.6% (684)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Sex (N = 694)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Male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70.5% (31)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55.5% (71)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60.3% (170)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54.6% (131)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58.1% (403)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Female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29.5% (13)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44.5% (57)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39.7% (112)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45.4% (109)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41.9% (291)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Race (N = 694)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White, not Hispanic or Latino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95.5% (42)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74.2% (95)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72.0% (203)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83.8% (201)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78.0% (541)</w:t>
            </w:r>
          </w:p>
        </w:tc>
      </w:tr>
      <w:tr w:rsidR="008C586B" w:rsidRPr="00924F7D" w:rsidTr="00670DAA">
        <w:trPr>
          <w:cantSplit/>
          <w:trHeight w:hRule="exact" w:val="576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 xml:space="preserve">Black, of African heritage or African </w:t>
            </w:r>
            <w:r w:rsidRPr="00DE21B2">
              <w:rPr>
                <w:rFonts w:eastAsiaTheme="minorEastAsia"/>
              </w:rPr>
              <w:tab/>
              <w:t>American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11.7% (15)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1.8% (5)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5.4% (13)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4.8% (33)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White, Hispanic or Latino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2.3% (1)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7.0% (9)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0.4% (1)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2.5% (6)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2.4% (17)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Asian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2.3% (1)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18.8% (53)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5.0% (12)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9.5% (66)</w:t>
            </w:r>
          </w:p>
        </w:tc>
      </w:tr>
      <w:tr w:rsidR="008C586B" w:rsidRPr="00924F7D" w:rsidTr="00670DAA">
        <w:trPr>
          <w:cantSplit/>
          <w:trHeight w:hRule="exact" w:val="576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 xml:space="preserve">Native Hawaiian or other Pacific </w:t>
            </w:r>
            <w:r w:rsidRPr="00DE21B2">
              <w:rPr>
                <w:rFonts w:eastAsiaTheme="minorEastAsia"/>
              </w:rPr>
              <w:tab/>
              <w:t>Islander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0.4% (1)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0.1% (1)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American Indian or Alaskan Native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0.4% (1)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0.1% (1)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Other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7.0% (9)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7.1% (20)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2.5% (6)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5.0% (35)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Region (N = 694)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EU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93.2% (41)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39.8% (51)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65.2% (184)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75.0% (180)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65.7% (456)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North America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6.8% (3)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60.2% (77)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13.5% (38)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6.7% (16)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19.3% (134)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Asia/Pacific (other than Japan)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14.2% (40)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12.9% (31)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keepNext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10.2% (71)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Japan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7.1% (20)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2.9% (20)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Other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5.4% (13)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1.9% (13)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Age category (N = 694)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Age &lt;65 yr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65.9% (29)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49.2% (63)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46.5% (131)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53.8% (129)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50.7% (352)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65 yr ≤ Age &lt;75 yr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29.5% (13)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39.8% (51)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43.3% (122)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38.3% (92)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40.1% (278)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Age ≥75 yr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4.5% (2)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10.9% (14)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10.3% (29)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7.9% (19)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9.2% (64)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Creatinine clearance category (N = 693)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 xml:space="preserve">      Number of patients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44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127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282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240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693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≥90 mL/min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52.3% (23)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33.1% (42)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34.4% (97)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37.1% (89)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36.2% (251)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≥60 - &lt;90 mL/min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38.6% (17)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35.4% (45)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37.6% (106)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40.0% (96)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38.1% (264)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≥30 - &lt;60 mL/min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9.1% (4)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29.9% (38)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27.3% (77)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19.6% (47)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24.0% (166)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≥15 - &lt;30 mL/min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1.6% (2)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0.7% (2)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3.3% (8)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1.7% (12)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Hepatic dysfunction</w:t>
            </w:r>
            <w:r w:rsidRPr="00DE21B2">
              <w:rPr>
                <w:rFonts w:eastAsiaTheme="minorEastAsia"/>
                <w:vertAlign w:val="superscript"/>
              </w:rPr>
              <w:t>a</w:t>
            </w:r>
            <w:r w:rsidRPr="00DE21B2">
              <w:rPr>
                <w:rFonts w:eastAsiaTheme="minorEastAsia"/>
              </w:rPr>
              <w:t xml:space="preserve"> (N = 687)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342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 xml:space="preserve">      Number of patients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44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128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27</w:t>
            </w:r>
            <w:r>
              <w:rPr>
                <w:rFonts w:eastAsiaTheme="minorEastAsia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239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68</w:t>
            </w:r>
            <w:r>
              <w:rPr>
                <w:rFonts w:eastAsiaTheme="minorEastAsia"/>
              </w:rPr>
              <w:t>6</w:t>
            </w:r>
          </w:p>
        </w:tc>
      </w:tr>
      <w:tr w:rsidR="008C586B" w:rsidRPr="00924F7D" w:rsidTr="00670DAA">
        <w:trPr>
          <w:cantSplit/>
          <w:trHeight w:hRule="exact" w:val="540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Normal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86.4% (38)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83.6</w:t>
            </w:r>
            <w:r w:rsidRPr="00DE21B2">
              <w:rPr>
                <w:rFonts w:eastAsiaTheme="minorEastAsia"/>
              </w:rPr>
              <w:t>% (10</w:t>
            </w:r>
            <w:r>
              <w:rPr>
                <w:rFonts w:eastAsiaTheme="minorEastAsia"/>
              </w:rPr>
              <w:t>7</w:t>
            </w:r>
            <w:r w:rsidRPr="00DE21B2">
              <w:rPr>
                <w:rFonts w:eastAsiaTheme="minorEastAsia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92.4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254</w:t>
            </w:r>
            <w:r w:rsidRPr="00DE21B2">
              <w:rPr>
                <w:rFonts w:eastAsiaTheme="minorEastAsia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83.3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199</w:t>
            </w:r>
            <w:r w:rsidRPr="00DE21B2">
              <w:rPr>
                <w:rFonts w:eastAsiaTheme="minorEastAsia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87.2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598</w:t>
            </w:r>
            <w:r w:rsidRPr="00DE21B2">
              <w:rPr>
                <w:rFonts w:eastAsiaTheme="minorEastAsia"/>
              </w:rPr>
              <w:t>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Mild dysfunction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13.6% (6)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14.8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19</w:t>
            </w:r>
            <w:r w:rsidRPr="00DE21B2">
              <w:rPr>
                <w:rFonts w:eastAsiaTheme="minorEastAsia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7.3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20</w:t>
            </w:r>
            <w:r w:rsidRPr="00DE21B2">
              <w:rPr>
                <w:rFonts w:eastAsiaTheme="minorEastAsia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15.9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38</w:t>
            </w:r>
            <w:r w:rsidRPr="00DE21B2">
              <w:rPr>
                <w:rFonts w:eastAsiaTheme="minorEastAsia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12.1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83</w:t>
            </w:r>
            <w:r w:rsidRPr="00DE21B2">
              <w:rPr>
                <w:rFonts w:eastAsiaTheme="minorEastAsia"/>
              </w:rPr>
              <w:t>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lastRenderedPageBreak/>
              <w:tab/>
              <w:t>Moderate dysfunction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1.6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2</w:t>
            </w:r>
            <w:r w:rsidRPr="00DE21B2">
              <w:rPr>
                <w:rFonts w:eastAsiaTheme="minorEastAsia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0.4% (1)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0.4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1</w:t>
            </w:r>
            <w:r w:rsidRPr="00DE21B2">
              <w:rPr>
                <w:rFonts w:eastAsiaTheme="minorEastAsia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0.6% (4)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Severe dysfunction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0</w:t>
            </w:r>
            <w:r w:rsidRPr="00DE21B2">
              <w:rPr>
                <w:rFonts w:eastAsiaTheme="minorEastAsia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0.4% (1)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0.1</w:t>
            </w:r>
            <w:r w:rsidRPr="00DE21B2">
              <w:rPr>
                <w:rFonts w:eastAsiaTheme="minorEastAsia"/>
              </w:rPr>
              <w:t>% (</w:t>
            </w:r>
            <w:r>
              <w:rPr>
                <w:rFonts w:eastAsiaTheme="minorEastAsia"/>
              </w:rPr>
              <w:t>1</w:t>
            </w:r>
            <w:r w:rsidRPr="00DE21B2">
              <w:rPr>
                <w:rFonts w:eastAsiaTheme="minorEastAsia"/>
              </w:rPr>
              <w:t>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Baseline ECOG score (N = 693)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 xml:space="preserve">      Number of patients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44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128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282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239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693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ECOG = 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59.1% (26)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33.6% (43)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48.6% (137)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43.1% (103)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44.6% (309)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ECOG = 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38.6% (17)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55.5% (71)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47.5% (134)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51.5% (123)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49.8% (345)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ECOG = 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2.3% (1)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10.9% (14)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3.9% (11)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5.4% (13)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5.6% (39)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Lines of prior therapy (N = 665)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 xml:space="preserve">      Number of patients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44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282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240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665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1 line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34.1% (15)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3.0% (3)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51.8% (146)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49.2% (118)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42.4% (282)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2 lines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31.8% (14)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20.2% (20)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30.1% (85)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26.7% (64)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27.5% (183)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3 lines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27.3% (12)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25.3% (25)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13.1% (37)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15.4% (37)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16.7% (111)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&gt;3 lines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6.8% (3)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51.5% (51)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5.0% (14)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8.8% (21)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13.4% (89)</w:t>
            </w:r>
          </w:p>
        </w:tc>
      </w:tr>
      <w:tr w:rsidR="008C586B" w:rsidRPr="00924F7D" w:rsidTr="00670DAA">
        <w:trPr>
          <w:cantSplit/>
          <w:trHeight w:hRule="exact" w:val="576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Type of myeloma at baseline by immunofixation (N = 694)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IgG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21B2">
              <w:rPr>
                <w:rFonts w:ascii="Times New Roman" w:hAnsi="Times New Roman"/>
                <w:color w:val="000000"/>
                <w:sz w:val="20"/>
                <w:szCs w:val="20"/>
              </w:rPr>
              <w:t>59.1% (26)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21B2">
              <w:rPr>
                <w:rFonts w:ascii="Times New Roman" w:hAnsi="Times New Roman"/>
                <w:color w:val="000000"/>
                <w:sz w:val="20"/>
                <w:szCs w:val="20"/>
              </w:rPr>
              <w:t>63.3% (81)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21B2">
              <w:rPr>
                <w:rFonts w:ascii="Times New Roman" w:hAnsi="Times New Roman"/>
                <w:color w:val="000000"/>
                <w:sz w:val="20"/>
                <w:szCs w:val="20"/>
              </w:rPr>
              <w:t>57.4% (162)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21B2">
              <w:rPr>
                <w:rFonts w:ascii="Times New Roman" w:hAnsi="Times New Roman"/>
                <w:color w:val="000000"/>
                <w:sz w:val="20"/>
                <w:szCs w:val="20"/>
              </w:rPr>
              <w:t>55.0% (132)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21B2">
              <w:rPr>
                <w:rFonts w:ascii="Times New Roman" w:hAnsi="Times New Roman"/>
                <w:color w:val="000000"/>
                <w:sz w:val="20"/>
                <w:szCs w:val="20"/>
              </w:rPr>
              <w:t>57.8% (401)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Non-IgG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21B2">
              <w:rPr>
                <w:rFonts w:ascii="Times New Roman" w:hAnsi="Times New Roman"/>
                <w:color w:val="000000"/>
                <w:sz w:val="20"/>
                <w:szCs w:val="20"/>
              </w:rPr>
              <w:t>40.9% (18)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21B2">
              <w:rPr>
                <w:rFonts w:ascii="Times New Roman" w:hAnsi="Times New Roman"/>
                <w:color w:val="000000"/>
                <w:sz w:val="20"/>
                <w:szCs w:val="20"/>
              </w:rPr>
              <w:t>36.7% (47)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21B2">
              <w:rPr>
                <w:rFonts w:ascii="Times New Roman" w:hAnsi="Times New Roman"/>
                <w:color w:val="000000"/>
                <w:sz w:val="20"/>
                <w:szCs w:val="20"/>
              </w:rPr>
              <w:t>42.6% (120)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21B2">
              <w:rPr>
                <w:rFonts w:ascii="Times New Roman" w:hAnsi="Times New Roman"/>
                <w:color w:val="000000"/>
                <w:sz w:val="20"/>
                <w:szCs w:val="20"/>
              </w:rPr>
              <w:t>45.0% (108)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21B2">
              <w:rPr>
                <w:rFonts w:ascii="Times New Roman" w:hAnsi="Times New Roman"/>
                <w:color w:val="000000"/>
                <w:sz w:val="20"/>
                <w:szCs w:val="20"/>
              </w:rPr>
              <w:t>42.2% (293)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Refractory status (N = 307)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 xml:space="preserve">      Number of patients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44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n = 307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None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68.2% (30)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8.9% (7)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5.9% (5)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13.7% (42)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PI only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15.9% (7)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8.1% (8)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69.6% (55)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3.5% (3)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23.8% (73)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IMiD only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6.8% (3)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21.2% (21)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12.7% (10)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81.2% (69)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33.6% (103)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Both PI and IMiD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9.1% (4)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70.7% (70)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8.9% (7)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9.4% (8)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29.0% (89)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Combination medication (N = 694)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Rd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100% (44)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0.0% (0)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100% (282)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47.0% (326)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Vd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4.7% (6)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100% (240)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35.4% (246)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VTd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9.4% (12)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1.7% (12)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VMP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8.6% (11)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1.6% (11)</w:t>
            </w:r>
          </w:p>
        </w:tc>
      </w:tr>
      <w:tr w:rsidR="008C586B" w:rsidRPr="00924F7D" w:rsidTr="00670DAA">
        <w:trPr>
          <w:cantSplit/>
          <w:trHeight w:hRule="exact" w:val="298"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ab/>
              <w:t>Pd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77.3% (99)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0% (0)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DE21B2" w:rsidRDefault="008C586B" w:rsidP="00670DAA">
            <w:pPr>
              <w:pStyle w:val="TableText"/>
              <w:jc w:val="center"/>
              <w:rPr>
                <w:rFonts w:eastAsiaTheme="minorEastAsia"/>
              </w:rPr>
            </w:pPr>
            <w:r w:rsidRPr="00DE21B2">
              <w:rPr>
                <w:rFonts w:eastAsiaTheme="minorEastAsia"/>
              </w:rPr>
              <w:t>14.3% (99)</w:t>
            </w:r>
          </w:p>
        </w:tc>
      </w:tr>
    </w:tbl>
    <w:p w:rsidR="008C586B" w:rsidRPr="000A64A8" w:rsidRDefault="008C586B" w:rsidP="008C586B">
      <w:pPr>
        <w:rPr>
          <w:rFonts w:ascii="Times New Roman" w:hAnsi="Times New Roman"/>
          <w:sz w:val="24"/>
          <w:szCs w:val="24"/>
        </w:rPr>
      </w:pPr>
      <w:r w:rsidRPr="000A64A8">
        <w:rPr>
          <w:rFonts w:ascii="Times New Roman" w:hAnsi="Times New Roman"/>
          <w:sz w:val="24"/>
          <w:szCs w:val="24"/>
        </w:rPr>
        <w:t>Note: Statistics were calculated before the imputation of missing values. Data are represented as percentages (number of patients with the observation).</w:t>
      </w:r>
    </w:p>
    <w:p w:rsidR="008C586B" w:rsidRPr="000A64A8" w:rsidRDefault="008C586B" w:rsidP="008C586B">
      <w:pPr>
        <w:rPr>
          <w:rFonts w:ascii="Times New Roman" w:hAnsi="Times New Roman"/>
          <w:sz w:val="24"/>
          <w:szCs w:val="24"/>
        </w:rPr>
      </w:pPr>
      <w:r w:rsidRPr="000A64A8">
        <w:rPr>
          <w:rFonts w:ascii="Times New Roman" w:hAnsi="Times New Roman"/>
          <w:sz w:val="24"/>
          <w:szCs w:val="24"/>
        </w:rPr>
        <w:t>EU, European Union; yr, year; ECOG, Eastern Cooperative Oncology Group; Ig, immunoglobulin; PI, proteasome inhibitor; IMiD, immunomodulatory drug; Rd, lenalidomide and dexamethasone; Vd, bortezomib and dexamethasone; VTd, bortezomib, thalidomide, and dexamethasone; VMP, bortezomib, melphalan, and prednisone; Pd, pomalidomide and dexamethasone.</w:t>
      </w:r>
    </w:p>
    <w:p w:rsidR="008C586B" w:rsidRPr="000A64A8" w:rsidRDefault="008C586B" w:rsidP="008C586B">
      <w:pPr>
        <w:rPr>
          <w:rFonts w:ascii="Times New Roman" w:hAnsi="Times New Roman"/>
          <w:sz w:val="24"/>
          <w:szCs w:val="24"/>
        </w:rPr>
      </w:pPr>
      <w:r w:rsidRPr="000A64A8">
        <w:rPr>
          <w:rFonts w:ascii="Times New Roman" w:hAnsi="Times New Roman"/>
          <w:sz w:val="24"/>
          <w:szCs w:val="24"/>
          <w:vertAlign w:val="superscript"/>
        </w:rPr>
        <w:t>a</w:t>
      </w:r>
      <w:r w:rsidRPr="000A64A8">
        <w:rPr>
          <w:rFonts w:ascii="Times New Roman" w:hAnsi="Times New Roman"/>
          <w:sz w:val="24"/>
          <w:szCs w:val="24"/>
        </w:rPr>
        <w:t>Baseline hepatic dysfunction categories follow National Cancer Institute (NCI) criteria based on aspartate aminotransferase (AST) and total bilirubin (TB): mild = TB 1.0x to 1.5x upper limit of normal (ULN) or AST &gt;ULN; moderate = TB &gt;1.5x to 3.0 x ULN; severe = TB &gt;3.0x ULN.</w:t>
      </w:r>
    </w:p>
    <w:p w:rsidR="008C586B" w:rsidRDefault="008C586B" w:rsidP="008C586B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C586B" w:rsidRPr="00AE1A8B" w:rsidRDefault="008C586B" w:rsidP="008C586B">
      <w:pPr>
        <w:rPr>
          <w:rFonts w:ascii="Times New Roman" w:hAnsi="Times New Roman"/>
          <w:sz w:val="24"/>
          <w:szCs w:val="24"/>
        </w:rPr>
      </w:pPr>
      <w:r w:rsidRPr="002527C9">
        <w:rPr>
          <w:rFonts w:ascii="Times New Roman" w:hAnsi="Times New Roman"/>
          <w:b/>
          <w:sz w:val="24"/>
          <w:szCs w:val="24"/>
        </w:rPr>
        <w:lastRenderedPageBreak/>
        <w:t xml:space="preserve">Supplemental Table 5. </w:t>
      </w:r>
      <w:r w:rsidRPr="00AE1A8B">
        <w:rPr>
          <w:rFonts w:ascii="Times New Roman" w:hAnsi="Times New Roman"/>
          <w:sz w:val="24"/>
          <w:szCs w:val="24"/>
        </w:rPr>
        <w:t xml:space="preserve">Parameter </w:t>
      </w:r>
      <w:r w:rsidRPr="00ED1931">
        <w:rPr>
          <w:rFonts w:ascii="Times New Roman" w:hAnsi="Times New Roman"/>
          <w:sz w:val="24"/>
          <w:szCs w:val="24"/>
        </w:rPr>
        <w:t>e</w:t>
      </w:r>
      <w:r w:rsidRPr="00C3591B">
        <w:rPr>
          <w:rFonts w:ascii="Times New Roman" w:hAnsi="Times New Roman"/>
          <w:sz w:val="24"/>
          <w:szCs w:val="24"/>
        </w:rPr>
        <w:t>stimates of d</w:t>
      </w:r>
      <w:r w:rsidRPr="000A64A8">
        <w:rPr>
          <w:rFonts w:ascii="Times New Roman" w:hAnsi="Times New Roman"/>
          <w:sz w:val="24"/>
          <w:szCs w:val="24"/>
        </w:rPr>
        <w:t>aratumumab for the final covariate model</w:t>
      </w:r>
      <w:r w:rsidRPr="002527C9">
        <w:rPr>
          <w:rFonts w:ascii="Times New Roman" w:hAnsi="Times New Roman"/>
          <w:sz w:val="24"/>
          <w:szCs w:val="24"/>
        </w:rPr>
        <w:t>.</w:t>
      </w: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"/>
        <w:gridCol w:w="2537"/>
        <w:gridCol w:w="1162"/>
        <w:gridCol w:w="1162"/>
        <w:gridCol w:w="1162"/>
        <w:gridCol w:w="1172"/>
        <w:gridCol w:w="1731"/>
      </w:tblGrid>
      <w:tr w:rsidR="008C586B" w:rsidRPr="008704CA" w:rsidTr="00670DAA">
        <w:trPr>
          <w:gridAfter w:val="1"/>
          <w:wAfter w:w="1731" w:type="dxa"/>
          <w:cantSplit/>
          <w:tblHeader/>
          <w:jc w:val="center"/>
        </w:trPr>
        <w:tc>
          <w:tcPr>
            <w:tcW w:w="27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8704CA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  <w:r w:rsidRPr="008704CA">
              <w:rPr>
                <w:rFonts w:ascii="Times New Roman" w:eastAsiaTheme="minorEastAsia" w:hAnsi="Times New Roman"/>
                <w:b/>
                <w:color w:val="000000"/>
                <w:sz w:val="20"/>
              </w:rPr>
              <w:t>Parameter, unit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8704CA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  <w:r w:rsidRPr="008704CA">
              <w:rPr>
                <w:rFonts w:ascii="Times New Roman" w:eastAsiaTheme="minorEastAsia" w:hAnsi="Times New Roman"/>
                <w:b/>
                <w:color w:val="000000"/>
                <w:sz w:val="20"/>
              </w:rPr>
              <w:t>Estimate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8704CA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  <w:r w:rsidRPr="008704CA">
              <w:rPr>
                <w:rFonts w:ascii="Times New Roman" w:eastAsiaTheme="minorEastAsia" w:hAnsi="Times New Roman"/>
                <w:b/>
                <w:color w:val="000000"/>
                <w:sz w:val="20"/>
              </w:rPr>
              <w:t>RSE (%)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8704CA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  <w:r w:rsidRPr="008704CA">
              <w:rPr>
                <w:rFonts w:ascii="Times New Roman" w:eastAsiaTheme="minorEastAsia" w:hAnsi="Times New Roman"/>
                <w:b/>
                <w:color w:val="000000"/>
                <w:sz w:val="20"/>
              </w:rPr>
              <w:t>IIV (%CV)</w:t>
            </w:r>
          </w:p>
        </w:tc>
        <w:tc>
          <w:tcPr>
            <w:tcW w:w="11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8C586B" w:rsidRPr="008704CA" w:rsidRDefault="008C586B" w:rsidP="00670DAA">
            <w:pPr>
              <w:keepNext/>
              <w:autoSpaceDE w:val="0"/>
              <w:autoSpaceDN w:val="0"/>
              <w:adjustRightInd w:val="0"/>
              <w:spacing w:before="67" w:after="67"/>
              <w:jc w:val="center"/>
              <w:rPr>
                <w:rFonts w:ascii="Times New Roman" w:eastAsiaTheme="minorEastAsia" w:hAnsi="Times New Roman"/>
                <w:b/>
                <w:color w:val="000000"/>
                <w:sz w:val="20"/>
              </w:rPr>
            </w:pPr>
            <w:r w:rsidRPr="008704CA">
              <w:rPr>
                <w:rFonts w:ascii="Times New Roman" w:eastAsiaTheme="minorEastAsia" w:hAnsi="Times New Roman"/>
                <w:b/>
                <w:color w:val="000000"/>
                <w:sz w:val="20"/>
              </w:rPr>
              <w:t>RSE (%)</w:t>
            </w: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407DD0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>CL (L/hr)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0.00489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6.6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34.5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11.5</w:t>
            </w: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407DD0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ab/>
              <w:t>ALB on CL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-0.421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26.1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407DD0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ab/>
              <w:t>WT on CL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0.934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9.4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407DD0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ab/>
              <w:t>FORM on CL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-0.0505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130.5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407DD0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ab/>
              <w:t>TPMM on CL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0.489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12</w:t>
            </w:r>
            <w:r>
              <w:rPr>
                <w:rFonts w:ascii="Times New Roman" w:hAnsi="Times New Roman"/>
                <w:color w:val="000000"/>
                <w:sz w:val="20"/>
              </w:rPr>
              <w:t>.0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966E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>V</w:t>
            </w:r>
            <w:r w:rsidRPr="00407DD0">
              <w:rPr>
                <w:rFonts w:eastAsiaTheme="minorEastAsia"/>
                <w:vertAlign w:val="subscript"/>
              </w:rPr>
              <w:t>1</w:t>
            </w:r>
            <w:r w:rsidRPr="00407DD0">
              <w:rPr>
                <w:rFonts w:eastAsiaTheme="minorEastAsia"/>
              </w:rPr>
              <w:t xml:space="preserve"> (L)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4.40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2.4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34.6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4.8</w:t>
            </w: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407DD0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ab/>
              <w:t>WT on V</w:t>
            </w:r>
            <w:r w:rsidRPr="00407DD0">
              <w:rPr>
                <w:rFonts w:eastAsiaTheme="minorEastAsia"/>
                <w:vertAlign w:val="subscript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0.525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17.2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407DD0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ab/>
              <w:t>S</w:t>
            </w:r>
            <w:r>
              <w:rPr>
                <w:rFonts w:eastAsiaTheme="minorEastAsia"/>
              </w:rPr>
              <w:t>ex</w:t>
            </w:r>
            <w:r w:rsidRPr="00407DD0">
              <w:rPr>
                <w:rFonts w:eastAsiaTheme="minorEastAsia"/>
              </w:rPr>
              <w:t xml:space="preserve"> on V</w:t>
            </w:r>
            <w:r w:rsidRPr="00407DD0">
              <w:rPr>
                <w:rFonts w:eastAsiaTheme="minorEastAsia"/>
                <w:vertAlign w:val="subscript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-0.146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20.6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966E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>V</w:t>
            </w:r>
            <w:r w:rsidRPr="00407DD0">
              <w:rPr>
                <w:rFonts w:eastAsiaTheme="minorEastAsia"/>
                <w:vertAlign w:val="subscript"/>
              </w:rPr>
              <w:t>2</w:t>
            </w:r>
            <w:r w:rsidRPr="00407DD0">
              <w:rPr>
                <w:rFonts w:eastAsiaTheme="minorEastAsia"/>
              </w:rPr>
              <w:t xml:space="preserve"> (L)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3.30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</w:rPr>
              <w:t>.0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407DD0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>Q (L/hr)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0.00863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7.8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966E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>V</w:t>
            </w:r>
            <w:r w:rsidRPr="00407DD0">
              <w:rPr>
                <w:rFonts w:eastAsiaTheme="minorEastAsia"/>
                <w:vertAlign w:val="subscript"/>
              </w:rPr>
              <w:t>max</w:t>
            </w:r>
            <w:r w:rsidRPr="00407DD0">
              <w:rPr>
                <w:rFonts w:eastAsiaTheme="minorEastAsia"/>
              </w:rPr>
              <w:t xml:space="preserve"> (mg/hr)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0.843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9.8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78.6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7.8</w:t>
            </w: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966E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>K</w:t>
            </w:r>
            <w:r w:rsidRPr="00407DD0">
              <w:rPr>
                <w:rFonts w:eastAsiaTheme="minorEastAsia"/>
                <w:vertAlign w:val="subscript"/>
              </w:rPr>
              <w:t>DES</w:t>
            </w:r>
            <w:r w:rsidRPr="00407DD0">
              <w:rPr>
                <w:rFonts w:eastAsiaTheme="minorEastAsia"/>
              </w:rPr>
              <w:t xml:space="preserve"> (1/hr)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0.0003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17.3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124.5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28.5</w:t>
            </w: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966EB2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rPr>
                <w:rFonts w:eastAsiaTheme="minorEastAsia"/>
              </w:rPr>
              <w:t>K</w:t>
            </w:r>
            <w:r w:rsidRPr="00407DD0">
              <w:rPr>
                <w:rFonts w:eastAsiaTheme="minorEastAsia"/>
                <w:vertAlign w:val="subscript"/>
              </w:rPr>
              <w:t>M</w:t>
            </w:r>
            <w:r w:rsidRPr="00407DD0">
              <w:rPr>
                <w:rFonts w:eastAsiaTheme="minorEastAsia"/>
              </w:rPr>
              <w:t xml:space="preserve"> (µg/mL)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0.305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13.2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8C586B" w:rsidRPr="008704CA" w:rsidTr="00670DAA">
        <w:trPr>
          <w:gridAfter w:val="1"/>
          <w:wAfter w:w="1731" w:type="dxa"/>
          <w:cantSplit/>
          <w:trHeight w:hRule="exact" w:val="298"/>
          <w:jc w:val="center"/>
        </w:trPr>
        <w:tc>
          <w:tcPr>
            <w:tcW w:w="273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407DD0" w:rsidRDefault="008C586B" w:rsidP="00670DAA">
            <w:pPr>
              <w:pStyle w:val="TableText"/>
              <w:keepNext/>
              <w:rPr>
                <w:rFonts w:eastAsiaTheme="minorEastAsia"/>
              </w:rPr>
            </w:pPr>
            <w:r w:rsidRPr="00407DD0">
              <w:t>ADD ERR</w:t>
            </w:r>
            <w:r w:rsidRPr="00407DD0">
              <w:rPr>
                <w:rFonts w:eastAsiaTheme="minorEastAsia"/>
              </w:rPr>
              <w:t xml:space="preserve"> (%CV)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32.2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704CA">
              <w:rPr>
                <w:rFonts w:ascii="Times New Roman" w:hAnsi="Times New Roman"/>
                <w:color w:val="000000"/>
                <w:sz w:val="20"/>
              </w:rPr>
              <w:t>0.5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8C586B" w:rsidRPr="008704CA" w:rsidRDefault="008C586B" w:rsidP="00670DAA">
            <w:pPr>
              <w:adjustRightInd w:val="0"/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8C586B" w:rsidRPr="00374D39" w:rsidTr="00670DAA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9" w:type="dxa"/>
          <w:trHeight w:val="64"/>
        </w:trPr>
        <w:tc>
          <w:tcPr>
            <w:tcW w:w="8926" w:type="dxa"/>
            <w:gridSpan w:val="6"/>
            <w:tcBorders>
              <w:top w:val="single" w:sz="4" w:space="0" w:color="auto"/>
            </w:tcBorders>
          </w:tcPr>
          <w:p w:rsidR="008C586B" w:rsidRPr="000A64A8" w:rsidRDefault="008C586B" w:rsidP="00670DAA">
            <w:pPr>
              <w:pStyle w:val="TableFootnote"/>
              <w:keepNext/>
              <w:tabs>
                <w:tab w:val="clear" w:pos="288"/>
              </w:tabs>
              <w:ind w:left="0" w:firstLine="0"/>
              <w:rPr>
                <w:noProof/>
                <w:sz w:val="24"/>
                <w:szCs w:val="24"/>
              </w:rPr>
            </w:pPr>
            <w:r w:rsidRPr="000A64A8">
              <w:rPr>
                <w:noProof/>
                <w:sz w:val="24"/>
                <w:szCs w:val="24"/>
              </w:rPr>
              <w:t>RSE, relative standard error; IIV</w:t>
            </w:r>
            <w:r>
              <w:rPr>
                <w:noProof/>
                <w:sz w:val="24"/>
                <w:szCs w:val="24"/>
              </w:rPr>
              <w:t xml:space="preserve">, </w:t>
            </w:r>
            <w:r w:rsidRPr="000A64A8">
              <w:rPr>
                <w:noProof/>
                <w:sz w:val="24"/>
                <w:szCs w:val="24"/>
              </w:rPr>
              <w:t>interindividual variability; CV, coefficient of variation; CL, linear clearance; ALB, serum albumin concentration; WT, body weight; FORM, Phase 2 pre-change/Phase 3 post-change drug product;  TPMM, type of myeloma (IgG versus non-IgG); V</w:t>
            </w:r>
            <w:r w:rsidRPr="000A64A8">
              <w:rPr>
                <w:noProof/>
                <w:sz w:val="24"/>
                <w:szCs w:val="24"/>
                <w:vertAlign w:val="subscript"/>
              </w:rPr>
              <w:t>1</w:t>
            </w:r>
            <w:r w:rsidRPr="000A64A8">
              <w:rPr>
                <w:noProof/>
                <w:sz w:val="24"/>
                <w:szCs w:val="24"/>
              </w:rPr>
              <w:t>, volume of distribution in the central compartment; V</w:t>
            </w:r>
            <w:r w:rsidRPr="000A64A8">
              <w:rPr>
                <w:noProof/>
                <w:sz w:val="24"/>
                <w:szCs w:val="24"/>
                <w:vertAlign w:val="subscript"/>
              </w:rPr>
              <w:t>2</w:t>
            </w:r>
            <w:r w:rsidRPr="000A64A8">
              <w:rPr>
                <w:noProof/>
                <w:sz w:val="24"/>
                <w:szCs w:val="24"/>
              </w:rPr>
              <w:t>, volume of distribution in the peripheral compartment; Q, inter-compartmental clearance; V</w:t>
            </w:r>
            <w:r w:rsidRPr="000A64A8">
              <w:rPr>
                <w:noProof/>
                <w:sz w:val="24"/>
                <w:szCs w:val="24"/>
                <w:vertAlign w:val="subscript"/>
              </w:rPr>
              <w:t>max</w:t>
            </w:r>
            <w:r w:rsidRPr="000A64A8">
              <w:rPr>
                <w:noProof/>
                <w:sz w:val="24"/>
                <w:szCs w:val="24"/>
              </w:rPr>
              <w:t>, maximum velocity of the saturable clearance process; K</w:t>
            </w:r>
            <w:r w:rsidRPr="000A64A8">
              <w:rPr>
                <w:noProof/>
                <w:sz w:val="24"/>
                <w:szCs w:val="24"/>
                <w:vertAlign w:val="subscript"/>
              </w:rPr>
              <w:t>DES</w:t>
            </w:r>
            <w:r w:rsidRPr="000A64A8">
              <w:rPr>
                <w:noProof/>
                <w:sz w:val="24"/>
                <w:szCs w:val="24"/>
              </w:rPr>
              <w:t>, first-order rate for decrease of V</w:t>
            </w:r>
            <w:r w:rsidRPr="000A64A8">
              <w:rPr>
                <w:noProof/>
                <w:sz w:val="24"/>
                <w:szCs w:val="24"/>
                <w:vertAlign w:val="subscript"/>
              </w:rPr>
              <w:t>max</w:t>
            </w:r>
            <w:r w:rsidRPr="000A64A8">
              <w:rPr>
                <w:noProof/>
                <w:sz w:val="24"/>
                <w:szCs w:val="24"/>
              </w:rPr>
              <w:t>; K</w:t>
            </w:r>
            <w:r>
              <w:rPr>
                <w:noProof/>
                <w:sz w:val="24"/>
                <w:szCs w:val="24"/>
                <w:vertAlign w:val="subscript"/>
              </w:rPr>
              <w:t>M</w:t>
            </w:r>
            <w:r w:rsidRPr="000A64A8">
              <w:rPr>
                <w:noProof/>
                <w:sz w:val="24"/>
                <w:szCs w:val="24"/>
              </w:rPr>
              <w:t xml:space="preserve">, Michaelis-Menten constant; ADD ERR, additive error term on the log-scale. </w:t>
            </w:r>
          </w:p>
        </w:tc>
      </w:tr>
      <w:tr w:rsidR="008C586B" w:rsidRPr="00374D39" w:rsidTr="00670DAA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9" w:type="dxa"/>
          <w:trHeight w:val="2528"/>
        </w:trPr>
        <w:tc>
          <w:tcPr>
            <w:tcW w:w="8926" w:type="dxa"/>
            <w:gridSpan w:val="6"/>
          </w:tcPr>
          <w:p w:rsidR="008C586B" w:rsidRPr="000A64A8" w:rsidRDefault="008C586B" w:rsidP="00670DAA">
            <w:pPr>
              <w:pStyle w:val="TableFootnote"/>
              <w:keepNext/>
              <w:tabs>
                <w:tab w:val="clear" w:pos="288"/>
              </w:tabs>
              <w:ind w:left="0" w:firstLine="0"/>
              <w:rPr>
                <w:noProof/>
                <w:sz w:val="24"/>
                <w:szCs w:val="24"/>
              </w:rPr>
            </w:pPr>
            <w:r w:rsidRPr="000A64A8">
              <w:rPr>
                <w:noProof/>
                <w:sz w:val="24"/>
                <w:szCs w:val="24"/>
              </w:rPr>
              <w:t xml:space="preserve">Note:  The objective function value was -3,218.80. The condition number, 85.84, was calculated as the ratio of the largest to smallest </w:t>
            </w:r>
            <w:r>
              <w:rPr>
                <w:noProof/>
                <w:sz w:val="24"/>
                <w:szCs w:val="24"/>
              </w:rPr>
              <w:t>eigen</w:t>
            </w:r>
            <w:r w:rsidRPr="000A64A8">
              <w:rPr>
                <w:noProof/>
                <w:sz w:val="24"/>
                <w:szCs w:val="24"/>
              </w:rPr>
              <w:t>value of correlation matrix of estimate.</w:t>
            </w:r>
          </w:p>
          <w:p w:rsidR="008C586B" w:rsidRPr="000A64A8" w:rsidRDefault="008C586B" w:rsidP="00670DAA">
            <w:pPr>
              <w:pStyle w:val="TableFootnote"/>
              <w:keepNext/>
              <w:rPr>
                <w:noProof/>
                <w:sz w:val="24"/>
                <w:szCs w:val="24"/>
              </w:rPr>
            </w:pPr>
            <w:r w:rsidRPr="000A64A8">
              <w:rPr>
                <w:noProof/>
                <w:sz w:val="24"/>
                <w:szCs w:val="24"/>
              </w:rPr>
              <w:t>Note:  For IIV, RSE% is given as %CV and is an approximate value.</w:t>
            </w:r>
          </w:p>
          <w:p w:rsidR="008C586B" w:rsidRPr="000A64A8" w:rsidRDefault="008C586B" w:rsidP="00670DAA">
            <w:pPr>
              <w:pStyle w:val="TableFootnote"/>
              <w:keepNext/>
              <w:tabs>
                <w:tab w:val="clear" w:pos="288"/>
              </w:tabs>
              <w:ind w:left="0" w:firstLine="0"/>
              <w:rPr>
                <w:noProof/>
                <w:sz w:val="24"/>
                <w:szCs w:val="24"/>
              </w:rPr>
            </w:pPr>
            <w:r w:rsidRPr="000A64A8">
              <w:rPr>
                <w:noProof/>
                <w:sz w:val="24"/>
                <w:szCs w:val="24"/>
              </w:rPr>
              <w:t xml:space="preserve">Note: The typical values (TV) of PK parameters, </w:t>
            </w:r>
            <m:oMath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TVCL=0.00489∙</m:t>
              </m:r>
              <m:sSup>
                <m:sSupPr>
                  <m:ctrlPr>
                    <w:rPr>
                      <w:rFonts w:ascii="Cambria Math" w:hAnsi="Cambria Math"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WT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78.6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0.934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ALB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37.0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-0.421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noProof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FORM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CL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 xml:space="preserve"> ∙</m:t>
              </m:r>
              <m:sSub>
                <m:sSubPr>
                  <m:ctrlPr>
                    <w:rPr>
                      <w:rFonts w:ascii="Cambria Math" w:hAnsi="Cambria Math"/>
                      <w:noProof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TPMM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CL</m:t>
                  </m:r>
                </m:sub>
              </m:sSub>
            </m:oMath>
            <w:r w:rsidRPr="000A64A8">
              <w:rPr>
                <w:noProof/>
                <w:sz w:val="24"/>
                <w:szCs w:val="24"/>
              </w:rPr>
              <w:t xml:space="preserve"> where FORM </w:t>
            </w:r>
            <w:r w:rsidRPr="000A64A8">
              <w:rPr>
                <w:noProof/>
                <w:sz w:val="24"/>
                <w:szCs w:val="24"/>
                <w:vertAlign w:val="subscript"/>
              </w:rPr>
              <w:t>CL</w:t>
            </w:r>
            <w:r w:rsidRPr="000A64A8">
              <w:rPr>
                <w:noProof/>
                <w:sz w:val="24"/>
                <w:szCs w:val="24"/>
              </w:rPr>
              <w:t xml:space="preserve"> is a shift factor of 1 for Phase 2 pre-change product and 1-0.0505 for Phase 3 post-change product, and TPMM </w:t>
            </w:r>
            <w:r w:rsidRPr="000A64A8">
              <w:rPr>
                <w:noProof/>
                <w:sz w:val="24"/>
                <w:szCs w:val="24"/>
                <w:vertAlign w:val="subscript"/>
              </w:rPr>
              <w:t>CL</w:t>
            </w:r>
            <w:r w:rsidRPr="000A64A8">
              <w:rPr>
                <w:noProof/>
                <w:sz w:val="24"/>
                <w:szCs w:val="24"/>
              </w:rPr>
              <w:t xml:space="preserve"> is a shift factor of 1 for non-IgG MM subjects and 1+0.489 for IgG MM subjects. </w:t>
            </w:r>
            <m:oMath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TVV1=4.40∙</m:t>
              </m:r>
              <m:sSup>
                <m:sSupPr>
                  <m:ctrlPr>
                    <w:rPr>
                      <w:rFonts w:ascii="Cambria Math" w:hAnsi="Cambria Math"/>
                      <w:noProof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WT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noProof/>
                              <w:sz w:val="24"/>
                              <w:szCs w:val="24"/>
                            </w:rPr>
                            <m:t>78.6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0.525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noProof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SEX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V1</m:t>
                  </m:r>
                </m:sub>
              </m:sSub>
            </m:oMath>
            <w:r w:rsidRPr="000A64A8">
              <w:rPr>
                <w:noProof/>
                <w:sz w:val="24"/>
                <w:szCs w:val="24"/>
              </w:rPr>
              <w:t xml:space="preserve"> where SEX</w:t>
            </w:r>
            <w:r w:rsidRPr="000A64A8">
              <w:rPr>
                <w:noProof/>
                <w:sz w:val="24"/>
                <w:szCs w:val="24"/>
                <w:vertAlign w:val="subscript"/>
              </w:rPr>
              <w:t>V1</w:t>
            </w:r>
            <w:r w:rsidRPr="000A64A8">
              <w:rPr>
                <w:noProof/>
                <w:sz w:val="24"/>
                <w:szCs w:val="24"/>
              </w:rPr>
              <w:t xml:space="preserve"> is a shift factor of 1 for male and 1- 0.146 for female.</w:t>
            </w:r>
          </w:p>
          <w:p w:rsidR="008C586B" w:rsidRPr="000A64A8" w:rsidRDefault="008C586B" w:rsidP="00670DAA">
            <w:pPr>
              <w:pStyle w:val="TableFootnote"/>
              <w:keepNext/>
              <w:rPr>
                <w:noProof/>
                <w:sz w:val="24"/>
                <w:szCs w:val="24"/>
              </w:rPr>
            </w:pPr>
          </w:p>
        </w:tc>
      </w:tr>
    </w:tbl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rPr>
          <w:rFonts w:ascii="Times New Roman" w:hAnsi="Times New Roman"/>
        </w:rPr>
      </w:pPr>
    </w:p>
    <w:p w:rsidR="008C586B" w:rsidRDefault="008C586B" w:rsidP="008C586B">
      <w:pPr>
        <w:rPr>
          <w:rFonts w:ascii="Times New Roman" w:hAnsi="Times New Roman"/>
        </w:rPr>
      </w:pPr>
    </w:p>
    <w:p w:rsidR="008C586B" w:rsidRDefault="008C586B" w:rsidP="008C586B">
      <w:pPr>
        <w:rPr>
          <w:rFonts w:ascii="Times New Roman" w:hAnsi="Times New Roman"/>
        </w:rPr>
      </w:pP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pStyle w:val="BodyText12"/>
      </w:pPr>
    </w:p>
    <w:p w:rsidR="008C586B" w:rsidRDefault="008C586B" w:rsidP="008C586B">
      <w:pPr>
        <w:pStyle w:val="BodyText12"/>
        <w:spacing w:line="480" w:lineRule="auto"/>
        <w:jc w:val="left"/>
        <w:rPr>
          <w:b/>
        </w:rPr>
      </w:pPr>
      <w:r>
        <w:rPr>
          <w:b/>
        </w:rPr>
        <w:lastRenderedPageBreak/>
        <w:t>Supplemental Figure Legend</w:t>
      </w:r>
    </w:p>
    <w:p w:rsidR="008C586B" w:rsidRPr="00ED1931" w:rsidRDefault="008C586B" w:rsidP="008C586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Supplemental </w:t>
      </w:r>
      <w:r w:rsidRPr="002527C9">
        <w:rPr>
          <w:rFonts w:ascii="Times New Roman" w:hAnsi="Times New Roman"/>
          <w:b/>
          <w:sz w:val="24"/>
          <w:szCs w:val="24"/>
        </w:rPr>
        <w:t>Fig</w:t>
      </w:r>
      <w:r w:rsidRPr="00AE1A8B">
        <w:rPr>
          <w:rFonts w:ascii="Times New Roman" w:hAnsi="Times New Roman"/>
          <w:b/>
          <w:sz w:val="24"/>
          <w:szCs w:val="24"/>
        </w:rPr>
        <w:t>.</w:t>
      </w:r>
      <w:r w:rsidRPr="00ED1931">
        <w:rPr>
          <w:rFonts w:ascii="Times New Roman" w:hAnsi="Times New Roman"/>
          <w:b/>
          <w:sz w:val="24"/>
          <w:szCs w:val="24"/>
        </w:rPr>
        <w:t xml:space="preserve"> </w:t>
      </w:r>
      <w:r w:rsidRPr="00C3591B">
        <w:rPr>
          <w:rFonts w:ascii="Times New Roman" w:hAnsi="Times New Roman"/>
          <w:b/>
          <w:sz w:val="24"/>
          <w:szCs w:val="24"/>
        </w:rPr>
        <w:t xml:space="preserve">1 </w:t>
      </w:r>
      <w:r w:rsidRPr="00C3591B">
        <w:rPr>
          <w:rFonts w:ascii="Times New Roman" w:hAnsi="Times New Roman"/>
          <w:sz w:val="24"/>
          <w:szCs w:val="24"/>
        </w:rPr>
        <w:t xml:space="preserve">Comparison of daratumumab concentration versus time profiles in monotherapy studies </w:t>
      </w:r>
      <w:r w:rsidRPr="000A64A8">
        <w:rPr>
          <w:rFonts w:ascii="Times New Roman" w:hAnsi="Times New Roman"/>
          <w:sz w:val="24"/>
          <w:szCs w:val="24"/>
        </w:rPr>
        <w:t>GEN501 and SIRIUS versus combination therapy studies POLLUX (a), CASTOR (b), and EQUULEUS</w:t>
      </w:r>
      <w:r w:rsidRPr="000A64A8">
        <w:rPr>
          <w:rFonts w:ascii="Times New Roman" w:hAnsi="Times New Roman"/>
          <w:b/>
          <w:sz w:val="24"/>
          <w:szCs w:val="24"/>
        </w:rPr>
        <w:t xml:space="preserve"> </w:t>
      </w:r>
      <w:r w:rsidRPr="000A64A8">
        <w:rPr>
          <w:rFonts w:ascii="Times New Roman" w:hAnsi="Times New Roman"/>
          <w:sz w:val="24"/>
          <w:szCs w:val="24"/>
        </w:rPr>
        <w:t>(c</w:t>
      </w:r>
      <w:r w:rsidRPr="002527C9">
        <w:rPr>
          <w:rFonts w:ascii="Times New Roman" w:hAnsi="Times New Roman"/>
          <w:sz w:val="24"/>
          <w:szCs w:val="24"/>
        </w:rPr>
        <w:t>)</w:t>
      </w:r>
      <w:r w:rsidRPr="00AE1A8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a.</w:t>
      </w: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1F3BE478" wp14:editId="57B88577">
            <wp:extent cx="3469710" cy="3385191"/>
            <wp:effectExtent l="0" t="0" r="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JJD61736 Supp Figure 1A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0235" cy="339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  <w:r w:rsidRPr="00D2550C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1024C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</w:t>
      </w:r>
    </w:p>
    <w:p w:rsidR="008C586B" w:rsidRDefault="008C586B" w:rsidP="008C586B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b.</w:t>
      </w: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5CE51712" wp14:editId="5BB2FC82">
            <wp:extent cx="3294345" cy="3254221"/>
            <wp:effectExtent l="0" t="0" r="1905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JJD61736 Supp Figure 1B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061" cy="326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c.</w:t>
      </w: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7C8DE170" wp14:editId="6A0E7A33">
            <wp:extent cx="3269293" cy="3269293"/>
            <wp:effectExtent l="0" t="0" r="762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JJD61736 Supp Figure 1C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1293" cy="3271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Default="008C586B" w:rsidP="008C586B">
      <w:pPr>
        <w:rPr>
          <w:rFonts w:ascii="Times New Roman" w:hAnsi="Times New Roman"/>
          <w:b/>
          <w:sz w:val="24"/>
          <w:szCs w:val="24"/>
        </w:rPr>
      </w:pPr>
    </w:p>
    <w:p w:rsidR="008C586B" w:rsidRPr="00D835FF" w:rsidRDefault="008C586B" w:rsidP="008C586B">
      <w:pPr>
        <w:rPr>
          <w:rFonts w:ascii="Times New Roman" w:hAnsi="Times New Roman"/>
        </w:rPr>
      </w:pPr>
    </w:p>
    <w:p w:rsidR="00986EB9" w:rsidRDefault="00986EB9">
      <w:bookmarkStart w:id="0" w:name="_GoBack"/>
      <w:bookmarkEnd w:id="0"/>
    </w:p>
    <w:sectPr w:rsidR="00986EB9" w:rsidSect="00E35DED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FFD" w:rsidRDefault="00D55FFD" w:rsidP="00D55FFD">
      <w:r>
        <w:separator/>
      </w:r>
    </w:p>
  </w:endnote>
  <w:endnote w:type="continuationSeparator" w:id="0">
    <w:p w:rsidR="00D55FFD" w:rsidRDefault="00D55FFD" w:rsidP="00D55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FFD" w:rsidRDefault="00D55FFD" w:rsidP="00D55FFD">
      <w:r>
        <w:separator/>
      </w:r>
    </w:p>
  </w:footnote>
  <w:footnote w:type="continuationSeparator" w:id="0">
    <w:p w:rsidR="00D55FFD" w:rsidRDefault="00D55FFD" w:rsidP="00D55F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2E1B"/>
    <w:multiLevelType w:val="hybridMultilevel"/>
    <w:tmpl w:val="10AC07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522B0C"/>
    <w:multiLevelType w:val="hybridMultilevel"/>
    <w:tmpl w:val="70422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74F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DD56410"/>
    <w:multiLevelType w:val="hybridMultilevel"/>
    <w:tmpl w:val="ECE6D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011A5"/>
    <w:multiLevelType w:val="hybridMultilevel"/>
    <w:tmpl w:val="10AAA2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C26060"/>
    <w:multiLevelType w:val="hybridMultilevel"/>
    <w:tmpl w:val="607849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16B87"/>
    <w:multiLevelType w:val="multilevel"/>
    <w:tmpl w:val="D024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5D4212"/>
    <w:multiLevelType w:val="hybridMultilevel"/>
    <w:tmpl w:val="F732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0A20B8"/>
    <w:multiLevelType w:val="hybridMultilevel"/>
    <w:tmpl w:val="A5DA4D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9B0DF9"/>
    <w:multiLevelType w:val="multilevel"/>
    <w:tmpl w:val="7EEEF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277928"/>
    <w:multiLevelType w:val="hybridMultilevel"/>
    <w:tmpl w:val="794832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0ED6D77"/>
    <w:multiLevelType w:val="multilevel"/>
    <w:tmpl w:val="959A9DF2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AA81EFF"/>
    <w:multiLevelType w:val="hybridMultilevel"/>
    <w:tmpl w:val="62060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93ECB"/>
    <w:multiLevelType w:val="multilevel"/>
    <w:tmpl w:val="627A61F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2EBC0EF7"/>
    <w:multiLevelType w:val="multilevel"/>
    <w:tmpl w:val="BE1AA5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FA519BA"/>
    <w:multiLevelType w:val="hybridMultilevel"/>
    <w:tmpl w:val="6598F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D45BC8"/>
    <w:multiLevelType w:val="multilevel"/>
    <w:tmpl w:val="8BD6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F46D9F"/>
    <w:multiLevelType w:val="hybridMultilevel"/>
    <w:tmpl w:val="8FC03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5130F"/>
    <w:multiLevelType w:val="hybridMultilevel"/>
    <w:tmpl w:val="9C70FE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D860B8"/>
    <w:multiLevelType w:val="multilevel"/>
    <w:tmpl w:val="8D0A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B8611A"/>
    <w:multiLevelType w:val="hybridMultilevel"/>
    <w:tmpl w:val="EBAE3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A6A16"/>
    <w:multiLevelType w:val="hybridMultilevel"/>
    <w:tmpl w:val="2EBC7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433B5"/>
    <w:multiLevelType w:val="multilevel"/>
    <w:tmpl w:val="EFA2D3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BA462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CCD0BB4"/>
    <w:multiLevelType w:val="hybridMultilevel"/>
    <w:tmpl w:val="907A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741E6"/>
    <w:multiLevelType w:val="hybridMultilevel"/>
    <w:tmpl w:val="7436A9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CE4E30"/>
    <w:multiLevelType w:val="multilevel"/>
    <w:tmpl w:val="50F6572C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55EC789F"/>
    <w:multiLevelType w:val="hybridMultilevel"/>
    <w:tmpl w:val="C418840E"/>
    <w:lvl w:ilvl="0" w:tplc="00A66128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F77DD0"/>
    <w:multiLevelType w:val="hybridMultilevel"/>
    <w:tmpl w:val="BA90BE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2A1ABE"/>
    <w:multiLevelType w:val="singleLevel"/>
    <w:tmpl w:val="B686D922"/>
    <w:lvl w:ilvl="0">
      <w:start w:val="1"/>
      <w:numFmt w:val="bullet"/>
      <w:pStyle w:val="Bullet12-1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30" w15:restartNumberingAfterBreak="0">
    <w:nsid w:val="62383F8F"/>
    <w:multiLevelType w:val="hybridMultilevel"/>
    <w:tmpl w:val="57CA4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3E37F8"/>
    <w:multiLevelType w:val="hybridMultilevel"/>
    <w:tmpl w:val="D624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E21B47"/>
    <w:multiLevelType w:val="hybridMultilevel"/>
    <w:tmpl w:val="7780C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2A1049"/>
    <w:multiLevelType w:val="hybridMultilevel"/>
    <w:tmpl w:val="E4DEC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949B2"/>
    <w:multiLevelType w:val="multilevel"/>
    <w:tmpl w:val="D456A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621FE5"/>
    <w:multiLevelType w:val="hybridMultilevel"/>
    <w:tmpl w:val="8758D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F03345"/>
    <w:multiLevelType w:val="hybridMultilevel"/>
    <w:tmpl w:val="5B8EDD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2B1A61"/>
    <w:multiLevelType w:val="multilevel"/>
    <w:tmpl w:val="4A16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F74232"/>
    <w:multiLevelType w:val="hybridMultilevel"/>
    <w:tmpl w:val="3BE88F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AA0711"/>
    <w:multiLevelType w:val="multilevel"/>
    <w:tmpl w:val="9E56B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3"/>
  </w:num>
  <w:num w:numId="5">
    <w:abstractNumId w:val="5"/>
  </w:num>
  <w:num w:numId="6">
    <w:abstractNumId w:val="38"/>
  </w:num>
  <w:num w:numId="7">
    <w:abstractNumId w:val="12"/>
  </w:num>
  <w:num w:numId="8">
    <w:abstractNumId w:val="20"/>
  </w:num>
  <w:num w:numId="9">
    <w:abstractNumId w:val="21"/>
  </w:num>
  <w:num w:numId="10">
    <w:abstractNumId w:val="28"/>
  </w:num>
  <w:num w:numId="11">
    <w:abstractNumId w:val="36"/>
  </w:num>
  <w:num w:numId="12">
    <w:abstractNumId w:val="18"/>
  </w:num>
  <w:num w:numId="13">
    <w:abstractNumId w:val="4"/>
  </w:num>
  <w:num w:numId="14">
    <w:abstractNumId w:val="10"/>
  </w:num>
  <w:num w:numId="15">
    <w:abstractNumId w:val="29"/>
  </w:num>
  <w:num w:numId="16">
    <w:abstractNumId w:val="0"/>
  </w:num>
  <w:num w:numId="17">
    <w:abstractNumId w:val="17"/>
  </w:num>
  <w:num w:numId="18">
    <w:abstractNumId w:val="15"/>
  </w:num>
  <w:num w:numId="19">
    <w:abstractNumId w:val="3"/>
  </w:num>
  <w:num w:numId="20">
    <w:abstractNumId w:val="31"/>
  </w:num>
  <w:num w:numId="21">
    <w:abstractNumId w:val="16"/>
  </w:num>
  <w:num w:numId="22">
    <w:abstractNumId w:val="34"/>
  </w:num>
  <w:num w:numId="23">
    <w:abstractNumId w:val="37"/>
  </w:num>
  <w:num w:numId="24">
    <w:abstractNumId w:val="39"/>
  </w:num>
  <w:num w:numId="25">
    <w:abstractNumId w:val="9"/>
  </w:num>
  <w:num w:numId="26">
    <w:abstractNumId w:val="33"/>
  </w:num>
  <w:num w:numId="27">
    <w:abstractNumId w:val="22"/>
  </w:num>
  <w:num w:numId="28">
    <w:abstractNumId w:val="13"/>
  </w:num>
  <w:num w:numId="29">
    <w:abstractNumId w:val="14"/>
  </w:num>
  <w:num w:numId="30">
    <w:abstractNumId w:val="27"/>
  </w:num>
  <w:num w:numId="31">
    <w:abstractNumId w:val="25"/>
  </w:num>
  <w:num w:numId="32">
    <w:abstractNumId w:val="30"/>
  </w:num>
  <w:num w:numId="33">
    <w:abstractNumId w:val="24"/>
  </w:num>
  <w:num w:numId="34">
    <w:abstractNumId w:val="1"/>
  </w:num>
  <w:num w:numId="35">
    <w:abstractNumId w:val="32"/>
  </w:num>
  <w:num w:numId="36">
    <w:abstractNumId w:val="8"/>
  </w:num>
  <w:num w:numId="37">
    <w:abstractNumId w:val="7"/>
  </w:num>
  <w:num w:numId="38">
    <w:abstractNumId w:val="6"/>
  </w:num>
  <w:num w:numId="39">
    <w:abstractNumId w:val="19"/>
  </w:num>
  <w:num w:numId="40">
    <w:abstractNumId w:val="11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86B"/>
    <w:rsid w:val="008C586B"/>
    <w:rsid w:val="00986EB9"/>
    <w:rsid w:val="00D5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86B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8C586B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8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8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86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86B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8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86B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8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C586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86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nhideWhenUsed/>
    <w:rsid w:val="008C5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58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586B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86B"/>
    <w:rPr>
      <w:rFonts w:ascii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58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86B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C58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86B"/>
    <w:rPr>
      <w:rFonts w:ascii="Calibri" w:hAnsi="Calibri" w:cs="Times New Roman"/>
    </w:rPr>
  </w:style>
  <w:style w:type="paragraph" w:styleId="Caption">
    <w:name w:val="caption"/>
    <w:next w:val="TableText"/>
    <w:link w:val="CaptionChar"/>
    <w:qFormat/>
    <w:rsid w:val="008C586B"/>
    <w:pPr>
      <w:keepNext/>
      <w:tabs>
        <w:tab w:val="left" w:pos="1152"/>
      </w:tabs>
      <w:spacing w:before="60" w:after="60" w:line="240" w:lineRule="auto"/>
      <w:ind w:left="1152" w:hanging="1152"/>
    </w:pPr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TableText">
    <w:name w:val="Table Text"/>
    <w:link w:val="TableTextChar"/>
    <w:qFormat/>
    <w:rsid w:val="008C586B"/>
    <w:pPr>
      <w:tabs>
        <w:tab w:val="left" w:pos="288"/>
        <w:tab w:val="left" w:pos="576"/>
        <w:tab w:val="left" w:pos="86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ptionChar">
    <w:name w:val="Caption Char"/>
    <w:link w:val="Caption"/>
    <w:rsid w:val="008C586B"/>
    <w:rPr>
      <w:rFonts w:ascii="Times New Roman" w:eastAsia="Calibri" w:hAnsi="Times New Roman" w:cs="Times New Roman"/>
      <w:b/>
      <w:bCs/>
      <w:sz w:val="20"/>
      <w:szCs w:val="20"/>
    </w:rPr>
  </w:style>
  <w:style w:type="paragraph" w:styleId="NoSpacing">
    <w:name w:val="No Spacing"/>
    <w:aliases w:val="Table Cell"/>
    <w:uiPriority w:val="1"/>
    <w:qFormat/>
    <w:rsid w:val="008C586B"/>
    <w:pPr>
      <w:tabs>
        <w:tab w:val="left" w:pos="288"/>
      </w:tabs>
      <w:spacing w:after="0" w:line="240" w:lineRule="auto"/>
    </w:pPr>
    <w:rPr>
      <w:rFonts w:ascii="Times New Roman" w:hAnsi="Times New Roman"/>
      <w:sz w:val="20"/>
    </w:rPr>
  </w:style>
  <w:style w:type="paragraph" w:customStyle="1" w:styleId="TableFootnote">
    <w:name w:val="Table Footnote"/>
    <w:qFormat/>
    <w:rsid w:val="008C586B"/>
    <w:pPr>
      <w:tabs>
        <w:tab w:val="left" w:pos="288"/>
      </w:tabs>
      <w:spacing w:after="0" w:line="240" w:lineRule="auto"/>
      <w:ind w:left="288" w:hanging="28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ableTextChar">
    <w:name w:val="Table Text Char"/>
    <w:link w:val="TableText"/>
    <w:rsid w:val="008C586B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8C586B"/>
  </w:style>
  <w:style w:type="character" w:styleId="Emphasis">
    <w:name w:val="Emphasis"/>
    <w:basedOn w:val="DefaultParagraphFont"/>
    <w:uiPriority w:val="20"/>
    <w:qFormat/>
    <w:rsid w:val="008C586B"/>
    <w:rPr>
      <w:i/>
      <w:iCs/>
    </w:rPr>
  </w:style>
  <w:style w:type="character" w:customStyle="1" w:styleId="cit-pub-date">
    <w:name w:val="cit-pub-date"/>
    <w:basedOn w:val="DefaultParagraphFont"/>
    <w:rsid w:val="008C586B"/>
  </w:style>
  <w:style w:type="character" w:customStyle="1" w:styleId="cit-vol">
    <w:name w:val="cit-vol"/>
    <w:basedOn w:val="DefaultParagraphFont"/>
    <w:rsid w:val="008C586B"/>
  </w:style>
  <w:style w:type="character" w:customStyle="1" w:styleId="cit-fpage">
    <w:name w:val="cit-fpage"/>
    <w:basedOn w:val="DefaultParagraphFont"/>
    <w:rsid w:val="008C586B"/>
  </w:style>
  <w:style w:type="character" w:styleId="Hyperlink">
    <w:name w:val="Hyperlink"/>
    <w:basedOn w:val="DefaultParagraphFont"/>
    <w:uiPriority w:val="99"/>
    <w:unhideWhenUsed/>
    <w:rsid w:val="008C586B"/>
    <w:rPr>
      <w:color w:val="0000FF"/>
      <w:u w:val="single"/>
    </w:rPr>
  </w:style>
  <w:style w:type="character" w:customStyle="1" w:styleId="highlight">
    <w:name w:val="highlight"/>
    <w:basedOn w:val="DefaultParagraphFont"/>
    <w:rsid w:val="008C586B"/>
  </w:style>
  <w:style w:type="paragraph" w:customStyle="1" w:styleId="BodyText12">
    <w:name w:val="Body Text 12"/>
    <w:link w:val="BodyText12Char"/>
    <w:qFormat/>
    <w:rsid w:val="008C586B"/>
    <w:pPr>
      <w:spacing w:after="240" w:line="264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12Char">
    <w:name w:val="Body Text 12 Char"/>
    <w:basedOn w:val="DefaultParagraphFont"/>
    <w:link w:val="BodyText12"/>
    <w:locked/>
    <w:rsid w:val="008C586B"/>
    <w:rPr>
      <w:rFonts w:ascii="Times New Roman" w:eastAsia="Times New Roman" w:hAnsi="Times New Roman" w:cs="Times New Roman"/>
      <w:sz w:val="24"/>
      <w:szCs w:val="20"/>
    </w:rPr>
  </w:style>
  <w:style w:type="paragraph" w:customStyle="1" w:styleId="Bullet12-1">
    <w:name w:val="Bullet 12-1"/>
    <w:qFormat/>
    <w:rsid w:val="008C586B"/>
    <w:pPr>
      <w:numPr>
        <w:numId w:val="15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mpact">
    <w:name w:val="Compact"/>
    <w:basedOn w:val="Normal"/>
    <w:qFormat/>
    <w:rsid w:val="008C586B"/>
    <w:pPr>
      <w:spacing w:before="36" w:after="36"/>
    </w:pPr>
    <w:rPr>
      <w:rFonts w:asciiTheme="minorHAnsi" w:hAnsiTheme="minorHAnsi" w:cstheme="minorBidi"/>
      <w:sz w:val="24"/>
      <w:szCs w:val="24"/>
    </w:rPr>
  </w:style>
  <w:style w:type="paragraph" w:customStyle="1" w:styleId="MarkforTOC">
    <w:name w:val="Mark for TOC"/>
    <w:next w:val="Normal"/>
    <w:rsid w:val="008C586B"/>
    <w:pPr>
      <w:keepNext/>
      <w:spacing w:before="60" w:after="60" w:line="240" w:lineRule="auto"/>
      <w:ind w:left="1440" w:hanging="1440"/>
    </w:pPr>
    <w:rPr>
      <w:rFonts w:ascii="Arial" w:eastAsia="Times New Roman" w:hAnsi="Arial" w:cs="Times New Roman"/>
      <w:b/>
      <w:sz w:val="20"/>
      <w:szCs w:val="20"/>
    </w:rPr>
  </w:style>
  <w:style w:type="paragraph" w:styleId="Revision">
    <w:name w:val="Revision"/>
    <w:hidden/>
    <w:uiPriority w:val="99"/>
    <w:semiHidden/>
    <w:rsid w:val="008C586B"/>
    <w:pPr>
      <w:spacing w:after="0" w:line="240" w:lineRule="auto"/>
    </w:pPr>
    <w:rPr>
      <w:rFonts w:ascii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8C58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highwire-citation-authors">
    <w:name w:val="highwire-citation-authors"/>
    <w:basedOn w:val="DefaultParagraphFont"/>
    <w:rsid w:val="008C586B"/>
  </w:style>
  <w:style w:type="character" w:customStyle="1" w:styleId="highwire-citation-author">
    <w:name w:val="highwire-citation-author"/>
    <w:basedOn w:val="DefaultParagraphFont"/>
    <w:rsid w:val="008C586B"/>
  </w:style>
  <w:style w:type="character" w:customStyle="1" w:styleId="nlm-given-names">
    <w:name w:val="nlm-given-names"/>
    <w:basedOn w:val="DefaultParagraphFont"/>
    <w:rsid w:val="008C586B"/>
  </w:style>
  <w:style w:type="character" w:customStyle="1" w:styleId="nlm-surname">
    <w:name w:val="nlm-surname"/>
    <w:basedOn w:val="DefaultParagraphFont"/>
    <w:rsid w:val="008C586B"/>
  </w:style>
  <w:style w:type="character" w:customStyle="1" w:styleId="highwire-cite-metadata-journal">
    <w:name w:val="highwire-cite-metadata-journal"/>
    <w:basedOn w:val="DefaultParagraphFont"/>
    <w:rsid w:val="008C586B"/>
  </w:style>
  <w:style w:type="character" w:customStyle="1" w:styleId="highwire-cite-metadata-date">
    <w:name w:val="highwire-cite-metadata-date"/>
    <w:basedOn w:val="DefaultParagraphFont"/>
    <w:rsid w:val="008C586B"/>
  </w:style>
  <w:style w:type="character" w:customStyle="1" w:styleId="highwire-cite-metadata-volume-pages">
    <w:name w:val="highwire-cite-metadata-volume-pages"/>
    <w:basedOn w:val="DefaultParagraphFont"/>
    <w:rsid w:val="008C586B"/>
  </w:style>
  <w:style w:type="paragraph" w:customStyle="1" w:styleId="EndNoteBibliographyTitle">
    <w:name w:val="EndNote Bibliography Title"/>
    <w:basedOn w:val="Normal"/>
    <w:link w:val="EndNoteBibliographyTitleChar"/>
    <w:rsid w:val="008C586B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586B"/>
    <w:rPr>
      <w:rFonts w:ascii="Calibri" w:hAnsi="Calibri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8C586B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C586B"/>
    <w:rPr>
      <w:rFonts w:ascii="Calibri" w:hAnsi="Calibri" w:cs="Times New Roman"/>
      <w:noProof/>
    </w:rPr>
  </w:style>
  <w:style w:type="character" w:styleId="Strong">
    <w:name w:val="Strong"/>
    <w:basedOn w:val="DefaultParagraphFont"/>
    <w:uiPriority w:val="22"/>
    <w:qFormat/>
    <w:rsid w:val="008C586B"/>
    <w:rPr>
      <w:b/>
      <w:bCs/>
    </w:rPr>
  </w:style>
  <w:style w:type="character" w:customStyle="1" w:styleId="ui-ncbitoggler-master-text">
    <w:name w:val="ui-ncbitoggler-master-text"/>
    <w:basedOn w:val="DefaultParagraphFont"/>
    <w:rsid w:val="008C5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1881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2018-07-17T19:18:00Z</dcterms:created>
  <dcterms:modified xsi:type="dcterms:W3CDTF">2018-07-17T19:18:00Z</dcterms:modified>
</cp:coreProperties>
</file>