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-2761077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78488BE" w14:textId="412E64E1" w:rsidR="00D32A92" w:rsidRPr="00D6501A" w:rsidRDefault="00D32A92" w:rsidP="00C8566B">
          <w:pPr>
            <w:spacing w:after="160" w:line="240" w:lineRule="auto"/>
            <w:rPr>
              <w:rFonts w:ascii="Arial" w:hAnsi="Arial" w:cs="Arial"/>
              <w:b/>
              <w:bCs/>
              <w:sz w:val="28"/>
              <w:szCs w:val="28"/>
            </w:rPr>
          </w:pPr>
          <w:r w:rsidRPr="00D6501A">
            <w:rPr>
              <w:rFonts w:ascii="Arial" w:hAnsi="Arial" w:cs="Arial"/>
              <w:b/>
              <w:bCs/>
              <w:sz w:val="28"/>
              <w:szCs w:val="28"/>
            </w:rPr>
            <w:t>S</w:t>
          </w:r>
          <w:bookmarkStart w:id="0" w:name="_GoBack"/>
          <w:bookmarkEnd w:id="0"/>
          <w:r w:rsidRPr="00D6501A">
            <w:rPr>
              <w:rFonts w:ascii="Arial" w:hAnsi="Arial" w:cs="Arial"/>
              <w:b/>
              <w:bCs/>
              <w:sz w:val="28"/>
              <w:szCs w:val="28"/>
            </w:rPr>
            <w:t>upplemental materials</w:t>
          </w:r>
        </w:p>
        <w:p w14:paraId="5B5CF54B" w14:textId="01C039AB" w:rsidR="002809C0" w:rsidRDefault="00D32A9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sz w:val="22"/>
              <w:szCs w:val="22"/>
              <w:lang w:eastAsia="en-US"/>
            </w:rPr>
          </w:pPr>
          <w:r w:rsidRPr="00D6501A">
            <w:rPr>
              <w:rFonts w:ascii="Arial" w:hAnsi="Arial" w:cs="Arial"/>
            </w:rPr>
            <w:fldChar w:fldCharType="begin"/>
          </w:r>
          <w:r w:rsidRPr="00D6501A">
            <w:rPr>
              <w:rFonts w:ascii="Arial" w:hAnsi="Arial" w:cs="Arial"/>
            </w:rPr>
            <w:instrText xml:space="preserve"> TOC \o "1-3" \h \z \u </w:instrText>
          </w:r>
          <w:r w:rsidRPr="00D6501A">
            <w:rPr>
              <w:rFonts w:ascii="Arial" w:hAnsi="Arial" w:cs="Arial"/>
            </w:rPr>
            <w:fldChar w:fldCharType="separate"/>
          </w:r>
          <w:hyperlink w:anchor="_Toc31268535" w:history="1">
            <w:r w:rsidR="002809C0" w:rsidRPr="00D12BDB">
              <w:rPr>
                <w:rStyle w:val="Hyperlink"/>
                <w:rFonts w:ascii="Arial" w:hAnsi="Arial" w:cs="Arial"/>
                <w:b/>
                <w:noProof/>
              </w:rPr>
              <w:t>Supplemental methods</w:t>
            </w:r>
            <w:r w:rsidR="002809C0">
              <w:rPr>
                <w:noProof/>
                <w:webHidden/>
              </w:rPr>
              <w:tab/>
            </w:r>
            <w:r w:rsidR="002809C0">
              <w:rPr>
                <w:noProof/>
                <w:webHidden/>
              </w:rPr>
              <w:fldChar w:fldCharType="begin"/>
            </w:r>
            <w:r w:rsidR="002809C0">
              <w:rPr>
                <w:noProof/>
                <w:webHidden/>
              </w:rPr>
              <w:instrText xml:space="preserve"> PAGEREF _Toc31268535 \h </w:instrText>
            </w:r>
            <w:r w:rsidR="002809C0">
              <w:rPr>
                <w:noProof/>
                <w:webHidden/>
              </w:rPr>
            </w:r>
            <w:r w:rsidR="002809C0">
              <w:rPr>
                <w:noProof/>
                <w:webHidden/>
              </w:rPr>
              <w:fldChar w:fldCharType="separate"/>
            </w:r>
            <w:r w:rsidR="002809C0">
              <w:rPr>
                <w:noProof/>
                <w:webHidden/>
              </w:rPr>
              <w:t>2</w:t>
            </w:r>
            <w:r w:rsidR="002809C0">
              <w:rPr>
                <w:noProof/>
                <w:webHidden/>
              </w:rPr>
              <w:fldChar w:fldCharType="end"/>
            </w:r>
          </w:hyperlink>
        </w:p>
        <w:p w14:paraId="183B3755" w14:textId="5C0EFFF8" w:rsidR="002809C0" w:rsidRDefault="002809C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sz w:val="22"/>
              <w:szCs w:val="22"/>
              <w:lang w:eastAsia="en-US"/>
            </w:rPr>
          </w:pPr>
          <w:hyperlink w:anchor="_Toc31268536" w:history="1">
            <w:r w:rsidRPr="00D12BDB">
              <w:rPr>
                <w:rStyle w:val="Hyperlink"/>
                <w:rFonts w:ascii="Arial" w:hAnsi="Arial" w:cs="Arial"/>
                <w:b/>
                <w:noProof/>
              </w:rPr>
              <w:t>Figure S1</w:t>
            </w:r>
            <w:r w:rsidRPr="00D12BDB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. </w:t>
            </w:r>
            <w:r w:rsidRPr="00D12BDB">
              <w:rPr>
                <w:rStyle w:val="Hyperlink"/>
                <w:rFonts w:ascii="Arial" w:hAnsi="Arial" w:cs="Arial"/>
                <w:bCs/>
                <w:noProof/>
              </w:rPr>
              <w:t>Study design and treatment allocation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_Toc31268536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C67FBC" w14:textId="2951F6E6" w:rsidR="002809C0" w:rsidRDefault="002809C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sz w:val="22"/>
              <w:szCs w:val="22"/>
              <w:lang w:eastAsia="en-US"/>
            </w:rPr>
          </w:pPr>
          <w:hyperlink w:anchor="_Toc31268537" w:history="1">
            <w:r w:rsidRPr="00D12BDB">
              <w:rPr>
                <w:rStyle w:val="Hyperlink"/>
                <w:rFonts w:ascii="Arial" w:hAnsi="Arial" w:cs="Arial"/>
                <w:b/>
                <w:noProof/>
              </w:rPr>
              <w:t xml:space="preserve">Figure S2. </w:t>
            </w:r>
            <w:r w:rsidRPr="00D12BDB">
              <w:rPr>
                <w:rStyle w:val="Hyperlink"/>
                <w:rFonts w:ascii="Arial" w:hAnsi="Arial" w:cs="Arial"/>
                <w:bCs/>
                <w:noProof/>
              </w:rPr>
              <w:t>The proportion of patients in IVT-AFL-2W and IVT-AFL-4W groups who (a) lost &lt;15 ETDRS letters and (b) gained ≥15 ETDRS letters at Weeks 52 and 96 (FAS)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_Toc31268537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F308F" w14:textId="36585782" w:rsidR="002809C0" w:rsidRDefault="002809C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sz w:val="22"/>
              <w:szCs w:val="22"/>
              <w:lang w:eastAsia="en-US"/>
            </w:rPr>
          </w:pPr>
          <w:hyperlink w:anchor="_Toc31268538" w:history="1">
            <w:r w:rsidRPr="00D12BDB">
              <w:rPr>
                <w:rStyle w:val="Hyperlink"/>
                <w:rFonts w:ascii="Arial" w:hAnsi="Arial" w:cs="Arial"/>
                <w:b/>
                <w:noProof/>
              </w:rPr>
              <w:t xml:space="preserve">Table S1. </w:t>
            </w:r>
            <w:r w:rsidRPr="00D12BDB">
              <w:rPr>
                <w:rStyle w:val="Hyperlink"/>
                <w:rFonts w:ascii="Arial" w:hAnsi="Arial" w:cs="Arial"/>
                <w:bCs/>
                <w:noProof/>
              </w:rPr>
              <w:t>Exclusion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_Toc31268538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68896" w14:textId="70E04B77" w:rsidR="002809C0" w:rsidRDefault="002809C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sz w:val="22"/>
              <w:szCs w:val="22"/>
              <w:lang w:eastAsia="en-US"/>
            </w:rPr>
          </w:pPr>
          <w:hyperlink w:anchor="_Toc31268539" w:history="1">
            <w:r w:rsidRPr="00D12BDB">
              <w:rPr>
                <w:rStyle w:val="Hyperlink"/>
                <w:rFonts w:ascii="Arial" w:hAnsi="Arial" w:cs="Arial"/>
                <w:b/>
                <w:noProof/>
              </w:rPr>
              <w:t>List of investigators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_Toc31268539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EB7CB" w14:textId="1902A388" w:rsidR="00D32A92" w:rsidRPr="00D6501A" w:rsidRDefault="00D32A92" w:rsidP="00C8566B">
          <w:pPr>
            <w:spacing w:line="240" w:lineRule="auto"/>
            <w:rPr>
              <w:rFonts w:ascii="Arial" w:hAnsi="Arial" w:cs="Arial"/>
            </w:rPr>
          </w:pPr>
          <w:r w:rsidRPr="00D6501A">
            <w:rPr>
              <w:rFonts w:ascii="Arial" w:hAnsi="Arial" w:cs="Arial"/>
              <w:noProof/>
            </w:rPr>
            <w:fldChar w:fldCharType="end"/>
          </w:r>
        </w:p>
      </w:sdtContent>
    </w:sdt>
    <w:p w14:paraId="0EB009DB" w14:textId="77777777" w:rsidR="00D32A92" w:rsidRPr="00D6501A" w:rsidRDefault="00D32A92" w:rsidP="00C8566B">
      <w:pPr>
        <w:spacing w:after="160" w:line="240" w:lineRule="auto"/>
        <w:rPr>
          <w:rFonts w:ascii="Arial" w:hAnsi="Arial" w:cs="Arial"/>
          <w:b/>
          <w:lang w:eastAsia="en-GB"/>
        </w:rPr>
      </w:pPr>
      <w:r w:rsidRPr="00D6501A">
        <w:rPr>
          <w:rFonts w:ascii="Arial" w:hAnsi="Arial" w:cs="Arial"/>
          <w:b/>
        </w:rPr>
        <w:br w:type="page"/>
      </w:r>
    </w:p>
    <w:p w14:paraId="770DC5A4" w14:textId="2A3D59F0" w:rsidR="00BB4838" w:rsidRPr="00D6501A" w:rsidRDefault="00EC2048" w:rsidP="00C8566B">
      <w:pPr>
        <w:pStyle w:val="Tablefigtitle"/>
        <w:spacing w:line="240" w:lineRule="auto"/>
        <w:rPr>
          <w:rFonts w:ascii="Arial" w:hAnsi="Arial" w:cs="Arial"/>
          <w:b/>
        </w:rPr>
      </w:pPr>
      <w:bookmarkStart w:id="1" w:name="_Toc31268535"/>
      <w:r w:rsidRPr="00D6501A">
        <w:rPr>
          <w:rFonts w:ascii="Arial" w:hAnsi="Arial" w:cs="Arial"/>
          <w:b/>
        </w:rPr>
        <w:lastRenderedPageBreak/>
        <w:t>Supplemental m</w:t>
      </w:r>
      <w:r w:rsidR="00BB4838" w:rsidRPr="00D6501A">
        <w:rPr>
          <w:rFonts w:ascii="Arial" w:hAnsi="Arial" w:cs="Arial"/>
          <w:b/>
        </w:rPr>
        <w:t>ethods</w:t>
      </w:r>
      <w:bookmarkEnd w:id="1"/>
    </w:p>
    <w:p w14:paraId="7BC4F8AA" w14:textId="619D03A9" w:rsidR="00B16053" w:rsidRPr="00D6501A" w:rsidRDefault="00B16053" w:rsidP="00C8566B">
      <w:pPr>
        <w:spacing w:line="240" w:lineRule="auto"/>
        <w:rPr>
          <w:rFonts w:ascii="Arial" w:hAnsi="Arial" w:cs="Arial"/>
          <w:sz w:val="22"/>
          <w:szCs w:val="22"/>
        </w:rPr>
      </w:pPr>
      <w:r w:rsidRPr="00D6501A">
        <w:rPr>
          <w:rFonts w:ascii="Arial" w:hAnsi="Arial" w:cs="Arial"/>
          <w:sz w:val="22"/>
          <w:szCs w:val="22"/>
        </w:rPr>
        <w:t xml:space="preserve">The safety analysis set included all patients who received any study drug. The full analysis set included all patients who received any study drug after randomization </w:t>
      </w:r>
      <w:proofErr w:type="gramStart"/>
      <w:r w:rsidRPr="00D6501A">
        <w:rPr>
          <w:rFonts w:ascii="Arial" w:hAnsi="Arial" w:cs="Arial"/>
          <w:sz w:val="22"/>
          <w:szCs w:val="22"/>
        </w:rPr>
        <w:t>and also</w:t>
      </w:r>
      <w:proofErr w:type="gramEnd"/>
      <w:r w:rsidRPr="00D6501A">
        <w:rPr>
          <w:rFonts w:ascii="Arial" w:hAnsi="Arial" w:cs="Arial"/>
          <w:sz w:val="22"/>
          <w:szCs w:val="22"/>
        </w:rPr>
        <w:t xml:space="preserve"> had at least one </w:t>
      </w:r>
      <w:r w:rsidR="00C10284" w:rsidRPr="00D6501A">
        <w:rPr>
          <w:rFonts w:ascii="Arial" w:hAnsi="Arial" w:cs="Arial"/>
          <w:sz w:val="22"/>
          <w:szCs w:val="22"/>
        </w:rPr>
        <w:t>best-corrected visual acuity (</w:t>
      </w:r>
      <w:r w:rsidRPr="00D6501A">
        <w:rPr>
          <w:rFonts w:ascii="Arial" w:hAnsi="Arial" w:cs="Arial"/>
          <w:sz w:val="22"/>
          <w:szCs w:val="22"/>
        </w:rPr>
        <w:t>BCVA</w:t>
      </w:r>
      <w:r w:rsidR="00C10284" w:rsidRPr="00D6501A">
        <w:rPr>
          <w:rFonts w:ascii="Arial" w:hAnsi="Arial" w:cs="Arial"/>
          <w:sz w:val="22"/>
          <w:szCs w:val="22"/>
        </w:rPr>
        <w:t>)</w:t>
      </w:r>
      <w:r w:rsidRPr="00D6501A">
        <w:rPr>
          <w:rFonts w:ascii="Arial" w:hAnsi="Arial" w:cs="Arial"/>
          <w:sz w:val="22"/>
          <w:szCs w:val="22"/>
        </w:rPr>
        <w:t xml:space="preserve"> assessment at baseline and after Week 16 (post-randomization). Continuous variables were summarized by descriptive statistics (number of patients, arithmetic mean, </w:t>
      </w:r>
      <w:r w:rsidR="00C10284" w:rsidRPr="00D6501A">
        <w:rPr>
          <w:rFonts w:ascii="Arial" w:hAnsi="Arial" w:cs="Arial"/>
          <w:sz w:val="22"/>
          <w:szCs w:val="22"/>
        </w:rPr>
        <w:t>standard deviation</w:t>
      </w:r>
      <w:r w:rsidRPr="00D6501A">
        <w:rPr>
          <w:rFonts w:ascii="Arial" w:hAnsi="Arial" w:cs="Arial"/>
          <w:sz w:val="22"/>
          <w:szCs w:val="22"/>
        </w:rPr>
        <w:t>, minimum, median, and maximum) and categorical variables were summarized by frequency tables. The mean (</w:t>
      </w:r>
      <w:r w:rsidR="00516193" w:rsidRPr="00D6501A">
        <w:rPr>
          <w:rFonts w:ascii="Arial" w:hAnsi="Arial" w:cs="Arial"/>
          <w:sz w:val="22"/>
          <w:szCs w:val="22"/>
        </w:rPr>
        <w:t>two</w:t>
      </w:r>
      <w:r w:rsidRPr="00D6501A">
        <w:rPr>
          <w:rFonts w:ascii="Arial" w:hAnsi="Arial" w:cs="Arial"/>
          <w:sz w:val="22"/>
          <w:szCs w:val="22"/>
        </w:rPr>
        <w:t>-sided 95% confidence interval [CI]) change in BCVA from baseline to Week 52 was analyzed using one</w:t>
      </w:r>
      <w:r w:rsidR="00516193" w:rsidRPr="00D6501A">
        <w:rPr>
          <w:rFonts w:ascii="Arial" w:hAnsi="Arial" w:cs="Arial"/>
          <w:sz w:val="22"/>
          <w:szCs w:val="22"/>
        </w:rPr>
        <w:noBreakHyphen/>
      </w:r>
      <w:r w:rsidRPr="00D6501A">
        <w:rPr>
          <w:rFonts w:ascii="Arial" w:hAnsi="Arial" w:cs="Arial"/>
          <w:sz w:val="22"/>
          <w:szCs w:val="22"/>
        </w:rPr>
        <w:t xml:space="preserve">sample </w:t>
      </w:r>
      <w:r w:rsidRPr="00D6501A">
        <w:rPr>
          <w:rFonts w:ascii="Arial" w:hAnsi="Arial" w:cs="Arial"/>
          <w:i/>
          <w:sz w:val="22"/>
          <w:szCs w:val="22"/>
        </w:rPr>
        <w:t>t</w:t>
      </w:r>
      <w:r w:rsidRPr="00D6501A">
        <w:rPr>
          <w:rFonts w:ascii="Arial" w:hAnsi="Arial" w:cs="Arial"/>
          <w:sz w:val="22"/>
          <w:szCs w:val="22"/>
        </w:rPr>
        <w:noBreakHyphen/>
        <w:t xml:space="preserve">statistics; a last observation carried forward approach was applied if values were missing at Week 52. Any treatment differences for the </w:t>
      </w:r>
      <w:r w:rsidR="00C10284" w:rsidRPr="00D6501A">
        <w:rPr>
          <w:rFonts w:ascii="Arial" w:hAnsi="Arial" w:cs="Arial"/>
          <w:sz w:val="22"/>
          <w:szCs w:val="22"/>
        </w:rPr>
        <w:t>intravitreal aflibercept (</w:t>
      </w:r>
      <w:r w:rsidRPr="00D6501A">
        <w:rPr>
          <w:rFonts w:ascii="Arial" w:hAnsi="Arial" w:cs="Arial"/>
          <w:sz w:val="22"/>
          <w:szCs w:val="22"/>
        </w:rPr>
        <w:t>IVT-AFL</w:t>
      </w:r>
      <w:r w:rsidR="00C10284" w:rsidRPr="00D6501A">
        <w:rPr>
          <w:rFonts w:ascii="Arial" w:hAnsi="Arial" w:cs="Arial"/>
          <w:sz w:val="22"/>
          <w:szCs w:val="22"/>
        </w:rPr>
        <w:t>) 4-week adjustment (IVT-AFL-4W)</w:t>
      </w:r>
      <w:r w:rsidRPr="00D6501A">
        <w:rPr>
          <w:rFonts w:ascii="Arial" w:hAnsi="Arial" w:cs="Arial"/>
          <w:sz w:val="22"/>
          <w:szCs w:val="22"/>
        </w:rPr>
        <w:t xml:space="preserve"> minus IVT-AFL</w:t>
      </w:r>
      <w:r w:rsidR="00C10284" w:rsidRPr="00D6501A">
        <w:rPr>
          <w:rFonts w:ascii="Arial" w:hAnsi="Arial" w:cs="Arial"/>
          <w:sz w:val="22"/>
          <w:szCs w:val="22"/>
        </w:rPr>
        <w:t xml:space="preserve"> 2-week adjustment (IVT-AFL</w:t>
      </w:r>
      <w:r w:rsidRPr="00D6501A">
        <w:rPr>
          <w:rFonts w:ascii="Arial" w:hAnsi="Arial" w:cs="Arial"/>
          <w:sz w:val="22"/>
          <w:szCs w:val="22"/>
        </w:rPr>
        <w:t>-2W</w:t>
      </w:r>
      <w:r w:rsidR="00C10284" w:rsidRPr="00D6501A">
        <w:rPr>
          <w:rFonts w:ascii="Arial" w:hAnsi="Arial" w:cs="Arial"/>
          <w:sz w:val="22"/>
          <w:szCs w:val="22"/>
        </w:rPr>
        <w:t>)</w:t>
      </w:r>
      <w:r w:rsidRPr="00D6501A">
        <w:rPr>
          <w:rFonts w:ascii="Arial" w:hAnsi="Arial" w:cs="Arial"/>
          <w:sz w:val="22"/>
          <w:szCs w:val="22"/>
        </w:rPr>
        <w:t xml:space="preserve"> </w:t>
      </w:r>
      <w:r w:rsidR="00C10284" w:rsidRPr="00D6501A">
        <w:rPr>
          <w:rFonts w:ascii="Arial" w:hAnsi="Arial" w:cs="Arial"/>
          <w:sz w:val="22"/>
          <w:szCs w:val="22"/>
        </w:rPr>
        <w:t xml:space="preserve">groups </w:t>
      </w:r>
      <w:r w:rsidRPr="00D6501A">
        <w:rPr>
          <w:rFonts w:ascii="Arial" w:hAnsi="Arial" w:cs="Arial"/>
          <w:sz w:val="22"/>
          <w:szCs w:val="22"/>
        </w:rPr>
        <w:t xml:space="preserve">were estimated using an analysis of covariance model with treatment </w:t>
      </w:r>
      <w:r w:rsidR="00CC48DD" w:rsidRPr="00D6501A">
        <w:rPr>
          <w:rFonts w:ascii="Arial" w:hAnsi="Arial" w:cs="Arial"/>
          <w:sz w:val="22"/>
          <w:szCs w:val="22"/>
        </w:rPr>
        <w:t>arm</w:t>
      </w:r>
      <w:r w:rsidRPr="00D6501A">
        <w:rPr>
          <w:rFonts w:ascii="Arial" w:hAnsi="Arial" w:cs="Arial"/>
          <w:sz w:val="22"/>
          <w:szCs w:val="22"/>
        </w:rPr>
        <w:t xml:space="preserve"> and </w:t>
      </w:r>
      <w:r w:rsidR="00320CE8" w:rsidRPr="00D6501A">
        <w:rPr>
          <w:rFonts w:ascii="Arial" w:hAnsi="Arial" w:cs="Arial"/>
          <w:sz w:val="22"/>
          <w:szCs w:val="22"/>
        </w:rPr>
        <w:t xml:space="preserve">exudative </w:t>
      </w:r>
      <w:r w:rsidR="00C2718E" w:rsidRPr="00D6501A">
        <w:rPr>
          <w:rFonts w:ascii="Arial" w:hAnsi="Arial" w:cs="Arial"/>
          <w:sz w:val="22"/>
          <w:szCs w:val="22"/>
        </w:rPr>
        <w:t>age-related macular degeneration (</w:t>
      </w:r>
      <w:r w:rsidRPr="00D6501A">
        <w:rPr>
          <w:rFonts w:ascii="Arial" w:hAnsi="Arial" w:cs="Arial"/>
          <w:sz w:val="22"/>
          <w:szCs w:val="22"/>
        </w:rPr>
        <w:t>AMD</w:t>
      </w:r>
      <w:r w:rsidR="00C2718E" w:rsidRPr="00D6501A">
        <w:rPr>
          <w:rFonts w:ascii="Arial" w:hAnsi="Arial" w:cs="Arial"/>
          <w:sz w:val="22"/>
          <w:szCs w:val="22"/>
        </w:rPr>
        <w:t>)</w:t>
      </w:r>
      <w:r w:rsidRPr="00D6501A">
        <w:rPr>
          <w:rFonts w:ascii="Arial" w:hAnsi="Arial" w:cs="Arial"/>
          <w:sz w:val="22"/>
          <w:szCs w:val="22"/>
        </w:rPr>
        <w:t xml:space="preserve"> subtype as a fixed effect and baseline BCVA as a covariate. Efficacy assessments were based on outcomes recorded at the last visit. </w:t>
      </w:r>
    </w:p>
    <w:p w14:paraId="73D3BC93" w14:textId="6D951887" w:rsidR="00DD314E" w:rsidRPr="00D6501A" w:rsidRDefault="00B16053" w:rsidP="00C8566B">
      <w:pPr>
        <w:spacing w:line="240" w:lineRule="auto"/>
        <w:ind w:firstLine="720"/>
        <w:rPr>
          <w:rFonts w:ascii="Arial" w:hAnsi="Arial" w:cs="Arial"/>
          <w:sz w:val="22"/>
          <w:szCs w:val="22"/>
        </w:rPr>
      </w:pPr>
      <w:r w:rsidRPr="00D6501A">
        <w:rPr>
          <w:rFonts w:ascii="Arial" w:hAnsi="Arial" w:cs="Arial"/>
          <w:sz w:val="22"/>
          <w:szCs w:val="22"/>
        </w:rPr>
        <w:t xml:space="preserve">Secondary </w:t>
      </w:r>
      <w:r w:rsidR="00C2718E" w:rsidRPr="00D6501A">
        <w:rPr>
          <w:rFonts w:ascii="Arial" w:hAnsi="Arial" w:cs="Arial"/>
          <w:sz w:val="22"/>
          <w:szCs w:val="22"/>
        </w:rPr>
        <w:t>BCVA</w:t>
      </w:r>
      <w:r w:rsidRPr="00D6501A">
        <w:rPr>
          <w:rFonts w:ascii="Arial" w:hAnsi="Arial" w:cs="Arial"/>
          <w:sz w:val="22"/>
          <w:szCs w:val="22"/>
        </w:rPr>
        <w:t xml:space="preserve"> endpoints were summarized descriptively and their two</w:t>
      </w:r>
      <w:r w:rsidR="00516193" w:rsidRPr="00D6501A">
        <w:rPr>
          <w:rFonts w:ascii="Arial" w:hAnsi="Arial" w:cs="Arial"/>
          <w:sz w:val="22"/>
          <w:szCs w:val="22"/>
        </w:rPr>
        <w:noBreakHyphen/>
      </w:r>
      <w:r w:rsidRPr="00D6501A">
        <w:rPr>
          <w:rFonts w:ascii="Arial" w:hAnsi="Arial" w:cs="Arial"/>
          <w:sz w:val="22"/>
          <w:szCs w:val="22"/>
        </w:rPr>
        <w:t>sided 95% CIs were estimated using normal approximation; any point estimate treatment differences for the IVT-AFL</w:t>
      </w:r>
      <w:r w:rsidR="00C10284" w:rsidRPr="00D6501A">
        <w:rPr>
          <w:rFonts w:ascii="Arial" w:hAnsi="Arial" w:cs="Arial"/>
          <w:sz w:val="22"/>
          <w:szCs w:val="22"/>
        </w:rPr>
        <w:t>-</w:t>
      </w:r>
      <w:r w:rsidRPr="00D6501A">
        <w:rPr>
          <w:rFonts w:ascii="Arial" w:hAnsi="Arial" w:cs="Arial"/>
          <w:sz w:val="22"/>
          <w:szCs w:val="22"/>
        </w:rPr>
        <w:t>4W minus IVT-AFL</w:t>
      </w:r>
      <w:r w:rsidR="00C10284" w:rsidRPr="00D6501A">
        <w:rPr>
          <w:rFonts w:ascii="Arial" w:hAnsi="Arial" w:cs="Arial"/>
          <w:sz w:val="22"/>
          <w:szCs w:val="22"/>
        </w:rPr>
        <w:t>-</w:t>
      </w:r>
      <w:r w:rsidRPr="00D6501A">
        <w:rPr>
          <w:rFonts w:ascii="Arial" w:hAnsi="Arial" w:cs="Arial"/>
          <w:sz w:val="22"/>
          <w:szCs w:val="22"/>
        </w:rPr>
        <w:t>2W groups were estimated using</w:t>
      </w:r>
      <w:r w:rsidR="00516193" w:rsidRPr="00D6501A">
        <w:rPr>
          <w:rFonts w:ascii="Arial" w:hAnsi="Arial" w:cs="Arial"/>
          <w:sz w:val="22"/>
          <w:szCs w:val="22"/>
        </w:rPr>
        <w:t xml:space="preserve"> the</w:t>
      </w:r>
      <w:r w:rsidRPr="00D6501A">
        <w:rPr>
          <w:rFonts w:ascii="Arial" w:hAnsi="Arial" w:cs="Arial"/>
          <w:sz w:val="22"/>
          <w:szCs w:val="22"/>
        </w:rPr>
        <w:t xml:space="preserve"> Cochran–Mantel–</w:t>
      </w:r>
      <w:proofErr w:type="spellStart"/>
      <w:r w:rsidRPr="00D6501A">
        <w:rPr>
          <w:rFonts w:ascii="Arial" w:hAnsi="Arial" w:cs="Arial"/>
          <w:sz w:val="22"/>
          <w:szCs w:val="22"/>
        </w:rPr>
        <w:t>Haenszel</w:t>
      </w:r>
      <w:proofErr w:type="spellEnd"/>
      <w:r w:rsidRPr="00D6501A">
        <w:rPr>
          <w:rFonts w:ascii="Arial" w:hAnsi="Arial" w:cs="Arial"/>
          <w:sz w:val="22"/>
          <w:szCs w:val="22"/>
        </w:rPr>
        <w:t xml:space="preserve"> method stratified by baseline BCVA (&lt;55 and ≥55 </w:t>
      </w:r>
      <w:r w:rsidR="00C10284" w:rsidRPr="00D6501A">
        <w:rPr>
          <w:rFonts w:ascii="Arial" w:hAnsi="Arial" w:cs="Arial"/>
          <w:sz w:val="22"/>
          <w:szCs w:val="22"/>
        </w:rPr>
        <w:t>Early Treatment Diabetic Retinopathy</w:t>
      </w:r>
      <w:r w:rsidRPr="00D6501A">
        <w:rPr>
          <w:rFonts w:ascii="Arial" w:hAnsi="Arial" w:cs="Arial"/>
          <w:sz w:val="22"/>
          <w:szCs w:val="22"/>
        </w:rPr>
        <w:t xml:space="preserve"> </w:t>
      </w:r>
      <w:r w:rsidR="00C2718E" w:rsidRPr="00D6501A">
        <w:rPr>
          <w:rFonts w:ascii="Arial" w:hAnsi="Arial" w:cs="Arial"/>
          <w:sz w:val="22"/>
          <w:szCs w:val="22"/>
        </w:rPr>
        <w:t xml:space="preserve">Study </w:t>
      </w:r>
      <w:r w:rsidRPr="00D6501A">
        <w:rPr>
          <w:rFonts w:ascii="Arial" w:hAnsi="Arial" w:cs="Arial"/>
          <w:sz w:val="22"/>
          <w:szCs w:val="22"/>
        </w:rPr>
        <w:t xml:space="preserve">letter score) and </w:t>
      </w:r>
      <w:r w:rsidR="00320CE8" w:rsidRPr="00D6501A">
        <w:rPr>
          <w:rFonts w:ascii="Arial" w:hAnsi="Arial" w:cs="Arial"/>
          <w:sz w:val="22"/>
          <w:szCs w:val="22"/>
        </w:rPr>
        <w:t xml:space="preserve">exudative </w:t>
      </w:r>
      <w:r w:rsidRPr="00D6501A">
        <w:rPr>
          <w:rFonts w:ascii="Arial" w:hAnsi="Arial" w:cs="Arial"/>
          <w:sz w:val="22"/>
          <w:szCs w:val="22"/>
        </w:rPr>
        <w:t xml:space="preserve">AMD subtype. The mean change in </w:t>
      </w:r>
      <w:r w:rsidR="00C10284" w:rsidRPr="00D6501A">
        <w:rPr>
          <w:rFonts w:ascii="Arial" w:hAnsi="Arial" w:cs="Arial"/>
          <w:sz w:val="22"/>
          <w:szCs w:val="22"/>
        </w:rPr>
        <w:t>central retinal thickness (CRT)</w:t>
      </w:r>
      <w:r w:rsidRPr="00D6501A">
        <w:rPr>
          <w:rFonts w:ascii="Arial" w:hAnsi="Arial" w:cs="Arial"/>
          <w:sz w:val="22"/>
          <w:szCs w:val="22"/>
        </w:rPr>
        <w:t xml:space="preserve"> was assessed using a similar method but with baseline CRT as a covariate for an analysis of the primary endpoint. </w:t>
      </w:r>
    </w:p>
    <w:p w14:paraId="0A1E7514" w14:textId="77777777" w:rsidR="00DD314E" w:rsidRPr="00D6501A" w:rsidRDefault="00DD314E" w:rsidP="00C8566B">
      <w:pPr>
        <w:spacing w:after="160" w:line="240" w:lineRule="auto"/>
        <w:rPr>
          <w:rFonts w:ascii="Arial" w:hAnsi="Arial" w:cs="Arial"/>
          <w:sz w:val="22"/>
          <w:szCs w:val="22"/>
        </w:rPr>
      </w:pPr>
      <w:r w:rsidRPr="00D6501A">
        <w:rPr>
          <w:rFonts w:ascii="Arial" w:hAnsi="Arial" w:cs="Arial"/>
          <w:sz w:val="22"/>
          <w:szCs w:val="22"/>
        </w:rPr>
        <w:br w:type="page"/>
      </w:r>
    </w:p>
    <w:p w14:paraId="329D527C" w14:textId="3CB6473D" w:rsidR="004D4280" w:rsidRPr="00D6501A" w:rsidRDefault="004D4280" w:rsidP="00C8566B">
      <w:pPr>
        <w:pStyle w:val="Tablefigtitle"/>
        <w:spacing w:line="240" w:lineRule="auto"/>
        <w:rPr>
          <w:rFonts w:ascii="Arial" w:hAnsi="Arial" w:cs="Arial"/>
        </w:rPr>
      </w:pPr>
      <w:bookmarkStart w:id="2" w:name="_Toc31268536"/>
      <w:r w:rsidRPr="00D6501A">
        <w:rPr>
          <w:rFonts w:ascii="Arial" w:hAnsi="Arial" w:cs="Arial"/>
          <w:b/>
        </w:rPr>
        <w:lastRenderedPageBreak/>
        <w:t xml:space="preserve">Figure </w:t>
      </w:r>
      <w:r w:rsidR="00EC2048" w:rsidRPr="00D6501A">
        <w:rPr>
          <w:rFonts w:ascii="Arial" w:hAnsi="Arial" w:cs="Arial"/>
          <w:b/>
        </w:rPr>
        <w:t>S</w:t>
      </w:r>
      <w:r w:rsidRPr="00D6501A">
        <w:rPr>
          <w:rFonts w:ascii="Arial" w:hAnsi="Arial" w:cs="Arial"/>
          <w:b/>
        </w:rPr>
        <w:t>1</w:t>
      </w:r>
      <w:r w:rsidRPr="00D6501A">
        <w:rPr>
          <w:rFonts w:ascii="Arial" w:hAnsi="Arial" w:cs="Arial"/>
          <w:b/>
          <w:bCs/>
        </w:rPr>
        <w:t xml:space="preserve">. </w:t>
      </w:r>
      <w:r w:rsidRPr="00D6501A">
        <w:rPr>
          <w:rFonts w:ascii="Arial" w:hAnsi="Arial" w:cs="Arial"/>
          <w:bCs/>
        </w:rPr>
        <w:t>Study design and treatment allocation</w:t>
      </w:r>
      <w:bookmarkEnd w:id="2"/>
    </w:p>
    <w:p w14:paraId="5D8B2B48" w14:textId="394FD981" w:rsidR="004D4280" w:rsidRPr="00D6501A" w:rsidRDefault="00941632" w:rsidP="00C8566B">
      <w:pPr>
        <w:spacing w:line="240" w:lineRule="auto"/>
        <w:rPr>
          <w:rFonts w:ascii="Arial" w:hAnsi="Arial" w:cs="Arial"/>
          <w:lang w:eastAsia="en-GB"/>
        </w:rPr>
      </w:pPr>
      <w:r>
        <w:rPr>
          <w:noProof/>
        </w:rPr>
        <w:drawing>
          <wp:inline distT="0" distB="0" distL="0" distR="0" wp14:anchorId="4F1D3261" wp14:editId="20698EB4">
            <wp:extent cx="6401941" cy="260517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48" cy="260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B669" w14:textId="6B835F77" w:rsidR="00045442" w:rsidRPr="00D6501A" w:rsidRDefault="00EC2048" w:rsidP="00C8566B">
      <w:pPr>
        <w:pStyle w:val="Tablefigfootnotes"/>
        <w:spacing w:line="240" w:lineRule="auto"/>
        <w:rPr>
          <w:rFonts w:ascii="Arial" w:hAnsi="Arial" w:cs="Arial"/>
          <w:sz w:val="16"/>
          <w:szCs w:val="16"/>
        </w:rPr>
      </w:pPr>
      <w:r w:rsidRPr="00D6501A">
        <w:rPr>
          <w:rFonts w:ascii="Arial" w:hAnsi="Arial" w:cs="Arial"/>
          <w:sz w:val="16"/>
          <w:szCs w:val="16"/>
        </w:rPr>
        <w:t>*</w:t>
      </w:r>
      <w:r w:rsidR="00045442" w:rsidRPr="00D6501A">
        <w:rPr>
          <w:rFonts w:ascii="Arial" w:hAnsi="Arial" w:cs="Arial"/>
          <w:sz w:val="16"/>
          <w:szCs w:val="16"/>
        </w:rPr>
        <w:t>Decision is based on pre-specified criteria with a maximum interval of 16 weeks.</w:t>
      </w:r>
    </w:p>
    <w:p w14:paraId="1F788468" w14:textId="7586BD35" w:rsidR="00045442" w:rsidRPr="00D6501A" w:rsidRDefault="00EC2048" w:rsidP="00C8566B">
      <w:pPr>
        <w:pStyle w:val="Tablefigfootnotes"/>
        <w:spacing w:line="240" w:lineRule="auto"/>
        <w:rPr>
          <w:rFonts w:ascii="Arial" w:hAnsi="Arial" w:cs="Arial"/>
          <w:sz w:val="16"/>
          <w:szCs w:val="16"/>
        </w:rPr>
      </w:pPr>
      <w:r w:rsidRPr="00D6501A">
        <w:rPr>
          <w:rFonts w:ascii="Arial" w:hAnsi="Arial" w:cs="Arial"/>
          <w:sz w:val="16"/>
          <w:szCs w:val="16"/>
          <w:vertAlign w:val="superscript"/>
        </w:rPr>
        <w:t>†</w:t>
      </w:r>
      <w:r w:rsidR="00045442" w:rsidRPr="00D6501A">
        <w:rPr>
          <w:rFonts w:ascii="Arial" w:hAnsi="Arial" w:cs="Arial"/>
          <w:sz w:val="16"/>
          <w:szCs w:val="16"/>
        </w:rPr>
        <w:t>Patients in the IVT-AFL</w:t>
      </w:r>
      <w:r w:rsidR="00C2718E" w:rsidRPr="00D6501A">
        <w:rPr>
          <w:rFonts w:ascii="Arial" w:hAnsi="Arial" w:cs="Arial"/>
          <w:sz w:val="16"/>
          <w:szCs w:val="16"/>
        </w:rPr>
        <w:t>-</w:t>
      </w:r>
      <w:r w:rsidR="00045442" w:rsidRPr="00D6501A">
        <w:rPr>
          <w:rFonts w:ascii="Arial" w:hAnsi="Arial" w:cs="Arial"/>
          <w:sz w:val="16"/>
          <w:szCs w:val="16"/>
        </w:rPr>
        <w:t>2W group could have their treatment interval increased or shortened by 2 weeks. Patients in the IVT</w:t>
      </w:r>
      <w:r w:rsidR="00045442" w:rsidRPr="00D6501A">
        <w:rPr>
          <w:rFonts w:ascii="Arial" w:hAnsi="Arial" w:cs="Arial"/>
          <w:sz w:val="16"/>
          <w:szCs w:val="16"/>
        </w:rPr>
        <w:noBreakHyphen/>
        <w:t>AFL</w:t>
      </w:r>
      <w:r w:rsidR="00C2718E" w:rsidRPr="00D6501A">
        <w:rPr>
          <w:rFonts w:ascii="Arial" w:hAnsi="Arial" w:cs="Arial"/>
          <w:sz w:val="16"/>
          <w:szCs w:val="16"/>
        </w:rPr>
        <w:t>-</w:t>
      </w:r>
      <w:r w:rsidR="00045442" w:rsidRPr="00D6501A">
        <w:rPr>
          <w:rFonts w:ascii="Arial" w:hAnsi="Arial" w:cs="Arial"/>
          <w:sz w:val="16"/>
          <w:szCs w:val="16"/>
        </w:rPr>
        <w:t>4W group could have their treatment interval increased or shortened by 4 weeks. For patients in the IVT-AFL</w:t>
      </w:r>
      <w:r w:rsidR="00C2718E" w:rsidRPr="00D6501A">
        <w:rPr>
          <w:rFonts w:ascii="Arial" w:hAnsi="Arial" w:cs="Arial"/>
          <w:sz w:val="16"/>
          <w:szCs w:val="16"/>
        </w:rPr>
        <w:t>-</w:t>
      </w:r>
      <w:r w:rsidR="00045442" w:rsidRPr="00D6501A">
        <w:rPr>
          <w:rFonts w:ascii="Arial" w:hAnsi="Arial" w:cs="Arial"/>
          <w:sz w:val="16"/>
          <w:szCs w:val="16"/>
        </w:rPr>
        <w:t>4W group who had undergone interval shortening by 4 weeks, any subsequent interval extension</w:t>
      </w:r>
      <w:r w:rsidR="008579D6">
        <w:rPr>
          <w:rFonts w:ascii="Arial" w:hAnsi="Arial" w:cs="Arial"/>
          <w:sz w:val="16"/>
          <w:szCs w:val="16"/>
        </w:rPr>
        <w:t xml:space="preserve"> or shortening</w:t>
      </w:r>
      <w:r w:rsidR="00045442" w:rsidRPr="00D6501A">
        <w:rPr>
          <w:rFonts w:ascii="Arial" w:hAnsi="Arial" w:cs="Arial"/>
          <w:sz w:val="16"/>
          <w:szCs w:val="16"/>
        </w:rPr>
        <w:t xml:space="preserve"> was limited to 2 weeks.</w:t>
      </w:r>
    </w:p>
    <w:p w14:paraId="4BD33500" w14:textId="7ED6EA86" w:rsidR="00DD314E" w:rsidRPr="00D6501A" w:rsidRDefault="00DD314E" w:rsidP="00C8566B">
      <w:pPr>
        <w:pStyle w:val="Tablefigfootnotes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6501A">
        <w:rPr>
          <w:rFonts w:ascii="Arial" w:hAnsi="Arial" w:cs="Arial"/>
          <w:sz w:val="16"/>
          <w:szCs w:val="16"/>
        </w:rPr>
        <w:t xml:space="preserve">2W/4W, 2-/4-week adjustment; </w:t>
      </w:r>
      <w:r w:rsidR="00320CE8" w:rsidRPr="00D6501A">
        <w:rPr>
          <w:rFonts w:ascii="Arial" w:hAnsi="Arial" w:cs="Arial"/>
          <w:sz w:val="16"/>
          <w:szCs w:val="16"/>
        </w:rPr>
        <w:t xml:space="preserve">AMD, age-related macular degeneration; </w:t>
      </w:r>
      <w:r w:rsidRPr="00D6501A">
        <w:rPr>
          <w:rFonts w:ascii="Arial" w:hAnsi="Arial" w:cs="Arial"/>
          <w:sz w:val="16"/>
          <w:szCs w:val="16"/>
        </w:rPr>
        <w:t>BCVA, best-corrected visual acuity; CNV, choroidal neovascularization; ETDRS, Early Treatment Diabetic Retinopathy Study; IVT-AFL, intravitreal aflibercept; M, mandatory visit; R, randomization; T&amp;E, treat-and-extend; VEGF, vascular endothelial growth factor.</w:t>
      </w:r>
    </w:p>
    <w:p w14:paraId="3F0854AE" w14:textId="04DBCC96" w:rsidR="00DD314E" w:rsidRPr="00D6501A" w:rsidRDefault="00DD314E" w:rsidP="00C8566B">
      <w:pPr>
        <w:spacing w:after="160" w:line="240" w:lineRule="auto"/>
        <w:rPr>
          <w:rFonts w:ascii="Arial" w:hAnsi="Arial" w:cs="Arial"/>
        </w:rPr>
      </w:pPr>
      <w:r w:rsidRPr="00D6501A">
        <w:rPr>
          <w:rFonts w:ascii="Arial" w:hAnsi="Arial" w:cs="Arial"/>
        </w:rPr>
        <w:br w:type="page"/>
      </w:r>
    </w:p>
    <w:p w14:paraId="3920A90F" w14:textId="3F58B473" w:rsidR="00E27D9E" w:rsidRPr="00D6501A" w:rsidRDefault="00E27D9E" w:rsidP="00C8566B">
      <w:pPr>
        <w:pStyle w:val="Tablefigtitle"/>
        <w:spacing w:line="240" w:lineRule="auto"/>
        <w:rPr>
          <w:rFonts w:ascii="Arial" w:hAnsi="Arial" w:cs="Arial"/>
          <w:b/>
        </w:rPr>
      </w:pPr>
      <w:bookmarkStart w:id="3" w:name="_Toc31268537"/>
      <w:r w:rsidRPr="00D6501A">
        <w:rPr>
          <w:rFonts w:ascii="Arial" w:hAnsi="Arial" w:cs="Arial"/>
          <w:b/>
        </w:rPr>
        <w:lastRenderedPageBreak/>
        <w:t xml:space="preserve">Figure </w:t>
      </w:r>
      <w:r w:rsidR="00EC2048" w:rsidRPr="00D6501A">
        <w:rPr>
          <w:rFonts w:ascii="Arial" w:hAnsi="Arial" w:cs="Arial"/>
          <w:b/>
        </w:rPr>
        <w:t>S</w:t>
      </w:r>
      <w:r w:rsidR="002A5BD9">
        <w:rPr>
          <w:rFonts w:ascii="Arial" w:hAnsi="Arial" w:cs="Arial"/>
          <w:b/>
        </w:rPr>
        <w:t>2</w:t>
      </w:r>
      <w:r w:rsidRPr="00D6501A">
        <w:rPr>
          <w:rFonts w:ascii="Arial" w:hAnsi="Arial" w:cs="Arial"/>
          <w:b/>
        </w:rPr>
        <w:t xml:space="preserve">. </w:t>
      </w:r>
      <w:r w:rsidRPr="00D6501A">
        <w:rPr>
          <w:rFonts w:ascii="Arial" w:hAnsi="Arial" w:cs="Arial"/>
          <w:bCs/>
        </w:rPr>
        <w:t>The proportion of patients in IVT-AFL-2W and IVT-AFL-4W groups who (a) lost &lt;15 ETDRS letters and (b) gained ≥15 ETDRS letters at Weeks 52 and 96 (FAS)</w:t>
      </w:r>
      <w:bookmarkEnd w:id="3"/>
    </w:p>
    <w:p w14:paraId="11C12121" w14:textId="2CD031AE" w:rsidR="00E27D9E" w:rsidRPr="00D6501A" w:rsidRDefault="00045442" w:rsidP="00C8566B">
      <w:pPr>
        <w:spacing w:line="240" w:lineRule="auto"/>
        <w:rPr>
          <w:rFonts w:ascii="Arial" w:hAnsi="Arial" w:cs="Arial"/>
        </w:rPr>
      </w:pPr>
      <w:r w:rsidRPr="00D6501A">
        <w:rPr>
          <w:rFonts w:ascii="Arial" w:hAnsi="Arial" w:cs="Arial"/>
        </w:rPr>
        <w:t>a)</w:t>
      </w:r>
    </w:p>
    <w:p w14:paraId="110DF1C5" w14:textId="37EE1246" w:rsidR="00E27D9E" w:rsidRPr="00D6501A" w:rsidRDefault="00941632" w:rsidP="00C8566B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34665F7" wp14:editId="497EB23B">
            <wp:extent cx="6107502" cy="3053751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556" cy="30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C436B" w14:textId="4A0EA272" w:rsidR="00E27D9E" w:rsidRPr="00D6501A" w:rsidRDefault="00045442" w:rsidP="00C8566B">
      <w:pPr>
        <w:spacing w:line="240" w:lineRule="auto"/>
        <w:rPr>
          <w:rFonts w:ascii="Arial" w:hAnsi="Arial" w:cs="Arial"/>
        </w:rPr>
      </w:pPr>
      <w:r w:rsidRPr="00D6501A">
        <w:rPr>
          <w:rFonts w:ascii="Arial" w:hAnsi="Arial" w:cs="Arial"/>
        </w:rPr>
        <w:t>b)</w:t>
      </w:r>
    </w:p>
    <w:p w14:paraId="6003E323" w14:textId="1C88707B" w:rsidR="00E27D9E" w:rsidRPr="00D6501A" w:rsidRDefault="00941632" w:rsidP="00C8566B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731AD" wp14:editId="3781AE69">
            <wp:extent cx="6145029" cy="2829464"/>
            <wp:effectExtent l="0" t="0" r="825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60" cy="283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6DD4" w14:textId="77777777" w:rsidR="00E27D9E" w:rsidRPr="00D6501A" w:rsidRDefault="00E27D9E" w:rsidP="00C8566B">
      <w:pPr>
        <w:spacing w:line="240" w:lineRule="auto"/>
        <w:rPr>
          <w:rFonts w:ascii="Arial" w:eastAsia="SimSun" w:hAnsi="Arial" w:cs="Arial"/>
          <w:sz w:val="16"/>
          <w:szCs w:val="14"/>
          <w:lang w:eastAsia="en-GB"/>
        </w:rPr>
      </w:pPr>
      <w:r w:rsidRPr="00D6501A">
        <w:rPr>
          <w:rFonts w:ascii="Arial" w:eastAsia="SimSun" w:hAnsi="Arial" w:cs="Arial"/>
          <w:sz w:val="16"/>
          <w:szCs w:val="14"/>
          <w:lang w:eastAsia="en-GB"/>
        </w:rPr>
        <w:t>Last observation carried forward analysis.</w:t>
      </w:r>
    </w:p>
    <w:p w14:paraId="0AF39911" w14:textId="2E7ADF22" w:rsidR="00E27D9E" w:rsidRPr="00D6501A" w:rsidRDefault="00045442" w:rsidP="00C8566B">
      <w:pPr>
        <w:spacing w:line="240" w:lineRule="auto"/>
        <w:rPr>
          <w:rFonts w:ascii="Arial" w:eastAsia="SimSun" w:hAnsi="Arial" w:cs="Arial"/>
          <w:sz w:val="16"/>
          <w:szCs w:val="14"/>
          <w:lang w:eastAsia="en-GB"/>
        </w:rPr>
      </w:pPr>
      <w:r w:rsidRPr="00D6501A">
        <w:rPr>
          <w:rFonts w:ascii="Arial" w:eastAsia="SimSun" w:hAnsi="Arial" w:cs="Arial"/>
          <w:sz w:val="16"/>
          <w:szCs w:val="14"/>
          <w:lang w:eastAsia="en-GB"/>
        </w:rPr>
        <w:t>2W/4W, 2-/4-week adjustment</w:t>
      </w:r>
      <w:r w:rsidR="00E27D9E" w:rsidRPr="00D6501A">
        <w:rPr>
          <w:rFonts w:ascii="Arial" w:eastAsia="SimSun" w:hAnsi="Arial" w:cs="Arial"/>
          <w:sz w:val="16"/>
          <w:szCs w:val="14"/>
          <w:lang w:eastAsia="en-GB"/>
        </w:rPr>
        <w:t xml:space="preserve">; ETDRS, Early Treatment Diabetic Retinopathy Study; </w:t>
      </w:r>
      <w:r w:rsidRPr="00D6501A">
        <w:rPr>
          <w:rFonts w:ascii="Arial" w:eastAsia="SimSun" w:hAnsi="Arial" w:cs="Arial"/>
          <w:sz w:val="16"/>
          <w:szCs w:val="14"/>
          <w:lang w:eastAsia="en-GB"/>
        </w:rPr>
        <w:t xml:space="preserve">FAS, full analysis set; </w:t>
      </w:r>
      <w:r w:rsidR="00E27D9E" w:rsidRPr="00D6501A">
        <w:rPr>
          <w:rFonts w:ascii="Arial" w:eastAsia="SimSun" w:hAnsi="Arial" w:cs="Arial"/>
          <w:sz w:val="16"/>
          <w:szCs w:val="14"/>
          <w:lang w:eastAsia="en-GB"/>
        </w:rPr>
        <w:t>IVT-AFL, intravitreal aflibercept.</w:t>
      </w:r>
    </w:p>
    <w:p w14:paraId="33A3F74E" w14:textId="77777777" w:rsidR="00E27D9E" w:rsidRPr="00D6501A" w:rsidRDefault="00E27D9E" w:rsidP="00C8566B">
      <w:pPr>
        <w:spacing w:after="160" w:line="240" w:lineRule="auto"/>
        <w:rPr>
          <w:rFonts w:ascii="Arial" w:hAnsi="Arial" w:cs="Arial"/>
        </w:rPr>
      </w:pPr>
      <w:r w:rsidRPr="00D6501A">
        <w:rPr>
          <w:rFonts w:ascii="Arial" w:hAnsi="Arial" w:cs="Arial"/>
        </w:rPr>
        <w:br w:type="page"/>
      </w:r>
    </w:p>
    <w:p w14:paraId="63E12295" w14:textId="77777777" w:rsidR="00E27D9E" w:rsidRPr="00D6501A" w:rsidRDefault="00E27D9E" w:rsidP="00C8566B">
      <w:pPr>
        <w:spacing w:line="240" w:lineRule="auto"/>
        <w:rPr>
          <w:rFonts w:ascii="Arial" w:hAnsi="Arial" w:cs="Arial"/>
        </w:rPr>
      </w:pPr>
    </w:p>
    <w:p w14:paraId="0910D400" w14:textId="1E2E8A9F" w:rsidR="00EE54E2" w:rsidRPr="00D6501A" w:rsidRDefault="00EE54E2" w:rsidP="00C8566B">
      <w:pPr>
        <w:pStyle w:val="Tablefigtitle"/>
        <w:spacing w:line="240" w:lineRule="auto"/>
        <w:rPr>
          <w:rFonts w:ascii="Arial" w:hAnsi="Arial" w:cs="Arial"/>
          <w:b/>
        </w:rPr>
      </w:pPr>
      <w:bookmarkStart w:id="4" w:name="_Toc31268538"/>
      <w:r w:rsidRPr="00D6501A">
        <w:rPr>
          <w:rFonts w:ascii="Arial" w:hAnsi="Arial" w:cs="Arial"/>
          <w:b/>
        </w:rPr>
        <w:t xml:space="preserve">Table </w:t>
      </w:r>
      <w:r w:rsidR="00EC2048" w:rsidRPr="00D6501A">
        <w:rPr>
          <w:rFonts w:ascii="Arial" w:hAnsi="Arial" w:cs="Arial"/>
          <w:b/>
        </w:rPr>
        <w:t>S</w:t>
      </w:r>
      <w:r w:rsidRPr="00D6501A">
        <w:rPr>
          <w:rFonts w:ascii="Arial" w:hAnsi="Arial" w:cs="Arial"/>
          <w:b/>
        </w:rPr>
        <w:t xml:space="preserve">1. </w:t>
      </w:r>
      <w:r w:rsidRPr="00D6501A">
        <w:rPr>
          <w:rFonts w:ascii="Arial" w:hAnsi="Arial" w:cs="Arial"/>
          <w:bCs/>
        </w:rPr>
        <w:t xml:space="preserve">Exclusion </w:t>
      </w:r>
      <w:r w:rsidR="00C2718E" w:rsidRPr="00D6501A">
        <w:rPr>
          <w:rFonts w:ascii="Arial" w:hAnsi="Arial" w:cs="Arial"/>
          <w:bCs/>
        </w:rPr>
        <w:t>c</w:t>
      </w:r>
      <w:r w:rsidRPr="00D6501A">
        <w:rPr>
          <w:rFonts w:ascii="Arial" w:hAnsi="Arial" w:cs="Arial"/>
          <w:bCs/>
        </w:rPr>
        <w:t>riteria</w:t>
      </w:r>
      <w:bookmarkEnd w:id="4"/>
      <w:r w:rsidRPr="00D6501A">
        <w:rPr>
          <w:rFonts w:ascii="Arial" w:hAnsi="Arial" w:cs="Arial"/>
          <w:b/>
        </w:rPr>
        <w:t xml:space="preserve"> </w:t>
      </w:r>
    </w:p>
    <w:tbl>
      <w:tblPr>
        <w:tblStyle w:val="TableGrid11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8508"/>
      </w:tblGrid>
      <w:tr w:rsidR="00320CE8" w:rsidRPr="00D6501A" w14:paraId="7A1932D4" w14:textId="77777777" w:rsidTr="00AA3340">
        <w:tc>
          <w:tcPr>
            <w:tcW w:w="287" w:type="pct"/>
          </w:tcPr>
          <w:p w14:paraId="6E448320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713" w:type="pct"/>
          </w:tcPr>
          <w:p w14:paraId="556761A1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Prior treatment of the study eye with intraocular anti-VEGF agents, verteporfin photodynamic therapy, other laser, intraocular corticosteroids, surgical interventions (except cataract surgery at more than 30 days prior to screening) or systemic use of anti-VEGF products within 3 months prior to study entry</w:t>
            </w:r>
          </w:p>
        </w:tc>
      </w:tr>
      <w:tr w:rsidR="00320CE8" w:rsidRPr="00D6501A" w14:paraId="3043E3D1" w14:textId="77777777" w:rsidTr="00AA3340">
        <w:tc>
          <w:tcPr>
            <w:tcW w:w="287" w:type="pct"/>
          </w:tcPr>
          <w:p w14:paraId="33BFEAF3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713" w:type="pct"/>
          </w:tcPr>
          <w:p w14:paraId="64A53089" w14:textId="0C862081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Active or suspected infection in or surrounding the study eye</w:t>
            </w:r>
          </w:p>
        </w:tc>
      </w:tr>
      <w:tr w:rsidR="00320CE8" w:rsidRPr="00D6501A" w14:paraId="784654EB" w14:textId="77777777" w:rsidTr="00AA3340">
        <w:tc>
          <w:tcPr>
            <w:tcW w:w="287" w:type="pct"/>
          </w:tcPr>
          <w:p w14:paraId="37879FEB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713" w:type="pct"/>
          </w:tcPr>
          <w:p w14:paraId="690ECFCA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Active severe intraocular inflammation in the study eye</w:t>
            </w:r>
          </w:p>
        </w:tc>
      </w:tr>
      <w:tr w:rsidR="00320CE8" w:rsidRPr="00D6501A" w14:paraId="078565C2" w14:textId="77777777" w:rsidTr="00AA3340">
        <w:tc>
          <w:tcPr>
            <w:tcW w:w="287" w:type="pct"/>
          </w:tcPr>
          <w:p w14:paraId="3D34A1B9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4713" w:type="pct"/>
          </w:tcPr>
          <w:p w14:paraId="272D14D8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Intraocular pressure ≥25 mmHg in the study eye</w:t>
            </w:r>
          </w:p>
        </w:tc>
      </w:tr>
      <w:tr w:rsidR="00320CE8" w:rsidRPr="00D6501A" w14:paraId="0D49141D" w14:textId="77777777" w:rsidTr="00AA3340">
        <w:tc>
          <w:tcPr>
            <w:tcW w:w="287" w:type="pct"/>
          </w:tcPr>
          <w:p w14:paraId="239D7B4D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4713" w:type="pct"/>
          </w:tcPr>
          <w:p w14:paraId="6B8FF8CF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Ocular condition in the study eye that might impact vision and confound study outcomes</w:t>
            </w:r>
          </w:p>
        </w:tc>
      </w:tr>
      <w:tr w:rsidR="00320CE8" w:rsidRPr="00D6501A" w14:paraId="1CC7D75D" w14:textId="77777777" w:rsidTr="00AA3340">
        <w:tc>
          <w:tcPr>
            <w:tcW w:w="287" w:type="pct"/>
          </w:tcPr>
          <w:p w14:paraId="47955A33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4713" w:type="pct"/>
          </w:tcPr>
          <w:p w14:paraId="47B2432C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History of allergy to aflibercept or allergy to study/treatment-related agents, including fluorescein, indocyanine green, povidone iodide, lidocaine, or antibiotic eye drops</w:t>
            </w:r>
          </w:p>
        </w:tc>
      </w:tr>
      <w:tr w:rsidR="00320CE8" w:rsidRPr="00D6501A" w14:paraId="64B6C70E" w14:textId="77777777" w:rsidTr="00AA3340">
        <w:tc>
          <w:tcPr>
            <w:tcW w:w="287" w:type="pct"/>
          </w:tcPr>
          <w:p w14:paraId="399DBF3C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4713" w:type="pct"/>
          </w:tcPr>
          <w:p w14:paraId="73BE4054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Women who are pregnant or lactating, or suspected to be pregnant</w:t>
            </w:r>
          </w:p>
        </w:tc>
      </w:tr>
      <w:tr w:rsidR="00320CE8" w:rsidRPr="00D6501A" w14:paraId="6A668698" w14:textId="77777777" w:rsidTr="00AA3340">
        <w:tc>
          <w:tcPr>
            <w:tcW w:w="287" w:type="pct"/>
          </w:tcPr>
          <w:p w14:paraId="52FF5DB2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4713" w:type="pct"/>
          </w:tcPr>
          <w:p w14:paraId="29BA47F0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Previous enrollment into the run-in phase of this study</w:t>
            </w:r>
          </w:p>
        </w:tc>
      </w:tr>
      <w:tr w:rsidR="00320CE8" w:rsidRPr="00D6501A" w14:paraId="529725D2" w14:textId="77777777" w:rsidTr="00AA3340">
        <w:tc>
          <w:tcPr>
            <w:tcW w:w="287" w:type="pct"/>
          </w:tcPr>
          <w:p w14:paraId="7A466F33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4713" w:type="pct"/>
          </w:tcPr>
          <w:p w14:paraId="7B24ECA3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Previous (within 3 months) or concomitant participation in another clinical study with investigational medicinal product(s)</w:t>
            </w:r>
          </w:p>
        </w:tc>
      </w:tr>
      <w:tr w:rsidR="00320CE8" w:rsidRPr="00D6501A" w14:paraId="02A502DA" w14:textId="77777777" w:rsidTr="00AA3340">
        <w:tc>
          <w:tcPr>
            <w:tcW w:w="287" w:type="pct"/>
          </w:tcPr>
          <w:p w14:paraId="0B92C5D4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4713" w:type="pct"/>
          </w:tcPr>
          <w:p w14:paraId="18BC1602" w14:textId="40FBC588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Close affiliation with the investigational site, e.g., a close relative of the investigator</w:t>
            </w:r>
            <w:r w:rsidR="00E94A67" w:rsidRPr="00D6501A"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D6501A">
              <w:rPr>
                <w:rFonts w:ascii="Arial" w:hAnsi="Arial" w:cs="Arial"/>
                <w:sz w:val="22"/>
                <w:szCs w:val="22"/>
              </w:rPr>
              <w:t xml:space="preserve"> dependent person (e.g., an employee or a student of the investigational site)</w:t>
            </w:r>
          </w:p>
        </w:tc>
      </w:tr>
      <w:tr w:rsidR="00320CE8" w:rsidRPr="00D6501A" w14:paraId="0B565632" w14:textId="77777777" w:rsidTr="00E94A67">
        <w:trPr>
          <w:trHeight w:val="355"/>
        </w:trPr>
        <w:tc>
          <w:tcPr>
            <w:tcW w:w="287" w:type="pct"/>
          </w:tcPr>
          <w:p w14:paraId="0F6B1A8C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501A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4713" w:type="pct"/>
          </w:tcPr>
          <w:p w14:paraId="1AE62CEE" w14:textId="77777777" w:rsidR="00320CE8" w:rsidRPr="00D6501A" w:rsidRDefault="00320CE8" w:rsidP="00C8566B">
            <w:pPr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  <w:r w:rsidRPr="00D6501A">
              <w:rPr>
                <w:rFonts w:ascii="Arial" w:hAnsi="Arial" w:cs="Arial"/>
                <w:sz w:val="22"/>
                <w:szCs w:val="22"/>
              </w:rPr>
              <w:t>Patients who the investigator deemed to be ineligible for the study</w:t>
            </w:r>
          </w:p>
        </w:tc>
      </w:tr>
    </w:tbl>
    <w:p w14:paraId="3397CFEF" w14:textId="1099AD10" w:rsidR="00EE54E2" w:rsidRPr="00D6501A" w:rsidRDefault="00EE54E2" w:rsidP="00C8566B">
      <w:pPr>
        <w:pStyle w:val="Tablefigfootnotes"/>
        <w:spacing w:line="240" w:lineRule="auto"/>
        <w:rPr>
          <w:rFonts w:ascii="Arial" w:hAnsi="Arial" w:cs="Arial"/>
          <w:sz w:val="16"/>
          <w:szCs w:val="16"/>
        </w:rPr>
      </w:pPr>
      <w:r w:rsidRPr="00D6501A">
        <w:rPr>
          <w:rFonts w:ascii="Arial" w:hAnsi="Arial" w:cs="Arial"/>
          <w:sz w:val="16"/>
          <w:szCs w:val="16"/>
        </w:rPr>
        <w:t>VEGF</w:t>
      </w:r>
      <w:r w:rsidR="00DB0C82" w:rsidRPr="00D6501A">
        <w:rPr>
          <w:rFonts w:ascii="Arial" w:hAnsi="Arial" w:cs="Arial"/>
          <w:sz w:val="16"/>
          <w:szCs w:val="16"/>
        </w:rPr>
        <w:t>,</w:t>
      </w:r>
      <w:r w:rsidRPr="00D6501A">
        <w:rPr>
          <w:rFonts w:ascii="Arial" w:hAnsi="Arial" w:cs="Arial"/>
          <w:sz w:val="16"/>
          <w:szCs w:val="16"/>
        </w:rPr>
        <w:t xml:space="preserve"> vascular endothelial growth factor.</w:t>
      </w:r>
    </w:p>
    <w:p w14:paraId="58BDE46A" w14:textId="77777777" w:rsidR="00C8566B" w:rsidRPr="00D6501A" w:rsidRDefault="00EE54E2" w:rsidP="00C8566B">
      <w:pPr>
        <w:pStyle w:val="Tablefigtitle"/>
        <w:spacing w:line="240" w:lineRule="auto"/>
        <w:rPr>
          <w:rFonts w:ascii="Arial" w:hAnsi="Arial" w:cs="Arial"/>
        </w:rPr>
      </w:pPr>
      <w:r w:rsidRPr="00D6501A">
        <w:rPr>
          <w:rFonts w:ascii="Arial" w:hAnsi="Arial" w:cs="Arial"/>
        </w:rPr>
        <w:br w:type="page"/>
      </w:r>
      <w:bookmarkStart w:id="5" w:name="_Toc22807988"/>
    </w:p>
    <w:p w14:paraId="36CC8ABE" w14:textId="31B8A610" w:rsidR="00C8566B" w:rsidRPr="00D6501A" w:rsidRDefault="00C8566B" w:rsidP="00C8566B">
      <w:pPr>
        <w:pStyle w:val="Tablefigtitle"/>
        <w:spacing w:line="240" w:lineRule="auto"/>
        <w:rPr>
          <w:rFonts w:ascii="Arial" w:hAnsi="Arial" w:cs="Arial"/>
          <w:b/>
        </w:rPr>
      </w:pPr>
      <w:bookmarkStart w:id="6" w:name="_Toc31268539"/>
      <w:r w:rsidRPr="00D6501A">
        <w:rPr>
          <w:rFonts w:ascii="Arial" w:hAnsi="Arial" w:cs="Arial"/>
          <w:b/>
        </w:rPr>
        <w:lastRenderedPageBreak/>
        <w:t>List of investigators</w:t>
      </w:r>
      <w:bookmarkEnd w:id="6"/>
    </w:p>
    <w:p w14:paraId="13C77CF2" w14:textId="0D0CCE8D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Masahito Ohji</w:t>
      </w:r>
    </w:p>
    <w:p w14:paraId="4545437C" w14:textId="32B7DDCC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Tsukasa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Hanemoto</w:t>
      </w:r>
      <w:proofErr w:type="spellEnd"/>
    </w:p>
    <w:p w14:paraId="128F4A50" w14:textId="66A02123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Tatsushi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Kaga</w:t>
      </w:r>
      <w:proofErr w:type="spellEnd"/>
    </w:p>
    <w:p w14:paraId="566CDA9D" w14:textId="1E88C4CC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Takeya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Kouno</w:t>
      </w:r>
      <w:proofErr w:type="spellEnd"/>
    </w:p>
    <w:p w14:paraId="763BA777" w14:textId="7A49D291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Hirokuni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Kitamei</w:t>
      </w:r>
      <w:proofErr w:type="spellEnd"/>
    </w:p>
    <w:p w14:paraId="23AFEEDE" w14:textId="7D20095F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Shinpei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Sato</w:t>
      </w:r>
    </w:p>
    <w:p w14:paraId="3351E019" w14:textId="18F52FEC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Kanji Takahashi</w:t>
      </w:r>
    </w:p>
    <w:p w14:paraId="3E97027D" w14:textId="113C31ED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Ryoji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Yanai</w:t>
      </w:r>
      <w:proofErr w:type="spellEnd"/>
    </w:p>
    <w:p w14:paraId="1311D909" w14:textId="4D54059F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Eiichi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Uchio</w:t>
      </w:r>
      <w:proofErr w:type="spellEnd"/>
    </w:p>
    <w:p w14:paraId="00725992" w14:textId="2B688B44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Kazunori Miyata</w:t>
      </w:r>
    </w:p>
    <w:p w14:paraId="239AD0E7" w14:textId="53B98D4F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Yoshihiro Wakabayashi</w:t>
      </w:r>
    </w:p>
    <w:p w14:paraId="2108CA19" w14:textId="0C01CDCA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Takatoshi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Maeno</w:t>
      </w:r>
      <w:proofErr w:type="spellEnd"/>
    </w:p>
    <w:p w14:paraId="5E2D7F84" w14:textId="3C406CC4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Tsutomu Yasukawa</w:t>
      </w:r>
    </w:p>
    <w:p w14:paraId="38D9C8D1" w14:textId="2CED3E0B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Masayuki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Horiguchi</w:t>
      </w:r>
      <w:proofErr w:type="spellEnd"/>
    </w:p>
    <w:p w14:paraId="36972C74" w14:textId="45879237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Tetsuya Nishimura</w:t>
      </w:r>
    </w:p>
    <w:p w14:paraId="2960FBF2" w14:textId="7D012809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Akiteru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Kawahara</w:t>
      </w:r>
    </w:p>
    <w:p w14:paraId="12DD33C2" w14:textId="3069DC3A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Yasuo Kurimoto</w:t>
      </w:r>
    </w:p>
    <w:p w14:paraId="5449C4C2" w14:textId="683279C1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Kenichi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Murai</w:t>
      </w:r>
      <w:proofErr w:type="spellEnd"/>
    </w:p>
    <w:p w14:paraId="1CF12F2B" w14:textId="7375D566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Namie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Kobayashi</w:t>
      </w:r>
    </w:p>
    <w:p w14:paraId="4E6E717E" w14:textId="0A88A6AA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Wataru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Kimura</w:t>
      </w:r>
    </w:p>
    <w:p w14:paraId="645BD3A9" w14:textId="376E7DEF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Eriko Matsushita</w:t>
      </w:r>
    </w:p>
    <w:p w14:paraId="1E4680BA" w14:textId="0C397F0D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Tomohiro Iida</w:t>
      </w:r>
    </w:p>
    <w:p w14:paraId="17B93019" w14:textId="14CBCB13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Kanako Yasuda</w:t>
      </w:r>
    </w:p>
    <w:p w14:paraId="0ABA5C82" w14:textId="7ED4D6A9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Masahiro Miura</w:t>
      </w:r>
    </w:p>
    <w:p w14:paraId="30F3F9FE" w14:textId="463C1EA2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Annabelle Ayame. Okada</w:t>
      </w:r>
    </w:p>
    <w:p w14:paraId="1FFE70D5" w14:textId="0B7015D4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Ryusaburo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Mori</w:t>
      </w:r>
    </w:p>
    <w:p w14:paraId="62EB1C04" w14:textId="66022BD9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Atsushi Sugiyama</w:t>
      </w:r>
    </w:p>
    <w:p w14:paraId="769D09B5" w14:textId="7C5908C2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Yasuo Ito</w:t>
      </w:r>
    </w:p>
    <w:p w14:paraId="1E8D1F1B" w14:textId="7EB1EE03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Daisaku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Kimura</w:t>
      </w:r>
    </w:p>
    <w:p w14:paraId="3DDAFEE6" w14:textId="0B04ECE4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Kei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Nakai</w:t>
      </w:r>
      <w:proofErr w:type="spellEnd"/>
    </w:p>
    <w:p w14:paraId="07A35030" w14:textId="5700ADC9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Chota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Matsumoto</w:t>
      </w:r>
    </w:p>
    <w:p w14:paraId="4C4F855D" w14:textId="3188A3D8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Shinobu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Takeuchi</w:t>
      </w:r>
    </w:p>
    <w:p w14:paraId="0F5B38F5" w14:textId="0D8687D1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Kishiko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Okoshi</w:t>
      </w:r>
      <w:proofErr w:type="spellEnd"/>
    </w:p>
    <w:p w14:paraId="242A222F" w14:textId="7D1502E9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Yoshihisa Nuno</w:t>
      </w:r>
    </w:p>
    <w:p w14:paraId="2D1874FE" w14:textId="2A1DA85F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Yohei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Nomoto</w:t>
      </w:r>
      <w:proofErr w:type="spellEnd"/>
    </w:p>
    <w:p w14:paraId="07B94B0E" w14:textId="53F58926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Toshio Mori</w:t>
      </w:r>
    </w:p>
    <w:p w14:paraId="1DAC26A2" w14:textId="1C62E53E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Muneyasu</w:t>
      </w:r>
      <w:proofErr w:type="spellEnd"/>
      <w:r w:rsidRPr="00D6501A">
        <w:rPr>
          <w:rFonts w:ascii="Arial" w:hAnsi="Arial" w:cs="Arial"/>
          <w:sz w:val="22"/>
          <w:szCs w:val="22"/>
          <w:lang w:eastAsia="en-GB"/>
        </w:rPr>
        <w:t xml:space="preserve"> Takeda</w:t>
      </w:r>
    </w:p>
    <w:p w14:paraId="71544A61" w14:textId="19013E83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Noriko Yoshida</w:t>
      </w:r>
    </w:p>
    <w:p w14:paraId="01EBD14C" w14:textId="5FC7E9E6" w:rsidR="00C8566B" w:rsidRPr="00D6501A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>Mio Hosokawa</w:t>
      </w:r>
    </w:p>
    <w:p w14:paraId="2C96708F" w14:textId="1365133F" w:rsidR="00C8566B" w:rsidRPr="00C8566B" w:rsidRDefault="00C8566B" w:rsidP="00C8566B">
      <w:pPr>
        <w:spacing w:line="240" w:lineRule="auto"/>
        <w:rPr>
          <w:rFonts w:ascii="Arial" w:hAnsi="Arial" w:cs="Arial"/>
          <w:sz w:val="22"/>
          <w:szCs w:val="22"/>
          <w:lang w:eastAsia="en-GB"/>
        </w:rPr>
      </w:pPr>
      <w:r w:rsidRPr="00D6501A">
        <w:rPr>
          <w:rFonts w:ascii="Arial" w:hAnsi="Arial" w:cs="Arial"/>
          <w:sz w:val="22"/>
          <w:szCs w:val="22"/>
          <w:lang w:eastAsia="en-GB"/>
        </w:rPr>
        <w:t xml:space="preserve">Kohei </w:t>
      </w:r>
      <w:proofErr w:type="spellStart"/>
      <w:r w:rsidRPr="00D6501A">
        <w:rPr>
          <w:rFonts w:ascii="Arial" w:hAnsi="Arial" w:cs="Arial"/>
          <w:sz w:val="22"/>
          <w:szCs w:val="22"/>
          <w:lang w:eastAsia="en-GB"/>
        </w:rPr>
        <w:t>Sonoda</w:t>
      </w:r>
      <w:proofErr w:type="spellEnd"/>
    </w:p>
    <w:bookmarkEnd w:id="5"/>
    <w:p w14:paraId="5DF77B5B" w14:textId="29281B47" w:rsidR="00E27D9E" w:rsidRPr="00C2718E" w:rsidRDefault="00E27D9E" w:rsidP="007B6EFB">
      <w:pPr>
        <w:pStyle w:val="BayerBodyTextFull"/>
      </w:pPr>
    </w:p>
    <w:p w14:paraId="6210D678" w14:textId="58D55587" w:rsidR="00EE54E2" w:rsidRPr="005A45DF" w:rsidRDefault="005C0D0C" w:rsidP="00C8566B">
      <w:pPr>
        <w:pStyle w:val="Tablefigfootnotes"/>
        <w:spacing w:line="240" w:lineRule="auto"/>
        <w:rPr>
          <w:rFonts w:ascii="Arial" w:eastAsia="MS Mincho" w:hAnsi="Arial" w:cs="Arial"/>
          <w:b/>
          <w:bCs/>
          <w:sz w:val="22"/>
          <w:szCs w:val="22"/>
        </w:rPr>
      </w:pPr>
      <w:r w:rsidRPr="005A45DF">
        <w:rPr>
          <w:rFonts w:ascii="Arial" w:eastAsia="MS Mincho" w:hAnsi="Arial" w:cs="Arial"/>
          <w:b/>
          <w:bCs/>
          <w:sz w:val="22"/>
          <w:szCs w:val="22"/>
        </w:rPr>
        <w:t>List of IRB</w:t>
      </w:r>
    </w:p>
    <w:p w14:paraId="0B3EF61C" w14:textId="6DBDE505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5C0D0C">
        <w:rPr>
          <w:rFonts w:ascii="Arial" w:eastAsia="MS Mincho" w:hAnsi="Arial" w:cs="Arial"/>
          <w:sz w:val="22"/>
          <w:szCs w:val="22"/>
        </w:rPr>
        <w:t>Kozawa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Eye Hospital and Diabetes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Center</w:t>
      </w:r>
    </w:p>
    <w:p w14:paraId="2907D9DE" w14:textId="4B515599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Japan Community Healthcare</w:t>
      </w:r>
      <w:r>
        <w:rPr>
          <w:rFonts w:ascii="Arial" w:eastAsia="MS Mincho" w:hAnsi="Arial" w:cs="Arial"/>
          <w:sz w:val="22"/>
          <w:szCs w:val="22"/>
        </w:rPr>
        <w:t xml:space="preserve">, </w:t>
      </w:r>
      <w:r w:rsidRPr="005C0D0C">
        <w:rPr>
          <w:rFonts w:ascii="Arial" w:eastAsia="MS Mincho" w:hAnsi="Arial" w:cs="Arial"/>
          <w:sz w:val="22"/>
          <w:szCs w:val="22"/>
        </w:rPr>
        <w:t>Organization Chukyo Hospital</w:t>
      </w:r>
    </w:p>
    <w:p w14:paraId="0A4D9F22" w14:textId="1723CE09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Osaka City University Hospital</w:t>
      </w:r>
    </w:p>
    <w:p w14:paraId="53A3E0A5" w14:textId="55C6A245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 xml:space="preserve">Social care corporation </w:t>
      </w:r>
      <w:proofErr w:type="spellStart"/>
      <w:r w:rsidRPr="005C0D0C">
        <w:rPr>
          <w:rFonts w:ascii="Arial" w:eastAsia="MS Mincho" w:hAnsi="Arial" w:cs="Arial"/>
          <w:sz w:val="22"/>
          <w:szCs w:val="22"/>
        </w:rPr>
        <w:t>Shuho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>-kai</w:t>
      </w:r>
      <w:r>
        <w:rPr>
          <w:rFonts w:ascii="Arial" w:eastAsia="MS Mincho" w:hAnsi="Arial" w:cs="Arial"/>
          <w:sz w:val="22"/>
          <w:szCs w:val="22"/>
        </w:rPr>
        <w:t xml:space="preserve">, </w:t>
      </w:r>
      <w:r w:rsidRPr="005C0D0C">
        <w:rPr>
          <w:rFonts w:ascii="Arial" w:eastAsia="MS Mincho" w:hAnsi="Arial" w:cs="Arial"/>
          <w:sz w:val="22"/>
          <w:szCs w:val="22"/>
        </w:rPr>
        <w:t>Otsuka Eye Hospital</w:t>
      </w:r>
    </w:p>
    <w:p w14:paraId="404C194B" w14:textId="0D9DC501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Yokohama City University Medical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Center</w:t>
      </w:r>
    </w:p>
    <w:p w14:paraId="789B6CEF" w14:textId="5948FB08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Kansai Medical University Hospital</w:t>
      </w:r>
    </w:p>
    <w:p w14:paraId="5FD33A05" w14:textId="5AD7CCE9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Yamaguchi University Hospital</w:t>
      </w:r>
    </w:p>
    <w:p w14:paraId="23DCDA31" w14:textId="3076795D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lastRenderedPageBreak/>
        <w:t>Fukuoka University Hospital</w:t>
      </w:r>
    </w:p>
    <w:p w14:paraId="4C1ABD0D" w14:textId="1034A2D2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Miyata Eye Hospital</w:t>
      </w:r>
    </w:p>
    <w:p w14:paraId="4E570D56" w14:textId="05355945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Tokyo Medical University Hospital</w:t>
      </w:r>
    </w:p>
    <w:p w14:paraId="6AAE5520" w14:textId="6FE6FFF7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Toho University Sakura Medical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Center</w:t>
      </w:r>
    </w:p>
    <w:p w14:paraId="0BF688F7" w14:textId="02B27612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Nagoya City University</w:t>
      </w:r>
      <w:r>
        <w:rPr>
          <w:rFonts w:ascii="Arial" w:eastAsia="MS Mincho" w:hAnsi="Arial" w:cs="Arial"/>
          <w:sz w:val="22"/>
          <w:szCs w:val="22"/>
        </w:rPr>
        <w:t xml:space="preserve"> Hospital</w:t>
      </w:r>
    </w:p>
    <w:p w14:paraId="13683974" w14:textId="27586ABB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Fujita Health University Hospital</w:t>
      </w:r>
    </w:p>
    <w:p w14:paraId="06035E7B" w14:textId="3F2DEB21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Shiga University of Medical Science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Hospital</w:t>
      </w:r>
    </w:p>
    <w:p w14:paraId="10665103" w14:textId="1C4AA8B6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Kansai Medical University Medical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Center</w:t>
      </w:r>
    </w:p>
    <w:p w14:paraId="77370E07" w14:textId="68FAF2E3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University of Miyazaki Hospital</w:t>
      </w:r>
    </w:p>
    <w:p w14:paraId="7E44D111" w14:textId="3F516DE8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Kobe City Medical Center General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Hospital</w:t>
      </w:r>
    </w:p>
    <w:p w14:paraId="31F228CF" w14:textId="3DB51802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Iwate Medical University Hospital</w:t>
      </w:r>
    </w:p>
    <w:p w14:paraId="6766EB73" w14:textId="60A27E4E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Southern Tohoku Ophthalmic Clinic</w:t>
      </w:r>
    </w:p>
    <w:p w14:paraId="54D47171" w14:textId="0659B918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Kimura Eye and Internal Medicine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Hospital</w:t>
      </w:r>
    </w:p>
    <w:p w14:paraId="3D7482C5" w14:textId="593448DB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Kochi Medical School Hospital</w:t>
      </w:r>
    </w:p>
    <w:p w14:paraId="45DBD100" w14:textId="3539B8FD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Tokyo Women's Medical University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Hospital</w:t>
      </w:r>
    </w:p>
    <w:p w14:paraId="196E2838" w14:textId="2C8D1B60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Tokyo Medical University Hachioji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Medical Center</w:t>
      </w:r>
    </w:p>
    <w:p w14:paraId="3C5FEE31" w14:textId="08CD01B9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 xml:space="preserve">Sapporo </w:t>
      </w:r>
      <w:proofErr w:type="spellStart"/>
      <w:r w:rsidRPr="005C0D0C">
        <w:rPr>
          <w:rFonts w:ascii="Arial" w:eastAsia="MS Mincho" w:hAnsi="Arial" w:cs="Arial"/>
          <w:sz w:val="22"/>
          <w:szCs w:val="22"/>
        </w:rPr>
        <w:t>Katoh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Ophthalmology Clinic</w:t>
      </w:r>
    </w:p>
    <w:p w14:paraId="3BC7D17A" w14:textId="7C28C183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Tokyo Medical University Ibaraki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Medical Center</w:t>
      </w:r>
    </w:p>
    <w:p w14:paraId="57C28833" w14:textId="4D20F134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5C0D0C">
        <w:rPr>
          <w:rFonts w:ascii="Arial" w:eastAsia="MS Mincho" w:hAnsi="Arial" w:cs="Arial"/>
          <w:sz w:val="22"/>
          <w:szCs w:val="22"/>
        </w:rPr>
        <w:t>Kyorin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University Hospital</w:t>
      </w:r>
    </w:p>
    <w:p w14:paraId="03D22359" w14:textId="0D4FEA1D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Nihon University Hospital</w:t>
      </w:r>
    </w:p>
    <w:p w14:paraId="4DD51F18" w14:textId="6D3BE7E7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University of Yamanashi Hospital</w:t>
      </w:r>
    </w:p>
    <w:p w14:paraId="2E3C6B60" w14:textId="727F1EE3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5C0D0C">
        <w:rPr>
          <w:rFonts w:ascii="Arial" w:eastAsia="MS Mincho" w:hAnsi="Arial" w:cs="Arial"/>
          <w:sz w:val="22"/>
          <w:szCs w:val="22"/>
        </w:rPr>
        <w:t>Daiyukai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Health System </w:t>
      </w:r>
      <w:proofErr w:type="spellStart"/>
      <w:r w:rsidRPr="005C0D0C">
        <w:rPr>
          <w:rFonts w:ascii="Arial" w:eastAsia="MS Mincho" w:hAnsi="Arial" w:cs="Arial"/>
          <w:sz w:val="22"/>
          <w:szCs w:val="22"/>
        </w:rPr>
        <w:t>Daiyukai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Clinic</w:t>
      </w:r>
    </w:p>
    <w:p w14:paraId="3F1F95D5" w14:textId="11D0D338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Takatsuki Red Cross Hospital</w:t>
      </w:r>
    </w:p>
    <w:p w14:paraId="1343BC6D" w14:textId="54D20BE4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Yodogawa Christian Hospital</w:t>
      </w:r>
    </w:p>
    <w:p w14:paraId="191F150E" w14:textId="4A5E02B5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5C0D0C">
        <w:rPr>
          <w:rFonts w:ascii="Arial" w:eastAsia="MS Mincho" w:hAnsi="Arial" w:cs="Arial"/>
          <w:sz w:val="22"/>
          <w:szCs w:val="22"/>
        </w:rPr>
        <w:t>Kindai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University Hospital</w:t>
      </w:r>
    </w:p>
    <w:p w14:paraId="139AC940" w14:textId="57F41B49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Takeuchi ophthalmology Clinic</w:t>
      </w:r>
    </w:p>
    <w:p w14:paraId="4AC7B6F4" w14:textId="7970CDD8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proofErr w:type="gramStart"/>
      <w:r w:rsidRPr="005C0D0C">
        <w:rPr>
          <w:rFonts w:ascii="Arial" w:eastAsia="MS Mincho" w:hAnsi="Arial" w:cs="Arial"/>
          <w:sz w:val="22"/>
          <w:szCs w:val="22"/>
        </w:rPr>
        <w:t>St.Luke's</w:t>
      </w:r>
      <w:proofErr w:type="spellEnd"/>
      <w:proofErr w:type="gramEnd"/>
      <w:r>
        <w:rPr>
          <w:rFonts w:ascii="Arial" w:eastAsia="MS Mincho" w:hAnsi="Arial" w:cs="Arial"/>
          <w:sz w:val="22"/>
          <w:szCs w:val="22"/>
        </w:rPr>
        <w:t xml:space="preserve"> </w:t>
      </w:r>
      <w:r w:rsidRPr="005C0D0C">
        <w:rPr>
          <w:rFonts w:ascii="Arial" w:eastAsia="MS Mincho" w:hAnsi="Arial" w:cs="Arial"/>
          <w:sz w:val="22"/>
          <w:szCs w:val="22"/>
        </w:rPr>
        <w:t>International Hospital</w:t>
      </w:r>
      <w:r>
        <w:rPr>
          <w:rFonts w:ascii="Arial" w:eastAsia="MS Mincho" w:hAnsi="Arial" w:cs="Arial"/>
          <w:sz w:val="22"/>
          <w:szCs w:val="22"/>
        </w:rPr>
        <w:t xml:space="preserve"> </w:t>
      </w:r>
    </w:p>
    <w:p w14:paraId="7795CEAD" w14:textId="6419AE4B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JCHO Shimonoseki Medical Center</w:t>
      </w:r>
    </w:p>
    <w:p w14:paraId="4840618A" w14:textId="67201634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Asahi General Hospital</w:t>
      </w:r>
    </w:p>
    <w:p w14:paraId="5500B589" w14:textId="65D74D76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Iida Municipal Hospital</w:t>
      </w:r>
    </w:p>
    <w:p w14:paraId="0FC38ED2" w14:textId="205FE941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proofErr w:type="spellStart"/>
      <w:r w:rsidRPr="005C0D0C">
        <w:rPr>
          <w:rFonts w:ascii="Arial" w:eastAsia="MS Mincho" w:hAnsi="Arial" w:cs="Arial"/>
          <w:sz w:val="22"/>
          <w:szCs w:val="22"/>
        </w:rPr>
        <w:t>Soen-Muneyasu</w:t>
      </w:r>
      <w:proofErr w:type="spellEnd"/>
      <w:r w:rsidRPr="005C0D0C">
        <w:rPr>
          <w:rFonts w:ascii="Arial" w:eastAsia="MS Mincho" w:hAnsi="Arial" w:cs="Arial"/>
          <w:sz w:val="22"/>
          <w:szCs w:val="22"/>
        </w:rPr>
        <w:t xml:space="preserve"> Eye Clinic</w:t>
      </w:r>
    </w:p>
    <w:p w14:paraId="1A84253A" w14:textId="030800D0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Shinshu University Hospital</w:t>
      </w:r>
    </w:p>
    <w:p w14:paraId="6513E99A" w14:textId="38D2E986" w:rsid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Okayama University Hospital</w:t>
      </w:r>
    </w:p>
    <w:p w14:paraId="0E558BA8" w14:textId="02A618DC" w:rsidR="005C0D0C" w:rsidRPr="005C0D0C" w:rsidRDefault="005C0D0C" w:rsidP="005C0D0C">
      <w:pPr>
        <w:pStyle w:val="Tablefigfootnotes"/>
        <w:spacing w:line="240" w:lineRule="auto"/>
        <w:rPr>
          <w:rFonts w:ascii="Arial" w:eastAsia="MS Mincho" w:hAnsi="Arial" w:cs="Arial"/>
          <w:sz w:val="22"/>
          <w:szCs w:val="22"/>
        </w:rPr>
      </w:pPr>
      <w:r w:rsidRPr="005C0D0C">
        <w:rPr>
          <w:rFonts w:ascii="Arial" w:eastAsia="MS Mincho" w:hAnsi="Arial" w:cs="Arial"/>
          <w:sz w:val="22"/>
          <w:szCs w:val="22"/>
        </w:rPr>
        <w:t>Kyushu University Hospital</w:t>
      </w:r>
    </w:p>
    <w:sectPr w:rsidR="005C0D0C" w:rsidRPr="005C0D0C" w:rsidSect="00E750A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5904C" w14:textId="77777777" w:rsidR="00DD314E" w:rsidRDefault="00DD314E" w:rsidP="00EE54E2">
      <w:pPr>
        <w:spacing w:line="240" w:lineRule="auto"/>
      </w:pPr>
      <w:r>
        <w:separator/>
      </w:r>
    </w:p>
  </w:endnote>
  <w:endnote w:type="continuationSeparator" w:id="0">
    <w:p w14:paraId="1CB60411" w14:textId="77777777" w:rsidR="00DD314E" w:rsidRDefault="00DD314E" w:rsidP="00EE5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177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3FE35" w14:textId="49B11E9B" w:rsidR="00D32A92" w:rsidRDefault="00D32A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01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B7334F4" w14:textId="77777777" w:rsidR="00D32A92" w:rsidRDefault="00D32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3AE4F" w14:textId="77777777" w:rsidR="00DD314E" w:rsidRDefault="00DD314E" w:rsidP="00EE54E2">
      <w:pPr>
        <w:spacing w:line="240" w:lineRule="auto"/>
      </w:pPr>
      <w:r>
        <w:separator/>
      </w:r>
    </w:p>
  </w:footnote>
  <w:footnote w:type="continuationSeparator" w:id="0">
    <w:p w14:paraId="322349DF" w14:textId="77777777" w:rsidR="00DD314E" w:rsidRDefault="00DD314E" w:rsidP="00EE54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07904"/>
    <w:multiLevelType w:val="hybridMultilevel"/>
    <w:tmpl w:val="8BBE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E2"/>
    <w:rsid w:val="000107F1"/>
    <w:rsid w:val="000129B7"/>
    <w:rsid w:val="00045442"/>
    <w:rsid w:val="000C18C5"/>
    <w:rsid w:val="001A4F46"/>
    <w:rsid w:val="001E0D61"/>
    <w:rsid w:val="002143E9"/>
    <w:rsid w:val="002809C0"/>
    <w:rsid w:val="002A5BD9"/>
    <w:rsid w:val="00320CE8"/>
    <w:rsid w:val="003803DE"/>
    <w:rsid w:val="0038200F"/>
    <w:rsid w:val="003B267B"/>
    <w:rsid w:val="003C1D68"/>
    <w:rsid w:val="0047449D"/>
    <w:rsid w:val="004D4280"/>
    <w:rsid w:val="004F2972"/>
    <w:rsid w:val="00516193"/>
    <w:rsid w:val="005A45DF"/>
    <w:rsid w:val="005C0005"/>
    <w:rsid w:val="005C0D0C"/>
    <w:rsid w:val="00666229"/>
    <w:rsid w:val="006730DB"/>
    <w:rsid w:val="007032A5"/>
    <w:rsid w:val="00791E17"/>
    <w:rsid w:val="007B4740"/>
    <w:rsid w:val="007B6EFB"/>
    <w:rsid w:val="007C20FB"/>
    <w:rsid w:val="007C4522"/>
    <w:rsid w:val="008579D6"/>
    <w:rsid w:val="0087694A"/>
    <w:rsid w:val="008D2E7C"/>
    <w:rsid w:val="009414BC"/>
    <w:rsid w:val="00941632"/>
    <w:rsid w:val="009431BC"/>
    <w:rsid w:val="009464F4"/>
    <w:rsid w:val="00964732"/>
    <w:rsid w:val="00A634B2"/>
    <w:rsid w:val="00A703E7"/>
    <w:rsid w:val="00A735A3"/>
    <w:rsid w:val="00A7478E"/>
    <w:rsid w:val="00B16053"/>
    <w:rsid w:val="00B843C1"/>
    <w:rsid w:val="00B9235D"/>
    <w:rsid w:val="00BB4838"/>
    <w:rsid w:val="00C10284"/>
    <w:rsid w:val="00C2718E"/>
    <w:rsid w:val="00C8566B"/>
    <w:rsid w:val="00CC48DD"/>
    <w:rsid w:val="00D16E06"/>
    <w:rsid w:val="00D32A92"/>
    <w:rsid w:val="00D6501A"/>
    <w:rsid w:val="00DB0C82"/>
    <w:rsid w:val="00DD314E"/>
    <w:rsid w:val="00E03701"/>
    <w:rsid w:val="00E24722"/>
    <w:rsid w:val="00E27D9E"/>
    <w:rsid w:val="00E750AD"/>
    <w:rsid w:val="00E9145B"/>
    <w:rsid w:val="00E94A67"/>
    <w:rsid w:val="00EC2048"/>
    <w:rsid w:val="00EE546A"/>
    <w:rsid w:val="00EE54E2"/>
    <w:rsid w:val="00F340FD"/>
    <w:rsid w:val="00F4109B"/>
    <w:rsid w:val="00FA2CCF"/>
    <w:rsid w:val="00FF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ECCB742"/>
  <w15:chartTrackingRefBased/>
  <w15:docId w15:val="{128258E4-2801-4610-A021-ADCC9E09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4E2"/>
    <w:pPr>
      <w:spacing w:after="0" w:line="480" w:lineRule="auto"/>
    </w:pPr>
    <w:rPr>
      <w:rFonts w:eastAsia="MS Mincho" w:cstheme="minorHAnsi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4E2"/>
    <w:pPr>
      <w:spacing w:before="36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4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E2"/>
    <w:rPr>
      <w:rFonts w:eastAsia="MS Mincho" w:cstheme="minorHAnsi"/>
      <w:b/>
      <w:sz w:val="24"/>
      <w:szCs w:val="24"/>
      <w:lang w:val="en-US" w:eastAsia="ja-JP"/>
    </w:rPr>
  </w:style>
  <w:style w:type="table" w:styleId="TableGrid">
    <w:name w:val="Table Grid"/>
    <w:basedOn w:val="TableNormal"/>
    <w:uiPriority w:val="1"/>
    <w:rsid w:val="00EE54E2"/>
    <w:pPr>
      <w:spacing w:before="120" w:after="0" w:line="240" w:lineRule="auto"/>
    </w:pPr>
    <w:rPr>
      <w:rFonts w:ascii="Calibri" w:eastAsia="MS Mincho" w:hAnsi="Calibri" w:cs="Times New Roman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ayerBodyTextFull">
    <w:name w:val="Bayer Body Text Full"/>
    <w:basedOn w:val="Normal"/>
    <w:link w:val="BayerBodyTextFullChar"/>
    <w:qFormat/>
    <w:rsid w:val="00EE54E2"/>
    <w:pPr>
      <w:spacing w:before="120" w:line="240" w:lineRule="auto"/>
    </w:pPr>
    <w:rPr>
      <w:rFonts w:ascii="Times New Roman" w:hAnsi="Times New Roman" w:cs="Times New Roman"/>
      <w:szCs w:val="20"/>
    </w:rPr>
  </w:style>
  <w:style w:type="character" w:customStyle="1" w:styleId="BayerBodyTextFullChar">
    <w:name w:val="Bayer Body Text Full Char"/>
    <w:basedOn w:val="DefaultParagraphFont"/>
    <w:link w:val="BayerBodyTextFull"/>
    <w:rsid w:val="00EE54E2"/>
    <w:rPr>
      <w:rFonts w:ascii="Times New Roman" w:eastAsia="MS Mincho" w:hAnsi="Times New Roman" w:cs="Times New Roman"/>
      <w:sz w:val="24"/>
      <w:szCs w:val="20"/>
      <w:lang w:val="en-US" w:eastAsia="ja-JP"/>
    </w:rPr>
  </w:style>
  <w:style w:type="paragraph" w:customStyle="1" w:styleId="Smalltext80">
    <w:name w:val="Smalltext8:0"/>
    <w:rsid w:val="00EE54E2"/>
    <w:pPr>
      <w:widowControl w:val="0"/>
      <w:autoSpaceDE w:val="0"/>
      <w:autoSpaceDN w:val="0"/>
      <w:adjustRightInd w:val="0"/>
      <w:spacing w:after="0" w:line="240" w:lineRule="auto"/>
      <w:ind w:left="539" w:hanging="539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Tablefigtitle">
    <w:name w:val="Table/fig title"/>
    <w:basedOn w:val="Heading2"/>
    <w:next w:val="Normal"/>
    <w:qFormat/>
    <w:rsid w:val="00EE54E2"/>
    <w:pPr>
      <w:keepNext w:val="0"/>
      <w:keepLines w:val="0"/>
      <w:spacing w:before="240" w:after="120" w:line="276" w:lineRule="auto"/>
    </w:pPr>
    <w:rPr>
      <w:rFonts w:asciiTheme="minorHAnsi" w:eastAsia="MS Mincho" w:hAnsiTheme="minorHAnsi" w:cstheme="minorHAnsi"/>
      <w:color w:val="auto"/>
      <w:sz w:val="24"/>
      <w:szCs w:val="24"/>
      <w:lang w:eastAsia="en-GB"/>
    </w:rPr>
  </w:style>
  <w:style w:type="paragraph" w:customStyle="1" w:styleId="Tablefigfootnotes">
    <w:name w:val="Table/fig footnotes"/>
    <w:basedOn w:val="Normal"/>
    <w:link w:val="TablefigfootnotesChar"/>
    <w:qFormat/>
    <w:rsid w:val="00EE54E2"/>
    <w:pPr>
      <w:spacing w:before="120" w:line="276" w:lineRule="auto"/>
    </w:pPr>
    <w:rPr>
      <w:rFonts w:eastAsia="SimSun"/>
      <w:sz w:val="20"/>
      <w:szCs w:val="18"/>
      <w:lang w:eastAsia="en-GB"/>
    </w:rPr>
  </w:style>
  <w:style w:type="character" w:customStyle="1" w:styleId="TablefigfootnotesChar">
    <w:name w:val="Table/fig footnotes Char"/>
    <w:basedOn w:val="DefaultParagraphFont"/>
    <w:link w:val="Tablefigfootnotes"/>
    <w:rsid w:val="00EE54E2"/>
    <w:rPr>
      <w:rFonts w:eastAsia="SimSun" w:cstheme="minorHAnsi"/>
      <w:sz w:val="20"/>
      <w:szCs w:val="1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4E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C82"/>
    <w:rPr>
      <w:rFonts w:ascii="Segoe UI" w:eastAsia="MS Mincho" w:hAnsi="Segoe UI" w:cs="Segoe UI"/>
      <w:sz w:val="18"/>
      <w:szCs w:val="18"/>
      <w:lang w:val="en-US" w:eastAsia="ja-JP"/>
    </w:rPr>
  </w:style>
  <w:style w:type="character" w:styleId="CommentReference">
    <w:name w:val="annotation reference"/>
    <w:uiPriority w:val="99"/>
    <w:unhideWhenUsed/>
    <w:rsid w:val="00B1605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05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053"/>
    <w:rPr>
      <w:rFonts w:eastAsia="MS Mincho" w:cstheme="minorHAnsi"/>
      <w:sz w:val="24"/>
      <w:szCs w:val="20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E750AD"/>
  </w:style>
  <w:style w:type="table" w:customStyle="1" w:styleId="TableGrid1">
    <w:name w:val="Table Grid1"/>
    <w:basedOn w:val="TableNormal"/>
    <w:next w:val="TableGrid"/>
    <w:uiPriority w:val="39"/>
    <w:rsid w:val="00E27D9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1"/>
    <w:rsid w:val="00320CE8"/>
    <w:pPr>
      <w:spacing w:before="120" w:after="0" w:line="240" w:lineRule="auto"/>
    </w:pPr>
    <w:rPr>
      <w:rFonts w:ascii="Calibri" w:eastAsia="MS Mincho" w:hAnsi="Calibri" w:cs="Times New Roman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320CE8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44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442"/>
    <w:rPr>
      <w:rFonts w:eastAsia="MS Mincho" w:cstheme="minorHAnsi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045442"/>
    <w:pPr>
      <w:spacing w:after="0" w:line="240" w:lineRule="auto"/>
    </w:pPr>
    <w:rPr>
      <w:rFonts w:eastAsia="MS Mincho" w:cstheme="minorHAnsi"/>
      <w:sz w:val="24"/>
      <w:szCs w:val="24"/>
      <w:lang w:val="en-US" w:eastAsia="ja-JP"/>
    </w:rPr>
  </w:style>
  <w:style w:type="table" w:customStyle="1" w:styleId="TableGrid3">
    <w:name w:val="Table Grid3"/>
    <w:basedOn w:val="TableNormal"/>
    <w:next w:val="TableGrid"/>
    <w:uiPriority w:val="39"/>
    <w:rsid w:val="003B267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2A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92"/>
    <w:rPr>
      <w:rFonts w:eastAsia="MS Mincho" w:cstheme="minorHAnsi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D32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92"/>
    <w:rPr>
      <w:rFonts w:eastAsia="MS Mincho" w:cstheme="minorHAnsi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D32A92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32A92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32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49176-BCE7-4277-94E0-44C9BABE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Lamb, Nick</dc:creator>
  <cp:keywords/>
  <dc:description/>
  <cp:lastModifiedBy>Mia Cahill</cp:lastModifiedBy>
  <cp:revision>7</cp:revision>
  <dcterms:created xsi:type="dcterms:W3CDTF">2020-01-24T09:25:00Z</dcterms:created>
  <dcterms:modified xsi:type="dcterms:W3CDTF">2020-01-30T09:22:00Z</dcterms:modified>
</cp:coreProperties>
</file>