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29E" w:rsidRPr="00655A9A" w:rsidRDefault="00B8029E" w:rsidP="00B8029E">
      <w:pPr>
        <w:spacing w:line="480" w:lineRule="auto"/>
        <w:rPr>
          <w:rFonts w:cs="Times New Roman"/>
          <w:b/>
          <w:lang w:val="en-US"/>
        </w:rPr>
      </w:pPr>
      <w:r w:rsidRPr="00655A9A">
        <w:rPr>
          <w:rFonts w:cs="Times New Roman"/>
          <w:b/>
          <w:lang w:val="en-US"/>
        </w:rPr>
        <w:t>Supplementary Appendix</w:t>
      </w:r>
    </w:p>
    <w:p w:rsidR="00B8029E" w:rsidRPr="00655A9A" w:rsidRDefault="00B8029E" w:rsidP="00B8029E">
      <w:pPr>
        <w:spacing w:line="480" w:lineRule="auto"/>
        <w:rPr>
          <w:rFonts w:cs="Times New Roman"/>
          <w:b/>
          <w:lang w:val="en-US"/>
        </w:rPr>
      </w:pPr>
      <w:r w:rsidRPr="00655A9A">
        <w:rPr>
          <w:rFonts w:cs="Times New Roman"/>
          <w:b/>
          <w:lang w:val="en-US"/>
        </w:rPr>
        <w:t>Methods</w:t>
      </w:r>
    </w:p>
    <w:p w:rsidR="00B8029E" w:rsidRPr="00655A9A" w:rsidRDefault="00B8029E" w:rsidP="00B8029E">
      <w:pPr>
        <w:spacing w:line="480" w:lineRule="auto"/>
        <w:rPr>
          <w:rFonts w:cs="Times New Roman"/>
          <w:i/>
          <w:lang w:val="en-US"/>
        </w:rPr>
      </w:pPr>
      <w:r w:rsidRPr="00655A9A">
        <w:rPr>
          <w:rFonts w:cs="Times New Roman"/>
          <w:i/>
          <w:lang w:val="en-US"/>
        </w:rPr>
        <w:t xml:space="preserve">Inconsistency </w:t>
      </w:r>
      <w:r>
        <w:rPr>
          <w:rFonts w:cs="Times New Roman"/>
          <w:i/>
          <w:lang w:val="en-US"/>
        </w:rPr>
        <w:t>T</w:t>
      </w:r>
      <w:r w:rsidRPr="00655A9A">
        <w:rPr>
          <w:rFonts w:cs="Times New Roman"/>
          <w:i/>
          <w:lang w:val="en-US"/>
        </w:rPr>
        <w:t>esting</w:t>
      </w:r>
    </w:p>
    <w:p w:rsidR="00B8029E" w:rsidRPr="00655A9A" w:rsidRDefault="00B8029E" w:rsidP="00B8029E">
      <w:pPr>
        <w:pStyle w:val="BodyText"/>
        <w:spacing w:line="480" w:lineRule="auto"/>
        <w:rPr>
          <w:rStyle w:val="BodyTextChar"/>
          <w:rFonts w:eastAsia="Arial" w:cs="Times New Roman"/>
          <w:lang w:val="en-US"/>
        </w:rPr>
      </w:pPr>
      <w:r w:rsidRPr="00655A9A">
        <w:rPr>
          <w:rFonts w:eastAsia="Arial" w:cs="Times New Roman"/>
          <w:lang w:val="en-US"/>
        </w:rPr>
        <w:t>For any pair of treatments AB which have been directly compared, approximate statistical tests can be obtained for the null hypothesis that there is no difference between direct and indirect evidence, i.e., there is no inconsistency as assessed by inconsistency factor (</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oMath>
      <w:r w:rsidRPr="00655A9A">
        <w:rPr>
          <w:rFonts w:eastAsia="Arial" w:cs="Times New Roman"/>
          <w:lang w:val="en-US"/>
        </w:rPr>
        <w:t xml:space="preserve"> = 0), by referring to the </w:t>
      </w:r>
      <w:r w:rsidRPr="00655A9A">
        <w:rPr>
          <w:rStyle w:val="BodyTextChar"/>
          <w:rFonts w:eastAsia="Arial" w:cs="Times New Roman"/>
          <w:lang w:val="en-US"/>
        </w:rPr>
        <w:t>test statistic</w:t>
      </w:r>
      <w:r>
        <w:rPr>
          <w:rStyle w:val="BodyTextChar"/>
          <w:rFonts w:eastAsia="Arial" w:cs="Times New Roman"/>
          <w:lang w:val="en-US"/>
        </w:rPr>
        <w:t>.</w:t>
      </w:r>
    </w:p>
    <w:p w:rsidR="00B8029E" w:rsidRPr="00655A9A" w:rsidRDefault="00B8029E" w:rsidP="00B8029E">
      <w:pPr>
        <w:pStyle w:val="BodyText"/>
        <w:spacing w:line="480" w:lineRule="auto"/>
        <w:rPr>
          <w:rFonts w:eastAsia="Arial" w:cs="Times New Roman"/>
          <w:lang w:val="en-US"/>
        </w:rPr>
      </w:pPr>
      <w:r w:rsidRPr="00655A9A">
        <w:rPr>
          <w:rFonts w:eastAsia="Arial" w:cs="Times New Roman"/>
          <w:lang w:val="en-US"/>
        </w:rPr>
        <w:t xml:space="preserve">In an NMA with the assumption that alongside estimate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Dir</m:t>
            </m:r>
          </m:sup>
        </m:sSubSup>
      </m:oMath>
      <w:r w:rsidRPr="00655A9A">
        <w:rPr>
          <w:rFonts w:eastAsia="Arial" w:cs="Times New Roman"/>
          <w:lang w:val="en-US"/>
        </w:rPr>
        <w:t xml:space="preserve"> based on direct evidence on some contrast (A,</w:t>
      </w:r>
      <w:r>
        <w:rPr>
          <w:rFonts w:eastAsia="Arial" w:cs="Times New Roman"/>
          <w:lang w:val="en-US"/>
        </w:rPr>
        <w:t xml:space="preserve"> </w:t>
      </w:r>
      <w:r w:rsidRPr="00655A9A">
        <w:rPr>
          <w:rFonts w:eastAsia="Arial" w:cs="Times New Roman"/>
          <w:lang w:val="en-US"/>
        </w:rPr>
        <w:t xml:space="preserve">B) within a connected evidence network on treatments …A, B, C, D,… with variance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V</m:t>
            </m:r>
          </m:e>
          <m:sub>
            <m:r>
              <w:rPr>
                <w:rFonts w:ascii="Cambria Math" w:eastAsia="Arial" w:hAnsi="Cambria Math" w:cs="Times New Roman"/>
                <w:lang w:val="en-US"/>
              </w:rPr>
              <m:t>AB</m:t>
            </m:r>
          </m:sub>
          <m:sup>
            <m:r>
              <w:rPr>
                <w:rFonts w:ascii="Cambria Math" w:eastAsia="Arial" w:hAnsi="Cambria Math" w:cs="Times New Roman"/>
                <w:lang w:val="en-US"/>
              </w:rPr>
              <m:t>Dir</m:t>
            </m:r>
          </m:sup>
        </m:sSubSup>
      </m:oMath>
      <w:r w:rsidRPr="00655A9A">
        <w:rPr>
          <w:rFonts w:eastAsia="Arial" w:cs="Times New Roman"/>
          <w:lang w:val="en-US"/>
        </w:rPr>
        <w:t xml:space="preserve">, an overall NMA synthesis based on </w:t>
      </w:r>
      <w:r>
        <w:rPr>
          <w:rFonts w:eastAsia="Arial" w:cs="Times New Roman"/>
          <w:lang w:val="en-US"/>
        </w:rPr>
        <w:t xml:space="preserve">the </w:t>
      </w:r>
      <w:r w:rsidRPr="00655A9A">
        <w:rPr>
          <w:rFonts w:eastAsia="Arial" w:cs="Times New Roman"/>
          <w:lang w:val="en-US"/>
        </w:rPr>
        <w:t xml:space="preserve">entire network of evidence produces an estimate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MTC</m:t>
            </m:r>
          </m:sup>
        </m:sSubSup>
      </m:oMath>
      <w:r w:rsidRPr="00655A9A">
        <w:rPr>
          <w:rFonts w:eastAsia="Arial" w:cs="Times New Roman"/>
          <w:lang w:val="en-US"/>
        </w:rPr>
        <w:t xml:space="preserve"> with posterior variance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V</m:t>
            </m:r>
          </m:e>
          <m:sub>
            <m:r>
              <w:rPr>
                <w:rFonts w:ascii="Cambria Math" w:eastAsia="Arial" w:hAnsi="Cambria Math" w:cs="Times New Roman"/>
                <w:lang w:val="en-US"/>
              </w:rPr>
              <m:t>AB</m:t>
            </m:r>
          </m:sub>
          <m:sup>
            <m:r>
              <w:rPr>
                <w:rFonts w:ascii="Cambria Math" w:eastAsia="Arial" w:hAnsi="Cambria Math" w:cs="Times New Roman"/>
                <w:lang w:val="en-US"/>
              </w:rPr>
              <m:t>MTC</m:t>
            </m:r>
          </m:sup>
        </m:sSubSup>
      </m:oMath>
      <w:r w:rsidRPr="00655A9A">
        <w:rPr>
          <w:rFonts w:eastAsia="Arial" w:cs="Times New Roman"/>
          <w:lang w:val="en-US"/>
        </w:rPr>
        <w:t xml:space="preserve">. Here,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MTC</m:t>
            </m:r>
          </m:sup>
        </m:sSubSup>
      </m:oMath>
      <w:r w:rsidRPr="00655A9A">
        <w:rPr>
          <w:rFonts w:eastAsia="Arial" w:cs="Times New Roman"/>
          <w:lang w:val="en-US"/>
        </w:rPr>
        <w:t xml:space="preserve"> is an inverse-weighted average of the direct estimate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Dir</m:t>
            </m:r>
          </m:sup>
        </m:sSubSup>
      </m:oMath>
      <w:r w:rsidRPr="00655A9A">
        <w:rPr>
          <w:rFonts w:eastAsia="Arial" w:cs="Times New Roman"/>
          <w:lang w:val="en-US"/>
        </w:rPr>
        <w:t xml:space="preserve"> and indirect estimate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Rest</m:t>
            </m:r>
          </m:sup>
        </m:sSubSup>
      </m:oMath>
      <w:r w:rsidRPr="00655A9A">
        <w:rPr>
          <w:rFonts w:eastAsia="Arial" w:cs="Times New Roman"/>
          <w:lang w:val="en-US"/>
        </w:rPr>
        <w:t xml:space="preserve">. The difference between direct and indirect estimate, </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oMath>
      <w:r w:rsidRPr="00655A9A">
        <w:rPr>
          <w:rFonts w:eastAsia="Arial" w:cs="Times New Roman"/>
          <w:lang w:val="en-US"/>
        </w:rPr>
        <w:t xml:space="preserve"> =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Dir</m:t>
            </m:r>
          </m:sup>
        </m:sSubSup>
      </m:oMath>
      <w:r w:rsidRPr="00655A9A">
        <w:rPr>
          <w:rFonts w:eastAsia="Arial" w:cs="Times New Roman"/>
          <w:lang w:val="en-US"/>
        </w:rPr>
        <w:t xml:space="preserve"> – </w:t>
      </w:r>
      <m:oMath>
        <m:sSubSup>
          <m:sSubSupPr>
            <m:ctrlPr>
              <w:rPr>
                <w:rFonts w:ascii="Cambria Math" w:eastAsia="Arial" w:hAnsi="Cambria Math" w:cs="Times New Roman"/>
                <w:i/>
                <w:lang w:val="en-US"/>
              </w:rPr>
            </m:ctrlPr>
          </m:sSubSupPr>
          <m:e>
            <m:r>
              <w:rPr>
                <w:rFonts w:ascii="Cambria Math" w:eastAsia="Arial" w:hAnsi="Cambria Math" w:cs="Times New Roman"/>
                <w:lang w:val="en-US"/>
              </w:rPr>
              <m:t>d</m:t>
            </m:r>
          </m:e>
          <m:sub>
            <m:r>
              <w:rPr>
                <w:rFonts w:ascii="Cambria Math" w:eastAsia="Arial" w:hAnsi="Cambria Math" w:cs="Times New Roman"/>
                <w:lang w:val="en-US"/>
              </w:rPr>
              <m:t>AB</m:t>
            </m:r>
          </m:sub>
          <m:sup>
            <m:r>
              <w:rPr>
                <w:rFonts w:ascii="Cambria Math" w:eastAsia="Arial" w:hAnsi="Cambria Math" w:cs="Times New Roman"/>
                <w:lang w:val="en-US"/>
              </w:rPr>
              <m:t>Rest</m:t>
            </m:r>
          </m:sup>
        </m:sSubSup>
      </m:oMath>
      <w:r w:rsidRPr="00655A9A">
        <w:rPr>
          <w:rFonts w:eastAsia="Arial" w:cs="Times New Roman"/>
          <w:lang w:val="en-US"/>
        </w:rPr>
        <w:t xml:space="preserve"> can be considered as an estimate of inconsistency, which can be used to construct the test statistics in Equation 1.</w:t>
      </w:r>
    </w:p>
    <w:p w:rsidR="00B8029E" w:rsidRPr="00655A9A" w:rsidRDefault="00F95AE1" w:rsidP="00B8029E">
      <w:pPr>
        <w:spacing w:before="240" w:after="120" w:line="480" w:lineRule="auto"/>
        <w:jc w:val="center"/>
        <w:rPr>
          <w:rFonts w:eastAsia="Arial" w:cs="Times New Roman"/>
          <w:lang w:val="en-US"/>
        </w:rPr>
      </w:pP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z</m:t>
            </m:r>
          </m:e>
          <m:sub>
            <m:r>
              <w:rPr>
                <w:rFonts w:ascii="Cambria Math" w:eastAsia="Arial" w:hAnsi="Cambria Math" w:cs="Times New Roman"/>
                <w:lang w:val="en-US"/>
              </w:rPr>
              <m:t>AB</m:t>
            </m:r>
          </m:sub>
        </m:sSub>
      </m:oMath>
      <w:r w:rsidR="00B8029E" w:rsidRPr="00655A9A">
        <w:rPr>
          <w:rFonts w:eastAsia="Arial" w:cs="Times New Roman"/>
          <w:lang w:val="en-US"/>
        </w:rPr>
        <w:t xml:space="preserve"> = </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oMath>
      <w:r w:rsidR="00B8029E" w:rsidRPr="00655A9A">
        <w:rPr>
          <w:rFonts w:eastAsia="Arial" w:cs="Times New Roman"/>
          <w:lang w:val="en-US"/>
        </w:rPr>
        <w:t>/</w:t>
      </w:r>
      <m:oMath>
        <m:rad>
          <m:radPr>
            <m:degHide m:val="1"/>
            <m:ctrlPr>
              <w:rPr>
                <w:rFonts w:ascii="Cambria Math" w:eastAsia="Arial" w:hAnsi="Cambria Math" w:cs="Times New Roman"/>
                <w:i/>
                <w:lang w:val="en-US"/>
              </w:rPr>
            </m:ctrlPr>
          </m:radPr>
          <m:deg/>
          <m:e>
            <m:r>
              <w:rPr>
                <w:rFonts w:ascii="Cambria Math" w:eastAsia="Arial" w:hAnsi="Cambria Math" w:cs="Times New Roman"/>
                <w:lang w:val="en-US"/>
              </w:rPr>
              <m:t>Var(</m:t>
            </m:r>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r>
              <m:rPr>
                <m:sty m:val="p"/>
              </m:rPr>
              <w:rPr>
                <w:rFonts w:ascii="Cambria Math" w:eastAsia="Arial" w:hAnsi="Cambria Math" w:cs="Times New Roman"/>
                <w:lang w:val="en-US"/>
              </w:rPr>
              <m:t>)</m:t>
            </m:r>
          </m:e>
        </m:rad>
      </m:oMath>
      <w:r w:rsidR="00B8029E">
        <w:rPr>
          <w:rFonts w:eastAsia="Arial" w:cs="Times New Roman"/>
          <w:lang w:val="en-US"/>
        </w:rPr>
        <w:t xml:space="preserve">                     </w:t>
      </w:r>
      <w:r w:rsidR="00B8029E" w:rsidRPr="00655A9A">
        <w:rPr>
          <w:rFonts w:eastAsia="Arial" w:cs="Times New Roman"/>
          <w:lang w:val="en-US"/>
        </w:rPr>
        <w:t xml:space="preserve"> (Equation 1)</w:t>
      </w:r>
    </w:p>
    <w:p w:rsidR="00B8029E" w:rsidRPr="00655A9A" w:rsidRDefault="00B8029E" w:rsidP="00B8029E">
      <w:pPr>
        <w:spacing w:before="240" w:after="120" w:line="480" w:lineRule="auto"/>
        <w:jc w:val="both"/>
        <w:rPr>
          <w:rFonts w:eastAsia="Arial" w:cs="Times New Roman"/>
          <w:lang w:val="en-US"/>
        </w:rPr>
      </w:pPr>
      <w:r w:rsidRPr="00655A9A">
        <w:rPr>
          <w:rFonts w:eastAsia="Arial" w:cs="Times New Roman"/>
          <w:lang w:val="en-US"/>
        </w:rPr>
        <w:t>For any set of three treatments A, B, and C, it can be confirmed that:</w:t>
      </w:r>
    </w:p>
    <w:p w:rsidR="00B8029E" w:rsidRPr="00655A9A" w:rsidRDefault="00B8029E" w:rsidP="00B8029E">
      <w:pPr>
        <w:spacing w:before="240" w:after="120" w:line="480" w:lineRule="auto"/>
        <w:jc w:val="center"/>
        <w:rPr>
          <w:rFonts w:eastAsia="Arial" w:cs="Times New Roman"/>
          <w:lang w:val="en-US"/>
        </w:rPr>
      </w:pPr>
      <w:r w:rsidRPr="00655A9A">
        <w:rPr>
          <w:rFonts w:eastAsia="Arial" w:cs="Times New Roman"/>
          <w:lang w:val="en-US"/>
        </w:rPr>
        <w:t>│</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BC</m:t>
            </m:r>
          </m:sub>
        </m:sSub>
      </m:oMath>
      <w:r w:rsidRPr="00655A9A">
        <w:rPr>
          <w:rFonts w:eastAsia="Arial" w:cs="Times New Roman"/>
          <w:lang w:val="en-US"/>
        </w:rPr>
        <w:t>│ = │</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AC</m:t>
            </m:r>
          </m:sub>
        </m:sSub>
      </m:oMath>
      <w:r w:rsidRPr="00655A9A">
        <w:rPr>
          <w:rFonts w:eastAsia="Arial" w:cs="Times New Roman"/>
          <w:lang w:val="en-US"/>
        </w:rPr>
        <w:t>│ = │</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oMath>
      <w:r w:rsidRPr="00655A9A">
        <w:rPr>
          <w:rFonts w:eastAsia="Arial" w:cs="Times New Roman"/>
          <w:lang w:val="en-US"/>
        </w:rPr>
        <w:t>│ and Var(</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BC</m:t>
            </m:r>
          </m:sub>
        </m:sSub>
      </m:oMath>
      <w:r w:rsidRPr="00655A9A">
        <w:rPr>
          <w:rFonts w:eastAsia="Arial" w:cs="Times New Roman"/>
          <w:lang w:val="en-US"/>
        </w:rPr>
        <w:t>) = Var(</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AC</m:t>
            </m:r>
          </m:sub>
        </m:sSub>
      </m:oMath>
      <w:r w:rsidRPr="00655A9A">
        <w:rPr>
          <w:rFonts w:eastAsia="Arial" w:cs="Times New Roman"/>
          <w:lang w:val="en-US"/>
        </w:rPr>
        <w:t>) = Var(</w:t>
      </w:r>
      <m:oMath>
        <m:sSub>
          <m:sSubPr>
            <m:ctrlPr>
              <w:rPr>
                <w:rFonts w:ascii="Cambria Math" w:eastAsia="Arial" w:hAnsi="Cambria Math" w:cs="Times New Roman"/>
                <w:lang w:val="en-US"/>
              </w:rPr>
            </m:ctrlPr>
          </m:sSubPr>
          <m:e>
            <m:r>
              <m:rPr>
                <m:sty m:val="p"/>
              </m:rPr>
              <w:rPr>
                <w:rFonts w:ascii="Cambria Math" w:eastAsia="Arial" w:hAnsi="Cambria Math" w:cs="Times New Roman"/>
                <w:lang w:val="en-US"/>
              </w:rPr>
              <m:t>ω</m:t>
            </m:r>
          </m:e>
          <m:sub>
            <m:r>
              <w:rPr>
                <w:rFonts w:ascii="Cambria Math" w:eastAsia="Arial" w:hAnsi="Cambria Math" w:cs="Times New Roman"/>
                <w:lang w:val="en-US"/>
              </w:rPr>
              <m:t>AB</m:t>
            </m:r>
          </m:sub>
        </m:sSub>
      </m:oMath>
      <w:r w:rsidRPr="00655A9A">
        <w:rPr>
          <w:rFonts w:eastAsia="Arial" w:cs="Times New Roman"/>
          <w:lang w:val="en-US"/>
        </w:rPr>
        <w:t>)</w:t>
      </w:r>
    </w:p>
    <w:p w:rsidR="00B8029E" w:rsidRPr="00655A9A" w:rsidRDefault="00B8029E" w:rsidP="00B8029E">
      <w:pPr>
        <w:spacing w:before="240" w:after="120" w:line="480" w:lineRule="auto"/>
        <w:jc w:val="both"/>
        <w:rPr>
          <w:rFonts w:eastAsia="Arial" w:cs="Times New Roman"/>
          <w:lang w:val="en-US"/>
        </w:rPr>
      </w:pPr>
      <w:r w:rsidRPr="00655A9A">
        <w:rPr>
          <w:rFonts w:eastAsia="Arial" w:cs="Times New Roman"/>
          <w:lang w:val="en-US"/>
        </w:rPr>
        <w:t>This implies that the same absolute measure of inconsistency and the same test result will be obtained, whichever edge of t</w:t>
      </w:r>
      <w:r>
        <w:rPr>
          <w:rFonts w:eastAsia="Arial" w:cs="Times New Roman"/>
          <w:lang w:val="en-US"/>
        </w:rPr>
        <w:t>he triangle is being looked at.</w:t>
      </w:r>
    </w:p>
    <w:p w:rsidR="00B8029E" w:rsidRPr="00655A9A" w:rsidRDefault="00B8029E" w:rsidP="00B8029E">
      <w:pPr>
        <w:spacing w:line="480" w:lineRule="auto"/>
        <w:rPr>
          <w:rFonts w:cs="Times New Roman"/>
          <w:b/>
          <w:lang w:val="en-US"/>
        </w:rPr>
      </w:pPr>
      <w:r w:rsidRPr="00655A9A">
        <w:rPr>
          <w:rFonts w:cs="Times New Roman"/>
          <w:b/>
          <w:lang w:val="en-US"/>
        </w:rPr>
        <w:br w:type="page"/>
      </w:r>
    </w:p>
    <w:p w:rsidR="00B8029E" w:rsidRPr="00655A9A" w:rsidRDefault="00B8029E" w:rsidP="00B8029E">
      <w:pPr>
        <w:pStyle w:val="Heading1"/>
        <w:rPr>
          <w:b w:val="0"/>
          <w:lang w:val="en-US"/>
        </w:rPr>
      </w:pPr>
      <w:r w:rsidRPr="00655A9A">
        <w:rPr>
          <w:lang w:val="en-US"/>
        </w:rPr>
        <w:lastRenderedPageBreak/>
        <w:t>Table S1</w:t>
      </w:r>
      <w:r w:rsidRPr="00655A9A">
        <w:rPr>
          <w:b w:val="0"/>
          <w:lang w:val="en-US"/>
        </w:rPr>
        <w:t xml:space="preserve"> Electronic search strategies</w:t>
      </w:r>
    </w:p>
    <w:tbl>
      <w:tblPr>
        <w:tblStyle w:val="TableGrid2"/>
        <w:tblW w:w="5000" w:type="pct"/>
        <w:tblLook w:val="0020" w:firstRow="1" w:lastRow="0" w:firstColumn="0" w:lastColumn="0" w:noHBand="0" w:noVBand="0"/>
      </w:tblPr>
      <w:tblGrid>
        <w:gridCol w:w="545"/>
        <w:gridCol w:w="8471"/>
      </w:tblGrid>
      <w:tr w:rsidR="00B8029E" w:rsidRPr="00655A9A" w:rsidTr="00FF3C32">
        <w:tc>
          <w:tcPr>
            <w:tcW w:w="302"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w:t>
            </w:r>
          </w:p>
        </w:tc>
        <w:tc>
          <w:tcPr>
            <w:tcW w:w="4698"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Embase</w:t>
            </w:r>
            <w:r w:rsidRPr="00655A9A">
              <w:rPr>
                <w:rStyle w:val="BodyText-SuperScript-H14"/>
                <w:rFonts w:ascii="Times New Roman" w:hAnsi="Times New Roman"/>
                <w:color w:val="auto"/>
                <w:lang w:val="en-US"/>
              </w:rPr>
              <w:t>®</w:t>
            </w:r>
            <w:r w:rsidRPr="00655A9A">
              <w:rPr>
                <w:rFonts w:ascii="Times New Roman" w:hAnsi="Times New Roman"/>
                <w:color w:val="auto"/>
                <w:lang w:val="en-US"/>
              </w:rPr>
              <w:t xml:space="preserve"> and MEDLINE</w:t>
            </w:r>
            <w:r w:rsidRPr="00655A9A">
              <w:rPr>
                <w:rStyle w:val="BodyText-SuperScript-H14"/>
                <w:rFonts w:ascii="Times New Roman" w:hAnsi="Times New Roman"/>
                <w:color w:val="auto"/>
                <w:lang w:val="en-US"/>
              </w:rPr>
              <w:t>®</w:t>
            </w:r>
            <w:r w:rsidRPr="00655A9A">
              <w:rPr>
                <w:rFonts w:ascii="Times New Roman" w:hAnsi="Times New Roman"/>
                <w:color w:val="auto"/>
                <w:lang w:val="en-US"/>
              </w:rPr>
              <w:t xml:space="preserve"> search strategy</w:t>
            </w:r>
          </w:p>
        </w:tc>
      </w:tr>
      <w:tr w:rsidR="00B8029E" w:rsidRPr="00655A9A" w:rsidTr="00FF3C32">
        <w:tc>
          <w:tcPr>
            <w:tcW w:w="302"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#1</w:t>
            </w:r>
          </w:p>
        </w:tc>
        <w:tc>
          <w:tcPr>
            <w:tcW w:w="4698"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'clinical trial'/exp</w:t>
            </w:r>
          </w:p>
        </w:tc>
      </w:tr>
      <w:tr w:rsidR="00B8029E" w:rsidRPr="00655A9A" w:rsidTr="00FF3C32">
        <w:tc>
          <w:tcPr>
            <w:tcW w:w="302"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#2</w:t>
            </w:r>
          </w:p>
        </w:tc>
        <w:tc>
          <w:tcPr>
            <w:tcW w:w="4698"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'randomization'/de</w:t>
            </w:r>
          </w:p>
        </w:tc>
      </w:tr>
      <w:tr w:rsidR="00B8029E" w:rsidRPr="00655A9A" w:rsidTr="00FF3C32">
        <w:tc>
          <w:tcPr>
            <w:tcW w:w="302"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#3</w:t>
            </w:r>
          </w:p>
        </w:tc>
        <w:tc>
          <w:tcPr>
            <w:tcW w:w="4698"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'controlled study'/de</w:t>
            </w:r>
          </w:p>
        </w:tc>
      </w:tr>
      <w:tr w:rsidR="00B8029E" w:rsidRPr="00655A9A" w:rsidTr="00FF3C32">
        <w:tc>
          <w:tcPr>
            <w:tcW w:w="302"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#4</w:t>
            </w:r>
          </w:p>
        </w:tc>
        <w:tc>
          <w:tcPr>
            <w:tcW w:w="4698"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'comparative study'/de</w:t>
            </w:r>
          </w:p>
        </w:tc>
      </w:tr>
      <w:tr w:rsidR="00B8029E" w:rsidRPr="00655A9A" w:rsidTr="00FF3C32">
        <w:tc>
          <w:tcPr>
            <w:tcW w:w="302"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#5</w:t>
            </w:r>
          </w:p>
        </w:tc>
        <w:tc>
          <w:tcPr>
            <w:tcW w:w="4698"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'single blind procedure'/de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#6</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'double blind procedure'/de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#7</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'crossover procedure'/de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#8</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'placebo'/de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#9</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'clinical trial' OR 'clinical trials'</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#10</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'controlled clinical trial' OR 'controlled clinical trials'</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#11</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'randomised controlled trial' OR 'randomized controlled trial' OR 'randomised controlled trials' OR 'randomized controlled trials'</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#12</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'randomisation' OR 'randomization' OR random*</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#13</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Rct</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#14</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'random allocation' OR 'random assignment'</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#15</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'randomly allocated' OR 'randomly assigned'</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#16</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'allocated randomly' OR 'assigned randomly'</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#17</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allocated NEAR/2 random OR assign* NEAR/2 random* </w:t>
            </w:r>
            <w:r w:rsidRPr="00172ED2">
              <w:rPr>
                <w:rFonts w:ascii="Times New Roman" w:hAnsi="Times New Roman"/>
                <w:lang w:val="en-US"/>
              </w:rPr>
              <w:t>OR randomi*</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#18</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(single OR double OR triple OR treble) NEAR/1 (blind* OR mask*)</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#19</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placebo*</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#20</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'prospective study'/de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#21</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 OR #2 OR #3 OR #4 OR #5 OR #6 OR #7 OR #8 OR #9 OR #10 OR #11 OR #12 OR #13 OR #14 OR #15 OR #16 OR #17 OR #18 OR #19 OR #20</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#22</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'case study'/de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#23</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'case report'</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#24</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'abstract report'/de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#25</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'letter'/de</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#26</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#22 OR #23 OR #24 OR #25</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#21 NOT #26</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#28</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'chronic obstructive lung disease'/syn OR 'chronic bronchitis'/syn OR 'emphysema'/syn OR (chronic* NEAR/3 bronchiti*):ab,ti OR (obstruct* NEAR/3 (pulmonary OR lung* OR airway* OR airflow* OR bronch* OR respirat*)):ab,ti</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#29</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'inhaled corticosteroids' OR (steroid* OR glucocorticoid* OR corticosteroid*) NEAR/3 inhal* OR ics:ab,ti</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#30</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'triamcinolone'/syn OR triaderm OR trilone OR tristoject OR tricortone OR azmacort OR ultrahaler</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#31</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'betamethasone'/syn OR 'mometasone'/syn OR qab149 OR twisthaler OR 'fluticasone'/syn OR flunase OR thoreus OR atemur OR flixonase OR flutivate OR flutinase OR flovent OR flonase OR flixotide OR accuhaler OR diskhaler OR diskus OR surehaler OR rotadisk OR nebules OR allermist OR avamys OR veramyst OR 'budesonide'/syn OR activaero OR budenobronch OR giona OR modulite OR nebuamp OR respules OR obucort OR swinghaler OR flexhaler OR easyhaler OR 'beclometasone'/syn OR clickhaler OR aerobec OR aerocort OR asmabec OR beclazone OR beclojet OR beclomet OR becloturmant OR ventolair OR clenil OR pulvinal OR ecobec OR sanasthmax OR junik OR qvar OR 'flunisolide'/syn OR flunitec OR nisolid OR 'ciclesonide'/syn OR omnair OR zetonna OR ultrahaler OR 'dexamethasone cipecilate'/syn</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#32</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'beta adrenergic receptor stimulating agent'/de OR bronchodilat* NEAR/2 'long acting' OR laba:ab,ti OR (beta* NEXT/2 (agonist* OR adrenergic*) OR 'β2 agonist' AND 'long acting')</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#33</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'salmeterol'/syn OR accuhaler OR aeromax OR diskhaler OR diskus OR salmetador OR serevent OR serobid OR ultrabeta OR 'formoterol'/syn OR aformoterol OR certihaleri OR aerolizer OR atimos OR atock OR brovana OR foradil OR foradile OR forair OR fordilen OR innovata OR perforomist OR oxese OR turbuhaler OR novolizer OR orion OR skyhaler OR 'bambuterol'/syn OR 'indacaterol'/syn OR breezhaler OR neohaler OR 'olodaterol'/syn OR 'abediterol'/syn OR 'clenbuterol'/syn OR 'vilanterol'/syn OR 'arformoterol'/syn</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#34</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'muscarinic receptor blocking agent'/de OR (anti NEAR/2 musca* OR musca* NEAR/2 antagon* AND 'long acting')</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#35</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'tiotropium bromide'/syn OR handihaler OR respimat OR taifun OR 'aclidinium bromide'/syn OR 'oxitropium bromide'/syn OR tersigan OR ventox OR 'glycopyrronium bromide'/syn OR vectura OR 'umeclidinium'/syn OR pt00</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lastRenderedPageBreak/>
              <w:t>#36</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'fluticasone furoate plus vilanterol'/syn OR 'budesonide plus formoterol'/syn OR turb?haler OR rilast OR vannair OR foracort OR 'fluticasone propionate plus salmeterol'/syn OR foxair OR seretide OR atmadisc OR accuhaler OR evohaler OR diskus OR 'formoterol fumarate plus mometasone furoate'/syn OR zenhale OR 'fluticasone propionate plus formoterol fumarate'/syn OR 'beclometasone dipropionate plus formoterol fumarate'/syn OR innovair OR foster OR modulite OR 'beclometasone/formoterol' OR 'mometasone plus indacaterol' OR 'qmf 149' OR mometasone NEAR/2 indacaterol OR pt003 OR formoterol NEAR/2 (glycopyrrolate OR glycopyrronium) OR 'umeclidinium plus vilanterol'/syn OR pt010 OR  'glycopyrronium bromide plus indacaterol'/syn</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#37</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#29 OR #30 OR #31 OR #32 OR #33 OR #34 OR #35 OR #36</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#38</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 AND #28 AND #37</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#39</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 AND #28 AND #37 AND [animals]/lim</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#40</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 AND #28 AND #37 AND ([conference review]/lim OR [editorial]/lim OR [letter]/lim OR [note]/lim OR [review]/lim OR [short survey]/lim)</w:t>
            </w:r>
          </w:p>
        </w:tc>
      </w:tr>
      <w:tr w:rsidR="00B8029E" w:rsidRPr="00655A9A" w:rsidTr="00FF3C32">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#41</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#39 OR #40</w:t>
            </w:r>
          </w:p>
        </w:tc>
      </w:tr>
      <w:tr w:rsidR="00B8029E" w:rsidRPr="00655A9A" w:rsidTr="00FF3C32">
        <w:trPr>
          <w:trHeight w:val="46"/>
        </w:trPr>
        <w:tc>
          <w:tcPr>
            <w:tcW w:w="302"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#42</w:t>
            </w:r>
          </w:p>
        </w:tc>
        <w:tc>
          <w:tcPr>
            <w:tcW w:w="4698"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#38 NOT #41 </w:t>
            </w:r>
          </w:p>
        </w:tc>
      </w:tr>
    </w:tbl>
    <w:p w:rsidR="00B8029E" w:rsidRPr="00655A9A" w:rsidRDefault="00B8029E" w:rsidP="00B8029E">
      <w:pPr>
        <w:pStyle w:val="Caption"/>
        <w:rPr>
          <w:lang w:val="en-US"/>
        </w:rPr>
      </w:pPr>
    </w:p>
    <w:tbl>
      <w:tblPr>
        <w:tblStyle w:val="TableGrid2"/>
        <w:tblW w:w="5000" w:type="pct"/>
        <w:tblLook w:val="0020" w:firstRow="1" w:lastRow="0" w:firstColumn="0" w:lastColumn="0" w:noHBand="0" w:noVBand="0"/>
      </w:tblPr>
      <w:tblGrid>
        <w:gridCol w:w="561"/>
        <w:gridCol w:w="8455"/>
      </w:tblGrid>
      <w:tr w:rsidR="00B8029E" w:rsidRPr="00655A9A" w:rsidTr="00FF3C32">
        <w:tc>
          <w:tcPr>
            <w:tcW w:w="311"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w:t>
            </w:r>
          </w:p>
        </w:tc>
        <w:tc>
          <w:tcPr>
            <w:tcW w:w="4689"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Cochrane search strategy</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[Pulmonary Disease, Chronic Obstructive]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[Bronchitis, Chronic]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[Emphysema]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(chronic* near/3 bronchiti*):ti,ab,kw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(emphysema* or copd or coad):ti,ab,kw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(obstruct* near/3 (pulmonary or lung* or airway* or airflow* or bronch* or respirat*)):ti,ab,kw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#1 or #2 or #3 or #4 or #5 or #6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inhaled corticosteroids or (steroid* or glucocorticoid* or corticosteroid*) near/3 inhal* or ics:ti,ab,kw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[Triamcinolone]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triaderm or trilone or tristoject or tricortone or azmacort or ultrahaler or cetocot or adcortyl or aristocort or aristodan or azmacor or celeste or "cl 19823" or cl19823 or clinacort or clinalog or delphicort or fluoxiprednisolone or fluoxyprednisolone or "ken-jec 40" or kenacort or korticoid or ledercort or omcilon or polcortolon or "rp 8357" or rp8357 or simacort or sterocort or "tac 3" or triamcinolon* or triacortyl or triam-a or triam-forte or triamcort or "triamonide 40" or triamsicort or triancinolon or u-tri-lone or volon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[Betamethasone]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#12</w:t>
            </w:r>
          </w:p>
        </w:tc>
        <w:tc>
          <w:tcPr>
            <w:tcW w:w="4689"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 xml:space="preserve">betametaso* or bethametaso* or betamethaso* or bethamethso* or adbeon or becasone or benoson or beprogel or betacortril or betadexamethasone or betamethazone or betason or betnasol or betnelan or betnesol or "betnovate a" or betsolon or betsopart or celestan or celeston* or cidoten or dermobet or diprolen or flubenisolone or methasone or "nsc 39470" or nsc39470 or "rg 833" or rg833 or rinderon or "sch 4831" or sch4831 or walacort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#13</w:t>
            </w:r>
          </w:p>
        </w:tc>
        <w:tc>
          <w:tcPr>
            <w:tcW w:w="4689"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 xml:space="preserve">mometasone or mometaid or "qab149" or twisthaler or "allermax aqueous" or asmanex or dermotasone or dermovel or ecural or elica or elocom or elocon or elomet or eloson or flumeta or mefurosan or metaspray or momate or mometasone or monovel or morecort or motaderm or nasonex or novasone or rinelon or rivelon or "sch 32088" or sch32088 or uniclar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#14</w:t>
            </w:r>
          </w:p>
        </w:tc>
        <w:tc>
          <w:tcPr>
            <w:tcW w:w="4689"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 xml:space="preserve">fluticasone or flutaide or flixovate or flunase or thoreus or atemur or flixonase or flutivate or flutinase or flovent or flonase or flixotide or accuhaler or diskhaler or diskus or surehaler or rotadisk or reohaler or nebules or allermist or avamys or veramyst or furamist or 685698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#15</w:t>
            </w:r>
          </w:p>
        </w:tc>
        <w:tc>
          <w:tcPr>
            <w:tcW w:w="4689"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MeSH descriptor: [Budesonide]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#16</w:t>
            </w:r>
          </w:p>
        </w:tc>
        <w:tc>
          <w:tcPr>
            <w:tcW w:w="4689" w:type="pct"/>
          </w:tcPr>
          <w:p w:rsidR="00B8029E" w:rsidRPr="00655A9A" w:rsidRDefault="00B8029E" w:rsidP="00FF3C32">
            <w:pPr>
              <w:pStyle w:val="TableBodyText-H54"/>
              <w:rPr>
                <w:rFonts w:ascii="Times New Roman" w:hAnsi="Times New Roman"/>
                <w:color w:val="auto"/>
                <w:lang w:val="en-US"/>
              </w:rPr>
            </w:pPr>
            <w:r w:rsidRPr="00655A9A">
              <w:rPr>
                <w:rFonts w:ascii="Times New Roman" w:hAnsi="Times New Roman"/>
                <w:color w:val="auto"/>
                <w:lang w:val="en-US"/>
              </w:rPr>
              <w:t xml:space="preserve">activaero or budenobronch or giona or modulite or nebuamp or respules or obucort or swinghaler or flexhaler or turbuhaler or easyhaler or allercort or aquacort or budecol or budecort or budefat or budeflam or "budenase aq" or budenoside or budes or budeson or budiair or "budicort respules" or budon or bunase or butacort or clebudan or cycortide or "desona nasal" or dexbudesonide or duasma or eltair or entocort or esonide or "giona easyhaler" or inflammide or inflanaze or "map 0010" or map0010 or miflonide or neo-rinactive or novopulmon or numark or olfex or preferid or pulmaxan or pulmicon susp for nebulizer or pulmicort or pulmoliseflam or pulmotide or respicort or rhinocort or "s 1320" or s1320 or spirocort or uceris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[Beclomethasone]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clickhaler or aerobec or aerocort or asmabec or beclazone or beclojet or beclomet or becloturmant or ventolair or clenil or pulvinal or ecobec or sanasthmax or junik or qvar or beclomethasone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flunisolide or flunitec or nisolid or rinhalar or aerobid or "aerobid m" or aerospan or "aerospan hfa" or bronalide or bronilide or cyntaris or flunitec or gibiflu or inhacort or locasyn or lokilan or "lunibron a" or lunis or nasalide or nasarel or rhinalar or "rs 3999" or rs3999 or sanergal or synaclyn or syntaris or "val 679" or val679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ciclesonide or omnair or zetonna or tbn15 or "tbn 15" or ultrahaler or alvesco or "b 9207 015" or "b 9207015" or "b9207 015" or b9207015 or "by 9010" or by9010 or omnaris or zetonna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[Dexamethasone]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erizas or st126 or "st 126" or "ns 126" or "ns 126c" or ns126 or ns126c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lastRenderedPageBreak/>
              <w:t>#23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[Adrenergic beta-2 Receptor Agonists]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bronchodilat* near/2 "long acting" or laba:ti,ab,kw or (beta* next/2 (agonist* or adrenergic*) or "β2 agonist" and "long acting")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salmeterol or accuhaler or aeromax or diskhaler or diskus or salmetador or serevent or serobid or ultrabeta or perforomist or beglan or "gr 33343x"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formoterol or aformoterol or certihaleri or aerolizer or atimos or atock or brovana or foradil or foradile or forair or fordilen or innovata or perforomist or oxese or turbuhaler or novolizer or orion or skyhaler or eformoterol or oxis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bambuterol or levobambuterol or laevobambuterol or rbambuterol or "r bambuterol" or bambec or oxeol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indacaterol or breezhaler or neohaler or arcapta or "hirobriz breezhaler" or onbrez or onbrez breezhaler or "oslif breezhaler" or "qab 149" or qab149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olodaterol or respimat or "bi 1744" or "bi 1744 cl" or bi1744 </w:t>
            </w:r>
          </w:p>
        </w:tc>
      </w:tr>
      <w:tr w:rsidR="00B8029E" w:rsidRPr="00AF187C"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#30</w:t>
            </w:r>
          </w:p>
        </w:tc>
        <w:tc>
          <w:tcPr>
            <w:tcW w:w="4689" w:type="pct"/>
          </w:tcPr>
          <w:p w:rsidR="00B8029E" w:rsidRPr="00181830" w:rsidRDefault="00B8029E" w:rsidP="00FF3C32">
            <w:pPr>
              <w:pStyle w:val="TableBodyText-H54"/>
              <w:rPr>
                <w:rFonts w:ascii="Times New Roman" w:hAnsi="Times New Roman"/>
                <w:lang w:val="es-ES"/>
              </w:rPr>
            </w:pPr>
            <w:r w:rsidRPr="00181830">
              <w:rPr>
                <w:rFonts w:ascii="Times New Roman" w:hAnsi="Times New Roman"/>
                <w:lang w:val="es-ES"/>
              </w:rPr>
              <w:t xml:space="preserve">abediterol or "las 100977" or las100977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clenbuterol or clenasma or clenbutol or contrasmina or contraspasmin or monores or "nab 365" or novegan or "p 5369" or planipart or prontovent or spiropent or ventipulmin or ventolase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vilanterol or "gsk 642444" or gsk642444 or "gw 642444" or gw642444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Arformoterol or brovana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[Clenbuterol]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[Muscarinic Antagonists]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anti near/2 musca* or musca* near/2 antagon* and "long acting"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tiotropium or handihaler or respimat or tiova or taifun or "ba 679 br" or "ba679 br" or spiriva or "tiova rotacaps"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aclidinium or bretaris or eklira or "las 34273" or las34273 or tudorza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oxitropium or tersigan or pulsigan or ventox or "ba 253" or "ba 253 br" or ba253 or "ba253 br" or oxivent or oxytropium or tersigat or ventilat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MeSH descriptor: [Glycopyrrolate] explode all trees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glycopyrronium or vectura or "ad 237" or ad237 or "ahr 504" or ahr504 or cuvposa or enurev or gastrodyn or glersa or glycopyrrolate or glycopyrronium or mobinul or nodapton or "nva 237" or nva237 or robinal or robinol or robinul or "robinul v" or seebri or sroton or strodin or tarodyl or tarodyn or tovanor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umeclidinium or sk-573719 or gsk-573719a or "gsk 573719" or "gsk 573719a" or gsk573719 or gsk573719a or incruse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fluticasone furoate plus vilanterol or "vilanterol plus fluticasone" or breo or "breo ellipta" or relovair or relvar or "relvar ellipta" or "revinty ellipta"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budesonide plus formoterol or turbuhaler or turbohaler or rilast or vannair or budoxis or foracort or multihaler or "biresp spiromax" or "budesonide-formoterol" or "budesonide/formoterol" or "duoresp spiromax" or "formoterol-budesonide" or "formoterol plus budesonide" or "formoterol/budesonide" or "symbicort"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fluticasone propionate plus salmeterol or foxair or seretide or atmadisc or accuhaler or evohaler or diskus or advair or atmadisc or fluticasone-salmeterol or "fluticasone propionate - salmeterol combination" or "fluticasone propionate salmeterol combination" or "fluticasone salmeterol" or "salmeterol plus fluticasone propionate" or viani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formoterol fumarate plus mometasone furoate or zenhale or dulera or "formoterol fumarate-mometasone furoate" or "formoterol fumarate and mometasone furoate" or "formoterol fumarate/mometasone furoate" or "mometasone furoate-formoterol fumarate" or "mometasone furoate and formoterol fumarate" or "mometasone furoate plus formoterol fumarate" or "mometasone furoate/formoterol fumarate"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fluticasone propionate plus formoterol fumarate or avessa or flofera or flutiform or flutiformo or "formoterol fumarate plus fluticasone propionate" or iffeza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beclometasone dipropionate plus formoterol fumarate or innovair or foster or modulite or "formoterol fumarate dihydrate plus beclometasone dipropionate" or "formoterol fumarate plus beclometasone dipropionate" or fostair or inuvair or kantos or "beclometasone/formoterol"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PT003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mometasone plus indacaterol or "QMF 149" or QMF149 or "mometasone/indacaterol"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formoterol near/2 (glycopyrrolate or glycopyrronium) or "umeclidinium plus vilanterol" or anoro or "anoro ellipta" or laventair or "umeclidinium-vilanterol" or "umeclidinium/vilanterol" or "vilanterol-umeclidinium" or "vilanterol plus umeclidinium" or "vilanterol/umeclidinium" or "umeclidinium/vilanterol"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GSK961081 or "GSK 961081" or "td 5959" or td5959 or "thrx 198321" or thrx198321 or "las 190792" or las190792 or "gsk 256066" or "sk-256066" or "gsk-256066b" or "gsk 256066b" or gsk256066 or gsk256066b or "glycopyrronium bromide plus indacaterol" or "indacaterol plus glycopyrronium" or "qva 149" or "qva 149a" or qva149 or qva149a or ultibro or ulunar or breezhaler or xoterna or "glycopyrronium/indacaterol" or "indacaterol/glycopyrronium"  or PT010</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#8 or #9 or #10 or #11 or #12 or #13 or #14 or #15 or #16 or #17 or #18 or #19 or #20 or #21 or #22 or #23 or #24 or #25 or #26 or #27 or #28 or #29 or #30 or #31 or #32 or #33 or #34 or #35 or #36 or #37 or #38 or #39 or #40 or #41 or #42 or #43 or #44 or #45 or #46 or #47 or #48 or #49 or #50 or #51 or #52</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 xml:space="preserve">#7 and #53 </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#54, in Trials (CENTRAL)</w:t>
            </w:r>
          </w:p>
        </w:tc>
      </w:tr>
    </w:tbl>
    <w:p w:rsidR="00B8029E" w:rsidRPr="00655A9A" w:rsidRDefault="00B8029E" w:rsidP="00B8029E">
      <w:pPr>
        <w:pStyle w:val="Caption"/>
        <w:rPr>
          <w:lang w:val="en-US"/>
        </w:rPr>
      </w:pPr>
    </w:p>
    <w:tbl>
      <w:tblPr>
        <w:tblStyle w:val="TableGrid2"/>
        <w:tblW w:w="5000" w:type="pct"/>
        <w:tblLook w:val="0020" w:firstRow="1" w:lastRow="0" w:firstColumn="0" w:lastColumn="0" w:noHBand="0" w:noVBand="0"/>
      </w:tblPr>
      <w:tblGrid>
        <w:gridCol w:w="561"/>
        <w:gridCol w:w="8455"/>
      </w:tblGrid>
      <w:tr w:rsidR="00B8029E" w:rsidRPr="00655A9A" w:rsidTr="00FF3C32">
        <w:tc>
          <w:tcPr>
            <w:tcW w:w="311"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w:t>
            </w:r>
          </w:p>
        </w:tc>
        <w:tc>
          <w:tcPr>
            <w:tcW w:w="4689" w:type="pct"/>
          </w:tcPr>
          <w:p w:rsidR="00B8029E" w:rsidRPr="00655A9A" w:rsidRDefault="00B8029E" w:rsidP="00FF3C32">
            <w:pPr>
              <w:pStyle w:val="TableHeading-H56"/>
              <w:rPr>
                <w:rFonts w:ascii="Times New Roman" w:hAnsi="Times New Roman"/>
                <w:color w:val="auto"/>
                <w:lang w:val="en-US"/>
              </w:rPr>
            </w:pPr>
            <w:r w:rsidRPr="00655A9A">
              <w:rPr>
                <w:rFonts w:ascii="Times New Roman" w:hAnsi="Times New Roman"/>
                <w:color w:val="auto"/>
                <w:lang w:val="en-US"/>
              </w:rPr>
              <w:t>MEDLINE</w:t>
            </w:r>
            <w:r w:rsidRPr="00655A9A">
              <w:rPr>
                <w:rStyle w:val="BodyText-SuperScript-H14"/>
                <w:rFonts w:ascii="Times New Roman" w:hAnsi="Times New Roman"/>
                <w:color w:val="auto"/>
                <w:lang w:val="en-US"/>
              </w:rPr>
              <w:t>®</w:t>
            </w:r>
            <w:r w:rsidRPr="00655A9A">
              <w:rPr>
                <w:rFonts w:ascii="Times New Roman" w:hAnsi="Times New Roman"/>
                <w:color w:val="auto"/>
                <w:lang w:val="en-US"/>
              </w:rPr>
              <w:t xml:space="preserve"> InProcess search strategy</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“chronic obstructive lung disease”</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(“chronic bronchitis” OR emphysema)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(chronic*) AND bronchiti*</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(obstruct*[Title/Abstract]) AND (pulmonary OR lung* OR airway* OR airflow* OR bronch* OR respirat*[Title/Abstract])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#1 OR #2 OR #3 OR #4</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(“inhaled corticosteroids” OR ics)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((steroid* OR glucocorticoid* OR corticosteroid*)) AND inhal*</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(triamcinolone OR triaderm OR trilone OR tristoject OR tricortone OR azmacort OR ultrahaler OR cetocot OR adcortyl OR aristocort OR aristodan OR azmacor OR celeste OR “cl 19823” OR cl19823 OR clinacort OR clinalog OR delphicort OR fluoxiprednisolone OR fluoxyprednisolone OR “ken-jec 40” OR kenacort OR korticoid OR ledercort OR omcilon OR polcortolon OR “rp 8357” OR rp8357 OR simacort OR sterocort OR “tac 3” OR triamcinolon* OR triacortyl OR triam-a OR triam-forte OR triamcort OR “triamonide 40” OR triamsicort OR triancinolon OR u-tri-lone OR volon)</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(betamethasone OR betametaso* OR bethametaso* OR betamethaso* OR bethamethso* OR adbeon OR becasone OR benoson OR beprogel OR betacortril OR betadexamethasone OR betamethazone OR betason OR betnasol OR betnelan OR betnesol OR “betnovate a” OR betsolon OR betsopart OR celestan OR celeston* OR cidoten OR dermobet OR diprolen OR flubenisolone OR methasone OR “nsc 39470” OR nsc39470 OR “rg 833” OR rg833 OR rinderon OR “sch 4831” OR sch4831 OR walacort)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(mometasone OR mometaid OR “qab149” OR twisthaler OR “allermax aqueous” OR asmanex OR dermotasone OR dermovel OR ecural OR elica OR elocom OR elocon OR elomet OR eloson OR flumeta OR mefurosan OR metaspray OR momate OR mometasone OR monovel OR morecort OR motaderm OR nasonex OR novasone OR rinelon OR rivelon OR “sch 32088” OR sch32088 OR uniclar)</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(fluticasone OR flutaide OR flixovate OR flunase OR thoreus OR atemur OR flixonase OR flutivate OR flutinase OR flovent OR flonase OR flixotide OR accuhaler OR diskhaler OR diskus OR surehaler OR rotadisk OR reohaler OR nebules OR allermist OR avamys OR veramyst OR furamist OR 685698)</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(budesonide OR activaero OR budenobronch OR giona OR modulite OR nebuamp OR respules OR obucort OR swinghaler OR flexhaler OR turbuhaler OR easyhaler OR allercort OR aquacort OR budecol OR budecort OR budefat OR budeflam OR “budenase aq” OR budenoside OR budes OR budeson OR budiair OR “budicort respules” OR budon OR bunase OR butacort OR clebudan OR cycortide OR “desona nasal” OR dexbudesonide OR duasma OR eltair OR entocort OR entocort ec OR esonide OR giona easyhaler OR inflammide OR inflanaze OR map 0010 OR map0010 OR miflonide OR miflonide inhaler OR neo-rinactive OR novopulmon OR numark OR olfex OR olfex bucal OR preferid OR pulmaxan OR pulmicon susp for nebulizer OR pulmicort OR pulmoliseflam OR pulmotide OR respicort OR rhinocort OR rhinocort aqua OR rhinocort aqueous OR rhinocort hayfever OR “s 1320” OR s1320 OR spirocort OR uceris)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(beclometasone OR clickhaler OR aerobec OR aerocort OR asmabec OR beclazone OR beclojet OR beclomet OR becloturmant OR ventolair OR clenil OR pulvinal OR ecobec OR sanasthmax OR junik OR qvar OR beclomethasone)</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(flunisolide OR flunitec OR nisolid OR rinhalar OR aerobid OR “aerobid m” OR aerospan OR “aerospan hfa” OR bronalide OR bronilide OR cyntaris OR flunitec OR gibiflu OR inhacort OR locasyn OR lokilan OR “lunibron a” OR lunis OR nasalide OR nasarel OR rhinalar OR “rs 3999” OR rs3999 OR sanergal OR synaclyn OR syntaris OR “val 679” OR val679)</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(ciclesonide OR omnair OR zetonna OR tbn15 OR “tbn 15” OR ultrahaler OR alvesco OR “b 9207 015” OR “b 9207015” OR “b9207 015” OR b9207015 OR “by 9010” OR by9010 OR omnaris OR zetonna)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(dexamethasone OR erizas OR st126 OR “st 126” OR “ns 126” OR “ns 126c” OR ns126 OR ns126c)</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“beta adrenergic receptor stimulating agent”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(bronchodilat*) AND “long acting”</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#19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laba[Title/Abstract]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((beta* AND (agonist* OR adrenergic*) OR “β2 agonist”) AND “long acting”)</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salmeterol OR accuhaler OR aeromax OR diskhaler OR diskus OR salmetador OR serevent OR serobid OR ultrabeta OR perforomist OR beglan OR “gr 33343x”</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(formoterol OR aformoterol OR certihaleri OR aerolizer OR atimos OR atock OR brovana OR foradil OR foradile OR forair OR fordilen OR innovata OR perforomist OR oxese OR turbuhaler OR novolizer OR orion OR skyhaler OR eformoterol OR oxis)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(bambuterol OR levobambuterol OR laevobambuterol OR rbambuterol OR “r bambuterol” OR bambec OR oxeol)</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(indacaterol OR breezhaler OR neohaler OR arcapta OR “hirobriz breezhaler” OR onbrez OR onbrez breezhaler OR “oslif breezhaler” OR “qab 149” OR qab149)</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(olodaterol OR respimat OR “bi 1744” OR “bi 1744 cl” OR bi1744)</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(abediterol OR “las 100977” OR las100977)</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(clenbuterol OR clenasma OR clenbutol OR contrasmina OR contraspasmin OR monores OR “nab 365” OR novegan OR “p 5369” OR planipart OR prontovent OR spiropent OR ventipulmin OR ventolase)</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#28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(vilanterol OR “gsk 642444” OR gsk642444 OR “gw 642444” OR gw642444)</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lastRenderedPageBreak/>
              <w:t>#29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(Arformoterol or brovana)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“muscarinic receptor blocking agent”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(((anti AND musca*) OR (musca* AND antagon*)) AND “long acting”)</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(tiotropium OR handihaler OR respimat OR tiova OR taifun OR “ba 679 br” OR “ba679 br” OR spiriva OR “tiova rotacaps”)</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(aclidinium OR bretaris OR eklira OR “las 34273” OR las34273 OR tudorza)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(oxitropium OR tersigan OR pulsigan OR ventox OR “ba 253” OR “ba 253 br” OR ba253 OR “ba253 br” OR oxivent OR oxytropium OR tersigat OR ventilat)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(glycopyrronium OR vectura OR “ad 237” OR ad237 OR “ahr 504” OR ahr504 OR cuvposa OR enurev OR gastrodyn OR glersa OR glycopyrrolate OR glycopyrronium OR mobinul OR nodapton OR “nva 237” OR nva237 OR robinal OR robinol OR robinul OR “robinul v” OR seebri OR sroton OR strodin OR tarodyl OR tarodyn OR tovanor)</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(umeclidinium OR sk-573719 OR gsk-573719a OR “gsk 573719” OR “gsk 573719a” OR gsk573719 OR gsk573719a OR incruse)</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(“fluticasone furoate plus vilanterol” OR “vilanterol plus fluticasone” OR breo OR “breo ellipta” OR relovair OR relvar OR “relvar ellipta” OR “revinty ellipta”)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(“budesonide plus formoterol” OR turbuhaler OR turbohaler OR rilast OR vannair OR budoxis OR foracort OR multihaler OR “biresp spiromax” OR budesonide-formoterol OR budesonide/formoterol OR “duoresp spiromax” OR formoterol-budesonide OR “formoterol plus budesonide” OR formoterol/budesonide OR symbicort)</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#39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(“fluticasone propionate plus salmeterol” OR foxair OR seretide OR atmadisc OR accuhaler OR evohaler OR diskus OR advair OR atmadisc OR fluticasone-salmeterol OR “fluticasone propionate - salmeterol combination” OR “fluticasone propionate salmeterol combination” OR “fluticasone salmeterol” OR “salmeterol plus fluticasone propionate” OR viani)</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(“formoterol fumarate plus mometasone furoate” OR zenhale OR dulera OR “formoterol fumarate-mometasone furoate” OR “formoterol fumarate and mometasone furoate” OR “formoterol fumarate/mometasone furoate” OR “mometasone furoate-formoterol fumarate” OR “mometasone furoate and formoterol fumarate” OR “mometasone furoate plus formoterol fumarate” OR mometasone furoate/formoterol fumarate)</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#41</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(“fluticasone propionate plus formoterol fumarate” OR avessa OR flofera OR flutiform OR flutiformo OR “formoterol fumarate plus fluticasone propionate” OR iffeza)</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#42</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(“beclometasone dipropionate plus formoterol fumarate” OR innovair OR foster OR modulite OR “formoterol fumarate dihydrate plus beclometasone dipropionate” OR “formoterol fumarate plus beclometasone dipropionate” OR fostair OR inuvair OR kantos OR beclometasone/formoterol)</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#43</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(mometasone plus indacaterol” OR “QMF 149” OR QMF149 OR “mometasone/indacaterol”)</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#44</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PT003</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#45</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(Formoterol) AND (glycopyrrolate OR glycopyrronium)</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#46</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(“umeclidinium plus vilanterol” OR anoro OR “anoro ellipta” OR laventair OR “umeclidinium-vilanterol” OR umeclidinium/vilanterol OR “vilanterol-umeclidinium” OR “vilanterol plus umeclidinium” OR “vilanterol/umeclidinium” OR “umeclidinium/vilanterol”)</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#47</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PT010</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#48</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#6 OR #7 OR #8 OR #9 OR #10 OR #11 OR #12 OR #13 OR #14 OR #15 OR #16 OR #17 OR #18 OR #19 OR #20 OR #21 OR #22 OR #23 OR #24 OR #25 OR #26 OR #27 OR #28 OR #29 OR #30 OR #31 OR #32 OR #33 OR #34 OR #35 OR #36 OR #37 OR #38 OR #39 OR #40 OR #41 OR #42 OR #43 OR #44 OR #45 OR #46 OR #47</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#49</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#5 AND #48</w:t>
            </w:r>
          </w:p>
        </w:tc>
      </w:tr>
      <w:tr w:rsidR="00B8029E" w:rsidRPr="00655A9A" w:rsidTr="00FF3C32">
        <w:tc>
          <w:tcPr>
            <w:tcW w:w="311"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#50</w:t>
            </w:r>
          </w:p>
        </w:tc>
        <w:tc>
          <w:tcPr>
            <w:tcW w:w="4689" w:type="pct"/>
          </w:tcPr>
          <w:p w:rsidR="00B8029E" w:rsidRPr="00655A9A" w:rsidRDefault="00B8029E" w:rsidP="00FF3C32">
            <w:pPr>
              <w:pStyle w:val="TableBodyText-H54"/>
              <w:rPr>
                <w:rFonts w:ascii="Times New Roman" w:hAnsi="Times New Roman"/>
                <w:lang w:val="en-US"/>
              </w:rPr>
            </w:pPr>
            <w:r w:rsidRPr="00655A9A">
              <w:rPr>
                <w:rFonts w:ascii="Times New Roman" w:hAnsi="Times New Roman"/>
                <w:lang w:val="en-US"/>
              </w:rPr>
              <w:t>Search #49 AND (inprocess[sb] OR pubstatusaheadofprint)</w:t>
            </w:r>
          </w:p>
        </w:tc>
      </w:tr>
    </w:tbl>
    <w:p w:rsidR="00B8029E" w:rsidRPr="00655A9A" w:rsidRDefault="00B8029E" w:rsidP="00B8029E">
      <w:pPr>
        <w:pStyle w:val="CommentText"/>
        <w:rPr>
          <w:lang w:val="en-US"/>
        </w:rPr>
      </w:pPr>
    </w:p>
    <w:p w:rsidR="00B8029E" w:rsidRPr="00655A9A" w:rsidRDefault="00B8029E" w:rsidP="00B8029E">
      <w:pPr>
        <w:spacing w:line="259" w:lineRule="auto"/>
        <w:rPr>
          <w:sz w:val="20"/>
          <w:szCs w:val="20"/>
          <w:lang w:val="en-US"/>
        </w:rPr>
        <w:sectPr w:rsidR="00B8029E" w:rsidRPr="00655A9A" w:rsidSect="00FA7031">
          <w:pgSz w:w="11906" w:h="16838"/>
          <w:pgMar w:top="1440" w:right="1440" w:bottom="1440" w:left="1440" w:header="709" w:footer="709" w:gutter="0"/>
          <w:cols w:space="708"/>
          <w:docGrid w:linePitch="360"/>
        </w:sectPr>
      </w:pPr>
      <w:r w:rsidRPr="00655A9A">
        <w:rPr>
          <w:sz w:val="20"/>
          <w:szCs w:val="20"/>
          <w:lang w:val="en-US"/>
        </w:rPr>
        <w:br w:type="page"/>
      </w:r>
    </w:p>
    <w:p w:rsidR="00B8029E" w:rsidRPr="00655A9A" w:rsidRDefault="00B8029E" w:rsidP="00B8029E">
      <w:pPr>
        <w:rPr>
          <w:b/>
          <w:lang w:val="en-US"/>
        </w:rPr>
      </w:pPr>
      <w:r w:rsidRPr="00655A9A">
        <w:rPr>
          <w:b/>
          <w:lang w:val="en-US"/>
        </w:rPr>
        <w:lastRenderedPageBreak/>
        <w:t xml:space="preserve">Table S2 </w:t>
      </w:r>
      <w:r w:rsidRPr="00655A9A">
        <w:rPr>
          <w:lang w:val="en-US"/>
        </w:rPr>
        <w:t xml:space="preserve">List of outcomes </w:t>
      </w:r>
      <w:r w:rsidRPr="009935BC">
        <w:rPr>
          <w:lang w:val="en-US"/>
        </w:rPr>
        <w:t>reported at the time points of interest across included</w:t>
      </w:r>
      <w:r w:rsidRPr="00655A9A">
        <w:rPr>
          <w:lang w:val="en-US"/>
        </w:rPr>
        <w:t xml:space="preserve"> studies</w:t>
      </w:r>
    </w:p>
    <w:tbl>
      <w:tblPr>
        <w:tblW w:w="5248" w:type="pct"/>
        <w:tblInd w:w="-2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43"/>
        <w:gridCol w:w="665"/>
        <w:gridCol w:w="665"/>
        <w:gridCol w:w="668"/>
        <w:gridCol w:w="667"/>
        <w:gridCol w:w="667"/>
        <w:gridCol w:w="667"/>
        <w:gridCol w:w="667"/>
        <w:gridCol w:w="667"/>
        <w:gridCol w:w="667"/>
        <w:gridCol w:w="667"/>
        <w:gridCol w:w="667"/>
        <w:gridCol w:w="667"/>
        <w:gridCol w:w="667"/>
        <w:gridCol w:w="667"/>
        <w:gridCol w:w="667"/>
        <w:gridCol w:w="667"/>
        <w:gridCol w:w="667"/>
        <w:gridCol w:w="650"/>
      </w:tblGrid>
      <w:tr w:rsidR="00B8029E" w:rsidRPr="00655A9A" w:rsidTr="00FF3C32">
        <w:trPr>
          <w:cantSplit/>
          <w:trHeight w:val="1918"/>
          <w:tblHeader/>
        </w:trPr>
        <w:tc>
          <w:tcPr>
            <w:tcW w:w="903" w:type="pct"/>
            <w:shd w:val="clear" w:color="auto" w:fill="auto"/>
            <w:tcMar>
              <w:top w:w="0" w:type="dxa"/>
              <w:left w:w="108" w:type="dxa"/>
              <w:bottom w:w="0" w:type="dxa"/>
              <w:right w:w="108" w:type="dxa"/>
            </w:tcMar>
            <w:vAlign w:val="center"/>
            <w:hideMark/>
          </w:tcPr>
          <w:p w:rsidR="00B8029E" w:rsidRPr="00655A9A" w:rsidRDefault="00B8029E" w:rsidP="00FF3C32">
            <w:pPr>
              <w:pStyle w:val="TableHeading-H56"/>
              <w:spacing w:before="0" w:line="360" w:lineRule="auto"/>
              <w:rPr>
                <w:rFonts w:ascii="Times New Roman" w:hAnsi="Times New Roman"/>
                <w:sz w:val="18"/>
                <w:szCs w:val="18"/>
                <w:lang w:val="en-US" w:eastAsia="en-GB"/>
              </w:rPr>
            </w:pPr>
            <w:r w:rsidRPr="00E21772">
              <w:rPr>
                <w:rFonts w:ascii="Times New Roman" w:hAnsi="Times New Roman"/>
                <w:color w:val="auto"/>
                <w:sz w:val="18"/>
                <w:szCs w:val="18"/>
                <w:lang w:val="en-US" w:eastAsia="en-GB"/>
              </w:rPr>
              <w:t>Outcome</w:t>
            </w:r>
          </w:p>
        </w:tc>
        <w:tc>
          <w:tcPr>
            <w:tcW w:w="227"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Aaron 2007 </w:t>
            </w:r>
            <w:r>
              <w:rPr>
                <w:rFonts w:ascii="Times New Roman" w:hAnsi="Times New Roman"/>
                <w:noProof/>
                <w:sz w:val="18"/>
                <w:szCs w:val="18"/>
                <w:lang w:val="en-US" w:eastAsia="en-GB"/>
              </w:rPr>
              <w:t>[1]</w:t>
            </w:r>
            <w:r w:rsidRPr="00655A9A">
              <w:rPr>
                <w:rFonts w:ascii="Times New Roman" w:hAnsi="Times New Roman"/>
                <w:sz w:val="18"/>
                <w:szCs w:val="18"/>
                <w:lang w:val="en-US" w:eastAsia="en-GB"/>
              </w:rPr>
              <w:t xml:space="preserve"> </w:t>
            </w:r>
          </w:p>
        </w:tc>
        <w:tc>
          <w:tcPr>
            <w:tcW w:w="227"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Bremner 2018 </w:t>
            </w:r>
            <w:r>
              <w:rPr>
                <w:rFonts w:ascii="Times New Roman" w:hAnsi="Times New Roman"/>
                <w:noProof/>
                <w:sz w:val="18"/>
                <w:szCs w:val="18"/>
                <w:lang w:val="en-US" w:eastAsia="en-GB"/>
              </w:rPr>
              <w:t>[2]</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color w:val="FF0000"/>
                <w:sz w:val="18"/>
                <w:szCs w:val="18"/>
                <w:lang w:val="en-US" w:eastAsia="en-GB"/>
              </w:rPr>
            </w:pPr>
            <w:r w:rsidRPr="00655A9A">
              <w:rPr>
                <w:rFonts w:ascii="Times New Roman" w:hAnsi="Times New Roman"/>
                <w:sz w:val="18"/>
                <w:szCs w:val="18"/>
                <w:lang w:val="en-US" w:eastAsia="en-GB"/>
              </w:rPr>
              <w:t xml:space="preserve">FULFIL </w:t>
            </w:r>
            <w:r>
              <w:rPr>
                <w:rFonts w:ascii="Times New Roman" w:hAnsi="Times New Roman"/>
                <w:noProof/>
                <w:sz w:val="18"/>
                <w:szCs w:val="18"/>
                <w:lang w:val="en-US" w:eastAsia="en-GB"/>
              </w:rPr>
              <w:t>[3]</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Hanania 2012 </w:t>
            </w:r>
            <w:r>
              <w:rPr>
                <w:rFonts w:ascii="Times New Roman" w:hAnsi="Times New Roman"/>
                <w:noProof/>
                <w:sz w:val="18"/>
                <w:szCs w:val="18"/>
                <w:lang w:val="en-US" w:eastAsia="en-GB"/>
              </w:rPr>
              <w:t>[4]</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IMPACT </w:t>
            </w:r>
            <w:r>
              <w:rPr>
                <w:rFonts w:ascii="Times New Roman" w:hAnsi="Times New Roman"/>
                <w:noProof/>
                <w:sz w:val="18"/>
                <w:szCs w:val="18"/>
                <w:lang w:val="en-US" w:eastAsia="en-GB"/>
              </w:rPr>
              <w:t>[5]</w:t>
            </w:r>
          </w:p>
        </w:tc>
        <w:tc>
          <w:tcPr>
            <w:tcW w:w="228" w:type="pct"/>
            <w:shd w:val="clear" w:color="auto" w:fill="auto"/>
            <w:tcMar>
              <w:top w:w="0" w:type="dxa"/>
              <w:left w:w="108" w:type="dxa"/>
              <w:bottom w:w="0" w:type="dxa"/>
              <w:right w:w="108" w:type="dxa"/>
            </w:tcMar>
            <w:textDirection w:val="btLr"/>
            <w:vAlign w:val="center"/>
            <w:hideMark/>
          </w:tcPr>
          <w:p w:rsidR="00B8029E" w:rsidRPr="00DC46CB" w:rsidRDefault="00B8029E" w:rsidP="00FF3C32">
            <w:pPr>
              <w:pStyle w:val="TableBodyText-H54"/>
              <w:spacing w:before="0" w:line="360" w:lineRule="auto"/>
              <w:ind w:left="113" w:right="113"/>
              <w:jc w:val="center"/>
              <w:rPr>
                <w:rFonts w:ascii="Times New Roman" w:hAnsi="Times New Roman"/>
                <w:color w:val="auto"/>
                <w:sz w:val="18"/>
                <w:szCs w:val="18"/>
                <w:lang w:val="en-US" w:eastAsia="en-GB"/>
              </w:rPr>
            </w:pPr>
            <w:r w:rsidRPr="00DC46CB">
              <w:rPr>
                <w:rFonts w:ascii="Times New Roman" w:hAnsi="Times New Roman"/>
                <w:color w:val="auto"/>
                <w:sz w:val="18"/>
                <w:szCs w:val="18"/>
                <w:lang w:val="en-US" w:eastAsia="en-GB"/>
              </w:rPr>
              <w:t xml:space="preserve">Jung 2012 </w:t>
            </w:r>
            <w:r>
              <w:rPr>
                <w:rFonts w:ascii="Times New Roman" w:hAnsi="Times New Roman"/>
                <w:noProof/>
                <w:color w:val="auto"/>
                <w:sz w:val="18"/>
                <w:szCs w:val="18"/>
                <w:lang w:val="en-US" w:eastAsia="en-GB"/>
              </w:rPr>
              <w:t>[6]</w:t>
            </w:r>
            <w:r w:rsidRPr="00DC46CB">
              <w:rPr>
                <w:rFonts w:ascii="Times New Roman" w:hAnsi="Times New Roman"/>
                <w:color w:val="auto"/>
                <w:sz w:val="18"/>
                <w:szCs w:val="18"/>
                <w:vertAlign w:val="superscript"/>
                <w:lang w:val="en-US"/>
              </w:rPr>
              <w:t>a</w:t>
            </w:r>
          </w:p>
        </w:tc>
        <w:tc>
          <w:tcPr>
            <w:tcW w:w="228" w:type="pct"/>
            <w:shd w:val="clear" w:color="auto" w:fill="auto"/>
            <w:tcMar>
              <w:top w:w="0" w:type="dxa"/>
              <w:left w:w="108" w:type="dxa"/>
              <w:bottom w:w="0" w:type="dxa"/>
              <w:right w:w="108" w:type="dxa"/>
            </w:tcMar>
            <w:textDirection w:val="btLr"/>
            <w:vAlign w:val="center"/>
            <w:hideMark/>
          </w:tcPr>
          <w:p w:rsidR="00B8029E" w:rsidRPr="00DC46CB" w:rsidRDefault="00B8029E" w:rsidP="00FF3C32">
            <w:pPr>
              <w:pStyle w:val="TableBodyText-H54"/>
              <w:spacing w:before="0" w:line="360" w:lineRule="auto"/>
              <w:ind w:left="113" w:right="113"/>
              <w:jc w:val="center"/>
              <w:rPr>
                <w:rFonts w:ascii="Times New Roman" w:hAnsi="Times New Roman"/>
                <w:color w:val="auto"/>
                <w:sz w:val="18"/>
                <w:szCs w:val="18"/>
                <w:lang w:val="en-US" w:eastAsia="en-GB"/>
              </w:rPr>
            </w:pPr>
            <w:r w:rsidRPr="00DC46CB">
              <w:rPr>
                <w:rFonts w:ascii="Times New Roman" w:hAnsi="Times New Roman"/>
                <w:color w:val="auto"/>
                <w:sz w:val="18"/>
                <w:szCs w:val="18"/>
                <w:lang w:val="en-US" w:eastAsia="en-GB"/>
              </w:rPr>
              <w:t xml:space="preserve">KRONOS </w:t>
            </w:r>
            <w:r>
              <w:rPr>
                <w:rFonts w:ascii="Times New Roman" w:hAnsi="Times New Roman"/>
                <w:noProof/>
                <w:color w:val="auto"/>
                <w:sz w:val="18"/>
                <w:szCs w:val="18"/>
                <w:lang w:val="en-US" w:eastAsia="en-GB"/>
              </w:rPr>
              <w:t>[7]</w:t>
            </w:r>
          </w:p>
        </w:tc>
        <w:tc>
          <w:tcPr>
            <w:tcW w:w="228" w:type="pct"/>
            <w:shd w:val="clear" w:color="auto" w:fill="auto"/>
            <w:tcMar>
              <w:top w:w="0" w:type="dxa"/>
              <w:left w:w="108" w:type="dxa"/>
              <w:bottom w:w="0" w:type="dxa"/>
              <w:right w:w="108" w:type="dxa"/>
            </w:tcMar>
            <w:textDirection w:val="btLr"/>
            <w:vAlign w:val="center"/>
            <w:hideMark/>
          </w:tcPr>
          <w:p w:rsidR="00B8029E" w:rsidRPr="00DC46CB" w:rsidRDefault="00B8029E" w:rsidP="00FF3C32">
            <w:pPr>
              <w:pStyle w:val="TableBodyText-H54"/>
              <w:spacing w:before="0" w:line="360" w:lineRule="auto"/>
              <w:ind w:left="113" w:right="113"/>
              <w:jc w:val="center"/>
              <w:rPr>
                <w:rFonts w:ascii="Times New Roman" w:hAnsi="Times New Roman"/>
                <w:color w:val="auto"/>
                <w:sz w:val="18"/>
                <w:szCs w:val="18"/>
                <w:lang w:val="en-US" w:eastAsia="en-GB"/>
              </w:rPr>
            </w:pPr>
            <w:r w:rsidRPr="00DC46CB">
              <w:rPr>
                <w:rFonts w:ascii="Times New Roman" w:hAnsi="Times New Roman"/>
                <w:color w:val="auto"/>
                <w:sz w:val="18"/>
                <w:szCs w:val="18"/>
                <w:lang w:val="en-US" w:eastAsia="en-GB"/>
              </w:rPr>
              <w:t xml:space="preserve">Lee 2016 </w:t>
            </w:r>
            <w:r>
              <w:rPr>
                <w:rFonts w:ascii="Times New Roman" w:hAnsi="Times New Roman"/>
                <w:noProof/>
                <w:color w:val="auto"/>
                <w:sz w:val="18"/>
                <w:szCs w:val="18"/>
                <w:lang w:val="en-US" w:eastAsia="en-GB"/>
              </w:rPr>
              <w:t>[8]</w:t>
            </w:r>
            <w:r w:rsidRPr="00DC46CB">
              <w:rPr>
                <w:rFonts w:ascii="Times New Roman" w:hAnsi="Times New Roman"/>
                <w:color w:val="auto"/>
                <w:sz w:val="18"/>
                <w:szCs w:val="18"/>
                <w:vertAlign w:val="superscript"/>
                <w:lang w:val="en-US"/>
              </w:rPr>
              <w:t>a</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Study 200109 </w:t>
            </w:r>
            <w:r>
              <w:rPr>
                <w:rFonts w:ascii="Times New Roman" w:hAnsi="Times New Roman"/>
                <w:noProof/>
                <w:sz w:val="18"/>
                <w:szCs w:val="18"/>
                <w:lang w:val="en-US" w:eastAsia="en-GB"/>
              </w:rPr>
              <w:t>[9]</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Study 200110 </w:t>
            </w:r>
            <w:r>
              <w:rPr>
                <w:rFonts w:ascii="Times New Roman" w:hAnsi="Times New Roman"/>
                <w:noProof/>
                <w:sz w:val="18"/>
                <w:szCs w:val="18"/>
                <w:lang w:val="en-US" w:eastAsia="en-GB"/>
              </w:rPr>
              <w:t>[9]</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Study AC4116135 </w:t>
            </w:r>
            <w:r>
              <w:rPr>
                <w:rFonts w:ascii="Times New Roman" w:hAnsi="Times New Roman"/>
                <w:noProof/>
                <w:sz w:val="18"/>
                <w:szCs w:val="18"/>
                <w:lang w:val="en-US" w:eastAsia="en-GB"/>
              </w:rPr>
              <w:t>[10]</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Study AC4116136 </w:t>
            </w:r>
            <w:r>
              <w:rPr>
                <w:rFonts w:ascii="Times New Roman" w:hAnsi="Times New Roman"/>
                <w:noProof/>
                <w:sz w:val="18"/>
                <w:szCs w:val="18"/>
                <w:lang w:val="en-US" w:eastAsia="en-GB"/>
              </w:rPr>
              <w:t>[10]</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SUNSET </w:t>
            </w:r>
            <w:r>
              <w:rPr>
                <w:rFonts w:ascii="Times New Roman" w:hAnsi="Times New Roman"/>
                <w:noProof/>
                <w:sz w:val="18"/>
                <w:szCs w:val="18"/>
                <w:lang w:val="en-US" w:eastAsia="en-GB"/>
              </w:rPr>
              <w:t>[11]</w:t>
            </w:r>
            <w:r w:rsidRPr="00655A9A">
              <w:rPr>
                <w:rFonts w:ascii="Times New Roman" w:hAnsi="Times New Roman"/>
                <w:sz w:val="18"/>
                <w:szCs w:val="18"/>
                <w:lang w:val="en-US" w:eastAsia="en-GB"/>
              </w:rPr>
              <w:t xml:space="preserve"> </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TRIBUTE </w:t>
            </w:r>
            <w:r>
              <w:rPr>
                <w:rFonts w:ascii="Times New Roman" w:hAnsi="Times New Roman"/>
                <w:noProof/>
                <w:sz w:val="18"/>
                <w:szCs w:val="18"/>
                <w:lang w:val="en-US" w:eastAsia="en-GB"/>
              </w:rPr>
              <w:t>[12]</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TRILOGY </w:t>
            </w:r>
            <w:r>
              <w:rPr>
                <w:rFonts w:ascii="Times New Roman" w:hAnsi="Times New Roman"/>
                <w:noProof/>
                <w:sz w:val="18"/>
                <w:szCs w:val="18"/>
                <w:lang w:val="en-US" w:eastAsia="en-GB"/>
              </w:rPr>
              <w:t>[13]</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TRINITY </w:t>
            </w:r>
            <w:r>
              <w:rPr>
                <w:rFonts w:ascii="Times New Roman" w:hAnsi="Times New Roman"/>
                <w:noProof/>
                <w:sz w:val="18"/>
                <w:szCs w:val="18"/>
                <w:lang w:val="en-US" w:eastAsia="en-GB"/>
              </w:rPr>
              <w:t>[14]</w:t>
            </w:r>
          </w:p>
        </w:tc>
        <w:tc>
          <w:tcPr>
            <w:tcW w:w="228"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Welte 2009 </w:t>
            </w:r>
            <w:r>
              <w:rPr>
                <w:rFonts w:ascii="Times New Roman" w:hAnsi="Times New Roman"/>
                <w:noProof/>
                <w:sz w:val="18"/>
                <w:szCs w:val="18"/>
                <w:lang w:val="en-US" w:eastAsia="en-GB"/>
              </w:rPr>
              <w:t>[15]</w:t>
            </w:r>
          </w:p>
        </w:tc>
        <w:tc>
          <w:tcPr>
            <w:tcW w:w="222" w:type="pct"/>
            <w:shd w:val="clear" w:color="auto" w:fill="auto"/>
            <w:tcMar>
              <w:top w:w="0" w:type="dxa"/>
              <w:left w:w="108" w:type="dxa"/>
              <w:bottom w:w="0" w:type="dxa"/>
              <w:right w:w="108" w:type="dxa"/>
            </w:tcMar>
            <w:textDirection w:val="btLr"/>
            <w:vAlign w:val="center"/>
            <w:hideMark/>
          </w:tcPr>
          <w:p w:rsidR="00B8029E" w:rsidRPr="00655A9A" w:rsidRDefault="00B8029E" w:rsidP="00FF3C32">
            <w:pPr>
              <w:pStyle w:val="TableBodyText-H54"/>
              <w:spacing w:before="0" w:line="360" w:lineRule="auto"/>
              <w:ind w:left="113" w:right="113"/>
              <w:jc w:val="center"/>
              <w:rPr>
                <w:rFonts w:ascii="Times New Roman" w:hAnsi="Times New Roman"/>
                <w:sz w:val="18"/>
                <w:szCs w:val="18"/>
                <w:lang w:val="en-US" w:eastAsia="en-GB"/>
              </w:rPr>
            </w:pPr>
            <w:r w:rsidRPr="00655A9A">
              <w:rPr>
                <w:rFonts w:ascii="Times New Roman" w:hAnsi="Times New Roman"/>
                <w:sz w:val="18"/>
                <w:szCs w:val="18"/>
                <w:lang w:val="en-US" w:eastAsia="en-GB"/>
              </w:rPr>
              <w:t xml:space="preserve">WISDOM  </w:t>
            </w:r>
            <w:r>
              <w:rPr>
                <w:rFonts w:ascii="Times New Roman" w:hAnsi="Times New Roman"/>
                <w:noProof/>
                <w:sz w:val="18"/>
                <w:szCs w:val="18"/>
                <w:lang w:val="en-US" w:eastAsia="en-GB"/>
              </w:rPr>
              <w:t>[16]</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372681" w:rsidRDefault="00B8029E" w:rsidP="00FF3C32">
            <w:pPr>
              <w:pStyle w:val="TableBodyText-H54"/>
              <w:spacing w:before="0" w:after="0" w:line="360" w:lineRule="auto"/>
              <w:rPr>
                <w:rFonts w:ascii="Times New Roman" w:hAnsi="Times New Roman"/>
                <w:color w:val="auto"/>
                <w:sz w:val="18"/>
                <w:szCs w:val="18"/>
                <w:lang w:val="en-US" w:eastAsia="en-GB"/>
              </w:rPr>
            </w:pPr>
            <w:r w:rsidRPr="00372681">
              <w:rPr>
                <w:rFonts w:ascii="Times New Roman" w:hAnsi="Times New Roman"/>
                <w:color w:val="auto"/>
                <w:sz w:val="18"/>
                <w:szCs w:val="18"/>
                <w:lang w:val="en-US" w:eastAsia="en-GB"/>
              </w:rPr>
              <w:t>Moderate/severe exacerbations (event rate)</w:t>
            </w:r>
          </w:p>
        </w:tc>
        <w:tc>
          <w:tcPr>
            <w:tcW w:w="227" w:type="pct"/>
            <w:shd w:val="clear" w:color="auto" w:fill="auto"/>
            <w:noWrap/>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7"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b/>
                <w:bCs/>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8"/>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8"/>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b/>
                <w:bCs/>
                <w:color w:val="000000"/>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372681" w:rsidRDefault="00B8029E" w:rsidP="00FF3C32">
            <w:pPr>
              <w:pStyle w:val="TableBodyText-H54"/>
              <w:spacing w:before="0" w:after="0" w:line="360" w:lineRule="auto"/>
              <w:rPr>
                <w:rFonts w:ascii="Times New Roman" w:hAnsi="Times New Roman"/>
                <w:color w:val="auto"/>
                <w:sz w:val="18"/>
                <w:szCs w:val="18"/>
                <w:lang w:val="en-US" w:eastAsia="en-GB"/>
              </w:rPr>
            </w:pPr>
            <w:r w:rsidRPr="00372681">
              <w:rPr>
                <w:rFonts w:ascii="Times New Roman" w:hAnsi="Times New Roman"/>
                <w:color w:val="auto"/>
                <w:sz w:val="18"/>
                <w:szCs w:val="18"/>
                <w:lang w:val="en-US" w:eastAsia="en-GB"/>
              </w:rPr>
              <w:t>Severe exacerbations (event rate)</w:t>
            </w:r>
          </w:p>
        </w:tc>
        <w:tc>
          <w:tcPr>
            <w:tcW w:w="227" w:type="pct"/>
            <w:shd w:val="clear" w:color="auto" w:fill="auto"/>
            <w:noWrap/>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7"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color w:val="000000"/>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Cs/>
                <w:sz w:val="18"/>
                <w:szCs w:val="10"/>
                <w:lang w:val="en-US" w:eastAsia="en-GB"/>
              </w:rPr>
            </w:pPr>
            <w:r w:rsidRPr="00FA4A1D">
              <w:rPr>
                <w:rFonts w:ascii="Wingdings" w:hAnsi="Wingdings" w:cstheme="minorHAnsi"/>
                <w:b/>
                <w:bCs/>
                <w:color w:val="000000"/>
                <w:sz w:val="18"/>
                <w:szCs w:val="10"/>
                <w:lang w:val="en-US" w:eastAsia="en-GB"/>
              </w:rPr>
              <w:t></w:t>
            </w:r>
            <w:r w:rsidRPr="00FA4A1D">
              <w:rPr>
                <w:rFonts w:ascii="Times New Roman" w:hAnsi="Times New Roman"/>
                <w:bCs/>
                <w:color w:val="000000"/>
                <w:sz w:val="18"/>
                <w:szCs w:val="18"/>
                <w:vertAlign w:val="superscript"/>
                <w:lang w:val="en-US" w:eastAsia="en-GB"/>
              </w:rPr>
              <w:t>b</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0"/>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Wingdings" w:hAnsi="Wingdings" w:cstheme="minorHAnsi"/>
                <w:b/>
                <w:bCs/>
                <w:sz w:val="18"/>
                <w:szCs w:val="18"/>
                <w:lang w:val="en-US" w:eastAsia="en-GB"/>
              </w:rPr>
            </w:pPr>
            <w:r w:rsidRPr="00FA4A1D">
              <w:rPr>
                <w:rFonts w:ascii="Wingdings"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c>
          <w:tcPr>
            <w:tcW w:w="222"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ascii="Wingdings" w:hAnsi="Wingdings" w:cstheme="minorHAnsi"/>
                <w:b/>
                <w:bCs/>
                <w:sz w:val="18"/>
                <w:szCs w:val="10"/>
                <w:lang w:val="en-US" w:eastAsia="en-GB"/>
              </w:rPr>
            </w:pPr>
            <w:r w:rsidRPr="00FA4A1D">
              <w:rPr>
                <w:rFonts w:ascii="Wingdings" w:eastAsia="Times New Roman" w:hAnsi="Wingdings" w:cstheme="minorHAnsi"/>
                <w:b/>
                <w:bCs/>
                <w:color w:val="000000"/>
                <w:sz w:val="18"/>
                <w:szCs w:val="10"/>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372681" w:rsidRDefault="00B8029E" w:rsidP="00FF3C32">
            <w:pPr>
              <w:pStyle w:val="TableBodyText-H54"/>
              <w:spacing w:before="0" w:after="0" w:line="360" w:lineRule="auto"/>
              <w:rPr>
                <w:rFonts w:ascii="Times New Roman" w:hAnsi="Times New Roman"/>
                <w:color w:val="auto"/>
                <w:sz w:val="18"/>
                <w:szCs w:val="18"/>
                <w:lang w:val="en-US" w:eastAsia="en-GB"/>
              </w:rPr>
            </w:pPr>
            <w:r w:rsidRPr="00372681">
              <w:rPr>
                <w:rFonts w:ascii="Times New Roman" w:hAnsi="Times New Roman"/>
                <w:color w:val="auto"/>
                <w:sz w:val="18"/>
                <w:szCs w:val="18"/>
                <w:lang w:val="en-US" w:eastAsia="en-GB"/>
              </w:rPr>
              <w:t>Trough/pre-bronchodilator FEV</w:t>
            </w:r>
            <w:r w:rsidRPr="00372681">
              <w:rPr>
                <w:rFonts w:ascii="Times New Roman" w:hAnsi="Times New Roman"/>
                <w:color w:val="auto"/>
                <w:sz w:val="18"/>
                <w:szCs w:val="18"/>
                <w:vertAlign w:val="subscript"/>
                <w:lang w:val="en-US" w:eastAsia="en-GB"/>
              </w:rPr>
              <w:t>1</w:t>
            </w:r>
            <w:r w:rsidRPr="00372681">
              <w:rPr>
                <w:rFonts w:ascii="Times New Roman" w:hAnsi="Times New Roman"/>
                <w:color w:val="auto"/>
                <w:sz w:val="18"/>
                <w:szCs w:val="18"/>
                <w:lang w:val="en-US" w:eastAsia="en-GB"/>
              </w:rPr>
              <w:t>: change from baseline</w:t>
            </w:r>
          </w:p>
        </w:tc>
        <w:tc>
          <w:tcPr>
            <w:tcW w:w="227" w:type="pct"/>
            <w:shd w:val="clear" w:color="auto" w:fill="auto"/>
            <w:noWrap/>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7"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655A9A" w:rsidRDefault="00B8029E" w:rsidP="00FF3C32">
            <w:pPr>
              <w:pStyle w:val="TableBodyText-H54"/>
              <w:spacing w:before="0" w:after="0" w:line="360" w:lineRule="auto"/>
              <w:rPr>
                <w:rFonts w:ascii="Times New Roman" w:hAnsi="Times New Roman"/>
                <w:color w:val="auto"/>
                <w:sz w:val="18"/>
                <w:szCs w:val="18"/>
                <w:lang w:val="en-US" w:eastAsia="en-GB"/>
              </w:rPr>
            </w:pPr>
            <w:r>
              <w:rPr>
                <w:rFonts w:ascii="Times New Roman" w:hAnsi="Times New Roman"/>
                <w:color w:val="auto"/>
                <w:sz w:val="18"/>
                <w:szCs w:val="18"/>
                <w:lang w:val="en-US" w:eastAsia="en-GB"/>
              </w:rPr>
              <w:t>Peak/p</w:t>
            </w:r>
            <w:r w:rsidRPr="00655A9A">
              <w:rPr>
                <w:rFonts w:ascii="Times New Roman" w:hAnsi="Times New Roman"/>
                <w:color w:val="auto"/>
                <w:sz w:val="18"/>
                <w:szCs w:val="18"/>
                <w:lang w:val="en-US" w:eastAsia="en-GB"/>
              </w:rPr>
              <w:t>ost-</w:t>
            </w:r>
            <w:r>
              <w:rPr>
                <w:rFonts w:ascii="Times New Roman" w:hAnsi="Times New Roman"/>
                <w:color w:val="auto"/>
                <w:sz w:val="18"/>
                <w:szCs w:val="18"/>
                <w:lang w:val="en-US" w:eastAsia="en-GB"/>
              </w:rPr>
              <w:t>b</w:t>
            </w:r>
            <w:r w:rsidRPr="00655A9A">
              <w:rPr>
                <w:rFonts w:ascii="Times New Roman" w:hAnsi="Times New Roman"/>
                <w:color w:val="auto"/>
                <w:sz w:val="18"/>
                <w:szCs w:val="18"/>
                <w:lang w:val="en-US" w:eastAsia="en-GB"/>
              </w:rPr>
              <w:t>ronchodilator FEV</w:t>
            </w:r>
            <w:r w:rsidRPr="00655A9A">
              <w:rPr>
                <w:rFonts w:ascii="Times New Roman" w:hAnsi="Times New Roman"/>
                <w:color w:val="auto"/>
                <w:sz w:val="18"/>
                <w:szCs w:val="18"/>
                <w:vertAlign w:val="subscript"/>
                <w:lang w:val="en-US" w:eastAsia="en-GB"/>
              </w:rPr>
              <w:t>1</w:t>
            </w:r>
            <w:r w:rsidRPr="00655A9A">
              <w:rPr>
                <w:rFonts w:ascii="Times New Roman" w:hAnsi="Times New Roman"/>
                <w:color w:val="auto"/>
                <w:sz w:val="18"/>
                <w:szCs w:val="18"/>
                <w:lang w:val="en-US" w:eastAsia="en-GB"/>
              </w:rPr>
              <w:t>: change from baseline</w:t>
            </w:r>
          </w:p>
        </w:tc>
        <w:tc>
          <w:tcPr>
            <w:tcW w:w="227" w:type="pct"/>
            <w:shd w:val="clear" w:color="auto" w:fill="auto"/>
            <w:noWrap/>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7"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24W</w:t>
            </w:r>
            <w:r w:rsidRPr="00FA4A1D">
              <w:rPr>
                <w:rFonts w:eastAsia="Times New Roman" w:cs="Times New Roman"/>
                <w:sz w:val="18"/>
                <w:szCs w:val="18"/>
                <w:vertAlign w:val="superscript"/>
                <w:lang w:val="en-US" w:eastAsia="en-GB"/>
              </w:rPr>
              <w:t>c</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655A9A" w:rsidRDefault="00B8029E" w:rsidP="00FF3C32">
            <w:pPr>
              <w:pStyle w:val="TableBodyText-H54"/>
              <w:spacing w:before="0" w:after="0" w:line="360" w:lineRule="auto"/>
              <w:rPr>
                <w:rFonts w:ascii="Times New Roman" w:hAnsi="Times New Roman"/>
                <w:color w:val="auto"/>
                <w:sz w:val="18"/>
                <w:szCs w:val="18"/>
                <w:lang w:val="en-US" w:eastAsia="en-GB"/>
              </w:rPr>
            </w:pPr>
            <w:r w:rsidRPr="00655A9A">
              <w:rPr>
                <w:rFonts w:ascii="Times New Roman" w:hAnsi="Times New Roman"/>
                <w:color w:val="auto"/>
                <w:sz w:val="18"/>
                <w:szCs w:val="18"/>
                <w:lang w:val="en-US" w:eastAsia="en-GB"/>
              </w:rPr>
              <w:t>SGRQ: change from baseline</w:t>
            </w:r>
          </w:p>
        </w:tc>
        <w:tc>
          <w:tcPr>
            <w:tcW w:w="227" w:type="pct"/>
            <w:shd w:val="clear" w:color="auto" w:fill="auto"/>
            <w:noWrap/>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7"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0"/>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pStyle w:val="TableBodyText-H54"/>
              <w:spacing w:before="0" w:after="0" w:line="360" w:lineRule="auto"/>
              <w:jc w:val="center"/>
              <w:rPr>
                <w:rFonts w:ascii="Times New Roman" w:hAnsi="Times New Roman"/>
                <w:b/>
                <w:bCs/>
                <w:sz w:val="18"/>
                <w:szCs w:val="18"/>
                <w:lang w:val="en-US" w:eastAsia="en-GB"/>
              </w:rPr>
            </w:pPr>
            <w:r w:rsidRPr="00FA4A1D">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FA4A1D" w:rsidRDefault="00B8029E" w:rsidP="00FF3C32">
            <w:pPr>
              <w:spacing w:after="0"/>
              <w:jc w:val="center"/>
              <w:rPr>
                <w:rFonts w:cs="Times New Roman"/>
                <w:b/>
                <w:bCs/>
                <w:sz w:val="18"/>
                <w:szCs w:val="10"/>
                <w:lang w:val="en-US" w:eastAsia="en-GB"/>
              </w:rPr>
            </w:pPr>
            <w:r w:rsidRPr="00FA4A1D">
              <w:rPr>
                <w:rFonts w:eastAsia="Times New Roman" w:cs="Times New Roman"/>
                <w:sz w:val="18"/>
                <w:szCs w:val="18"/>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655A9A" w:rsidRDefault="00B8029E" w:rsidP="00FF3C32">
            <w:pPr>
              <w:pStyle w:val="TableBodyText-H54"/>
              <w:spacing w:before="0" w:after="0" w:line="360" w:lineRule="auto"/>
              <w:rPr>
                <w:rFonts w:ascii="Times New Roman" w:hAnsi="Times New Roman"/>
                <w:color w:val="auto"/>
                <w:sz w:val="18"/>
                <w:szCs w:val="18"/>
                <w:lang w:val="en-US" w:eastAsia="en-GB"/>
              </w:rPr>
            </w:pPr>
            <w:r w:rsidRPr="00655A9A">
              <w:rPr>
                <w:rFonts w:ascii="Times New Roman" w:hAnsi="Times New Roman"/>
                <w:color w:val="auto"/>
                <w:sz w:val="18"/>
                <w:szCs w:val="18"/>
                <w:lang w:val="en-US" w:eastAsia="en-GB"/>
              </w:rPr>
              <w:t>TDI focal score</w:t>
            </w:r>
          </w:p>
        </w:tc>
        <w:tc>
          <w:tcPr>
            <w:tcW w:w="227" w:type="pct"/>
            <w:shd w:val="clear" w:color="auto" w:fill="auto"/>
            <w:noWrap/>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7"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bookmarkStart w:id="0" w:name="_GoBack"/>
            <w:bookmarkEnd w:id="0"/>
            <w:r w:rsidRPr="00655A9A">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8"/>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26W</w:t>
            </w:r>
            <w:r>
              <w:rPr>
                <w:rFonts w:ascii="Times New Roman" w:hAnsi="Times New Roman"/>
                <w:sz w:val="18"/>
                <w:szCs w:val="18"/>
                <w:vertAlign w:val="superscript"/>
                <w:lang w:val="en-US" w:eastAsia="en-GB"/>
              </w:rPr>
              <w:t>c</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8"/>
                <w:lang w:val="en-US" w:eastAsia="en-GB"/>
              </w:rPr>
            </w:pPr>
            <w:r w:rsidRPr="00655A9A">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r>
      <w:tr w:rsidR="00B8029E" w:rsidRPr="00655A9A" w:rsidTr="00FF3C32">
        <w:trPr>
          <w:cantSplit/>
          <w:trHeight w:val="401"/>
          <w:tblHeader/>
        </w:trPr>
        <w:tc>
          <w:tcPr>
            <w:tcW w:w="903" w:type="pct"/>
            <w:noWrap/>
            <w:tcMar>
              <w:top w:w="0" w:type="dxa"/>
              <w:left w:w="108" w:type="dxa"/>
              <w:bottom w:w="0" w:type="dxa"/>
              <w:right w:w="108" w:type="dxa"/>
            </w:tcMar>
            <w:vAlign w:val="center"/>
          </w:tcPr>
          <w:p w:rsidR="00B8029E" w:rsidRPr="00655A9A" w:rsidRDefault="00B8029E" w:rsidP="00FF3C32">
            <w:pPr>
              <w:pStyle w:val="TableBodyText-H54"/>
              <w:spacing w:before="0" w:after="0" w:line="360" w:lineRule="auto"/>
              <w:rPr>
                <w:rFonts w:ascii="Times New Roman" w:hAnsi="Times New Roman"/>
                <w:color w:val="auto"/>
                <w:sz w:val="18"/>
                <w:szCs w:val="18"/>
                <w:lang w:val="en-US" w:eastAsia="en-GB"/>
              </w:rPr>
            </w:pPr>
            <w:r w:rsidRPr="00655A9A">
              <w:rPr>
                <w:rFonts w:ascii="Times New Roman" w:hAnsi="Times New Roman"/>
                <w:color w:val="auto"/>
                <w:sz w:val="18"/>
                <w:szCs w:val="18"/>
                <w:lang w:val="en-US" w:eastAsia="en-GB"/>
              </w:rPr>
              <w:t>Rescue medication use: change from baseline</w:t>
            </w:r>
          </w:p>
        </w:tc>
        <w:tc>
          <w:tcPr>
            <w:tcW w:w="227" w:type="pct"/>
            <w:shd w:val="clear" w:color="auto" w:fill="auto"/>
            <w:noWrap/>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7"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12W</w:t>
            </w:r>
            <w:r>
              <w:rPr>
                <w:rFonts w:ascii="Times New Roman" w:hAnsi="Times New Roman"/>
                <w:sz w:val="18"/>
                <w:szCs w:val="18"/>
                <w:lang w:val="en-US" w:eastAsia="en-GB"/>
              </w:rPr>
              <w:t>–</w:t>
            </w:r>
            <w:r w:rsidRPr="00655A9A">
              <w:rPr>
                <w:rFonts w:ascii="Times New Roman" w:hAnsi="Times New Roman"/>
                <w:sz w:val="18"/>
                <w:szCs w:val="18"/>
                <w:lang w:val="en-US" w:eastAsia="en-GB"/>
              </w:rPr>
              <w:t>24W</w:t>
            </w:r>
            <w:r>
              <w:rPr>
                <w:rFonts w:ascii="Times New Roman" w:hAnsi="Times New Roman"/>
                <w:color w:val="000000"/>
                <w:sz w:val="18"/>
                <w:szCs w:val="18"/>
                <w:vertAlign w:val="superscript"/>
                <w:lang w:val="en-US" w:eastAsia="en-GB"/>
              </w:rPr>
              <w:t>d</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12W</w:t>
            </w:r>
            <w:r>
              <w:rPr>
                <w:rFonts w:ascii="Times New Roman" w:hAnsi="Times New Roman"/>
                <w:sz w:val="18"/>
                <w:szCs w:val="18"/>
                <w:lang w:val="en-US" w:eastAsia="en-GB"/>
              </w:rPr>
              <w:t>–</w:t>
            </w:r>
            <w:r w:rsidRPr="00655A9A">
              <w:rPr>
                <w:rFonts w:ascii="Times New Roman" w:hAnsi="Times New Roman"/>
                <w:sz w:val="18"/>
                <w:szCs w:val="18"/>
                <w:lang w:val="en-US" w:eastAsia="en-GB"/>
              </w:rPr>
              <w:t>24W</w:t>
            </w:r>
            <w:r>
              <w:rPr>
                <w:rFonts w:ascii="Times New Roman" w:hAnsi="Times New Roman"/>
                <w:color w:val="000000"/>
                <w:sz w:val="18"/>
                <w:szCs w:val="18"/>
                <w:vertAlign w:val="superscript"/>
                <w:lang w:val="en-US" w:eastAsia="en-GB"/>
              </w:rPr>
              <w:t>d</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12W</w:t>
            </w:r>
            <w:r>
              <w:rPr>
                <w:rFonts w:ascii="Times New Roman" w:hAnsi="Times New Roman"/>
                <w:sz w:val="18"/>
                <w:szCs w:val="18"/>
                <w:lang w:val="en-US" w:eastAsia="en-GB"/>
              </w:rPr>
              <w:t>–</w:t>
            </w:r>
            <w:r w:rsidRPr="00655A9A">
              <w:rPr>
                <w:rFonts w:ascii="Times New Roman" w:hAnsi="Times New Roman"/>
                <w:sz w:val="18"/>
                <w:szCs w:val="18"/>
                <w:lang w:val="en-US" w:eastAsia="en-GB"/>
              </w:rPr>
              <w:t>24W</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8"/>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Pr>
                <w:rFonts w:ascii="Times New Roman" w:hAnsi="Times New Roman"/>
                <w:sz w:val="18"/>
                <w:szCs w:val="18"/>
                <w:lang w:val="en-US" w:eastAsia="en-GB"/>
              </w:rPr>
              <w:t>–</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0"/>
                <w:lang w:val="en-US" w:eastAsia="en-GB"/>
              </w:rPr>
            </w:pPr>
            <w:r w:rsidRPr="00655A9A">
              <w:rPr>
                <w:rFonts w:ascii="Times New Roman" w:hAnsi="Times New Roman"/>
                <w:sz w:val="18"/>
                <w:szCs w:val="18"/>
                <w:lang w:val="en-US" w:eastAsia="en-GB"/>
              </w:rPr>
              <w:t>13W</w:t>
            </w:r>
            <w:r>
              <w:rPr>
                <w:rFonts w:ascii="Times New Roman" w:hAnsi="Times New Roman"/>
                <w:sz w:val="18"/>
                <w:szCs w:val="18"/>
                <w:lang w:val="en-US" w:eastAsia="en-GB"/>
              </w:rPr>
              <w:t>–</w:t>
            </w:r>
            <w:r w:rsidRPr="00655A9A">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655A9A" w:rsidRDefault="00B8029E" w:rsidP="00FF3C32">
            <w:pPr>
              <w:pStyle w:val="TableBodyText-H54"/>
              <w:spacing w:before="0" w:after="0" w:line="360" w:lineRule="auto"/>
              <w:jc w:val="center"/>
              <w:rPr>
                <w:rFonts w:ascii="Times New Roman" w:hAnsi="Times New Roman"/>
                <w:b/>
                <w:bCs/>
                <w:sz w:val="18"/>
                <w:szCs w:val="18"/>
                <w:lang w:val="en-US" w:eastAsia="en-GB"/>
              </w:rPr>
            </w:pPr>
            <w:r w:rsidRPr="00655A9A">
              <w:rPr>
                <w:rFonts w:ascii="Times New Roman" w:hAnsi="Times New Roman"/>
                <w:sz w:val="18"/>
                <w:szCs w:val="18"/>
                <w:lang w:val="en-US" w:eastAsia="en-GB"/>
              </w:rPr>
              <w:t>13W</w:t>
            </w:r>
            <w:r>
              <w:rPr>
                <w:rFonts w:ascii="Times New Roman" w:hAnsi="Times New Roman"/>
                <w:sz w:val="18"/>
                <w:szCs w:val="18"/>
                <w:lang w:val="en-US" w:eastAsia="en-GB"/>
              </w:rPr>
              <w:t>–</w:t>
            </w:r>
            <w:r w:rsidRPr="00655A9A">
              <w:rPr>
                <w:rFonts w:ascii="Times New Roman" w:hAnsi="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sidRPr="00655A9A">
              <w:rPr>
                <w:rFonts w:eastAsia="Times New Roman" w:cs="Times New Roman"/>
                <w:sz w:val="18"/>
                <w:szCs w:val="18"/>
                <w:lang w:val="en-US" w:eastAsia="en-GB"/>
              </w:rPr>
              <w:t>13W</w:t>
            </w:r>
            <w:r>
              <w:rPr>
                <w:rFonts w:eastAsia="Times New Roman" w:cs="Times New Roman"/>
                <w:sz w:val="18"/>
                <w:szCs w:val="18"/>
                <w:lang w:val="en-US" w:eastAsia="en-GB"/>
              </w:rPr>
              <w:t>–</w:t>
            </w:r>
            <w:r w:rsidRPr="00655A9A">
              <w:rPr>
                <w:rFonts w:eastAsia="Times New Roman" w:cs="Times New Roman"/>
                <w:sz w:val="18"/>
                <w:szCs w:val="18"/>
                <w:lang w:val="en-US" w:eastAsia="en-GB"/>
              </w:rPr>
              <w:t>26W</w:t>
            </w:r>
          </w:p>
        </w:tc>
        <w:tc>
          <w:tcPr>
            <w:tcW w:w="228"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c>
          <w:tcPr>
            <w:tcW w:w="222" w:type="pct"/>
            <w:shd w:val="clear" w:color="auto" w:fill="auto"/>
            <w:tcMar>
              <w:top w:w="0" w:type="dxa"/>
              <w:left w:w="108" w:type="dxa"/>
              <w:bottom w:w="0" w:type="dxa"/>
              <w:right w:w="108" w:type="dxa"/>
            </w:tcMar>
            <w:vAlign w:val="center"/>
          </w:tcPr>
          <w:p w:rsidR="00B8029E" w:rsidRPr="00655A9A" w:rsidRDefault="00B8029E" w:rsidP="00FF3C32">
            <w:pPr>
              <w:spacing w:after="0"/>
              <w:jc w:val="center"/>
              <w:rPr>
                <w:rFonts w:cs="Times New Roman"/>
                <w:b/>
                <w:bCs/>
                <w:sz w:val="18"/>
                <w:szCs w:val="10"/>
                <w:lang w:val="en-US" w:eastAsia="en-GB"/>
              </w:rPr>
            </w:pPr>
            <w:r>
              <w:rPr>
                <w:rFonts w:eastAsia="Times New Roman" w:cs="Times New Roman"/>
                <w:sz w:val="18"/>
                <w:szCs w:val="18"/>
                <w:lang w:val="en-US" w:eastAsia="en-GB"/>
              </w:rPr>
              <w:t>–</w:t>
            </w:r>
          </w:p>
        </w:tc>
      </w:tr>
    </w:tbl>
    <w:p w:rsidR="00B8029E" w:rsidRPr="00655A9A" w:rsidRDefault="00B8029E" w:rsidP="00B8029E">
      <w:pPr>
        <w:spacing w:after="120"/>
        <w:rPr>
          <w:lang w:val="en-US"/>
        </w:rPr>
      </w:pPr>
      <w:r w:rsidRPr="003701FE">
        <w:rPr>
          <w:vertAlign w:val="superscript"/>
          <w:lang w:val="en-US"/>
        </w:rPr>
        <w:t>a</w:t>
      </w:r>
      <w:r w:rsidRPr="003701FE">
        <w:rPr>
          <w:lang w:val="en-US"/>
        </w:rPr>
        <w:t xml:space="preserve">Open-label study (not included in the base-case); </w:t>
      </w:r>
      <w:r w:rsidRPr="003701FE">
        <w:rPr>
          <w:vertAlign w:val="superscript"/>
          <w:lang w:val="en-US"/>
        </w:rPr>
        <w:t>b</w:t>
      </w:r>
      <w:r w:rsidRPr="003701FE">
        <w:rPr>
          <w:lang w:val="en-US"/>
        </w:rPr>
        <w:t xml:space="preserve">Zero events in both arms, hence not included in the analyses; </w:t>
      </w:r>
      <w:r w:rsidRPr="003701FE">
        <w:rPr>
          <w:vertAlign w:val="superscript"/>
          <w:lang w:val="en-US"/>
        </w:rPr>
        <w:t>c</w:t>
      </w:r>
      <w:r w:rsidRPr="003701FE">
        <w:rPr>
          <w:lang w:val="en-US"/>
        </w:rPr>
        <w:t xml:space="preserve">Not connected in the network; </w:t>
      </w:r>
      <w:r w:rsidRPr="003701FE">
        <w:rPr>
          <w:vertAlign w:val="superscript"/>
          <w:lang w:val="en-US"/>
        </w:rPr>
        <w:t>d</w:t>
      </w:r>
      <w:r w:rsidRPr="003701FE">
        <w:rPr>
          <w:lang w:val="en-US"/>
        </w:rPr>
        <w:t>Values were calculated at the time points of interest</w:t>
      </w:r>
      <w:r>
        <w:rPr>
          <w:lang w:val="en-US"/>
        </w:rPr>
        <w:t xml:space="preserve"> </w:t>
      </w:r>
    </w:p>
    <w:p w:rsidR="00B8029E" w:rsidRDefault="00B8029E" w:rsidP="00B8029E">
      <w:pPr>
        <w:rPr>
          <w:lang w:val="en-US"/>
        </w:rPr>
      </w:pPr>
      <w:r w:rsidRPr="00655A9A">
        <w:rPr>
          <w:lang w:val="en-US"/>
        </w:rPr>
        <w:t>FEV</w:t>
      </w:r>
      <w:r w:rsidRPr="00655A9A">
        <w:rPr>
          <w:vertAlign w:val="subscript"/>
          <w:lang w:val="en-US"/>
        </w:rPr>
        <w:t>1</w:t>
      </w:r>
      <w:r w:rsidRPr="00655A9A">
        <w:rPr>
          <w:lang w:val="en-US"/>
        </w:rPr>
        <w:t>, forced expiratory volume in 1 second; SGRQ, St. George</w:t>
      </w:r>
      <w:r>
        <w:rPr>
          <w:lang w:val="en-US"/>
        </w:rPr>
        <w:t>’</w:t>
      </w:r>
      <w:r w:rsidRPr="00655A9A">
        <w:rPr>
          <w:lang w:val="en-US"/>
        </w:rPr>
        <w:t>s Respiratory Questionnaire; TDI, Transition Dyspnea Index; W, week</w:t>
      </w:r>
    </w:p>
    <w:p w:rsidR="00B8029E" w:rsidRPr="00655A9A" w:rsidRDefault="00B8029E" w:rsidP="00B8029E">
      <w:pPr>
        <w:rPr>
          <w:lang w:val="en-US"/>
        </w:rPr>
        <w:sectPr w:rsidR="00B8029E" w:rsidRPr="00655A9A" w:rsidSect="00C842E8">
          <w:pgSz w:w="16838" w:h="11906" w:orient="landscape"/>
          <w:pgMar w:top="1440" w:right="1440" w:bottom="1440" w:left="1440" w:header="709" w:footer="709" w:gutter="0"/>
          <w:cols w:space="708"/>
          <w:docGrid w:linePitch="360"/>
        </w:sectPr>
      </w:pPr>
      <w:r w:rsidRPr="00655A9A">
        <w:rPr>
          <w:lang w:val="en-US"/>
        </w:rPr>
        <w:br w:type="page"/>
      </w:r>
    </w:p>
    <w:p w:rsidR="00B8029E" w:rsidRPr="00655A9A" w:rsidRDefault="00B8029E" w:rsidP="00B8029E">
      <w:pPr>
        <w:rPr>
          <w:lang w:val="en-US"/>
        </w:rPr>
      </w:pPr>
      <w:bookmarkStart w:id="1" w:name="_Ref520810772"/>
      <w:r w:rsidRPr="00655A9A">
        <w:rPr>
          <w:b/>
          <w:bCs/>
          <w:iCs/>
          <w:lang w:val="en-US"/>
        </w:rPr>
        <w:lastRenderedPageBreak/>
        <w:t xml:space="preserve">Table S3 </w:t>
      </w:r>
      <w:r w:rsidRPr="009935BC">
        <w:rPr>
          <w:lang w:val="en-US"/>
        </w:rPr>
        <w:t>Quality assessment of the included</w:t>
      </w:r>
      <w:r w:rsidRPr="00655A9A">
        <w:rPr>
          <w:lang w:val="en-US"/>
        </w:rPr>
        <w:t xml:space="preserve"> RCTs</w:t>
      </w: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5"/>
        <w:gridCol w:w="1217"/>
        <w:gridCol w:w="1220"/>
        <w:gridCol w:w="1220"/>
        <w:gridCol w:w="1218"/>
        <w:gridCol w:w="1220"/>
        <w:gridCol w:w="1218"/>
      </w:tblGrid>
      <w:tr w:rsidR="00B8029E" w:rsidRPr="00655A9A" w:rsidTr="00FF3C32">
        <w:trPr>
          <w:cantSplit/>
          <w:trHeight w:val="2165"/>
        </w:trPr>
        <w:tc>
          <w:tcPr>
            <w:tcW w:w="1187"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Study name</w:t>
            </w:r>
          </w:p>
        </w:tc>
        <w:tc>
          <w:tcPr>
            <w:tcW w:w="635"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Randomization and allocation concealment</w:t>
            </w:r>
          </w:p>
        </w:tc>
        <w:tc>
          <w:tcPr>
            <w:tcW w:w="636"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Baseline characteristics</w:t>
            </w:r>
          </w:p>
        </w:tc>
        <w:tc>
          <w:tcPr>
            <w:tcW w:w="636"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Blinding</w:t>
            </w:r>
          </w:p>
        </w:tc>
        <w:tc>
          <w:tcPr>
            <w:tcW w:w="635"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Withdrawals</w:t>
            </w:r>
          </w:p>
        </w:tc>
        <w:tc>
          <w:tcPr>
            <w:tcW w:w="636"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Outcomes selection and reporting</w:t>
            </w:r>
          </w:p>
        </w:tc>
        <w:tc>
          <w:tcPr>
            <w:tcW w:w="636" w:type="pct"/>
            <w:shd w:val="clear" w:color="auto" w:fill="auto"/>
            <w:textDirection w:val="btLr"/>
            <w:vAlign w:val="center"/>
          </w:tcPr>
          <w:p w:rsidR="00B8029E" w:rsidRPr="00655A9A" w:rsidRDefault="00B8029E" w:rsidP="00FF3C32">
            <w:pPr>
              <w:spacing w:after="120"/>
              <w:ind w:left="113" w:right="113"/>
              <w:jc w:val="center"/>
              <w:rPr>
                <w:rFonts w:cs="Times New Roman"/>
                <w:b/>
                <w:bCs/>
                <w:iCs/>
                <w:sz w:val="20"/>
                <w:szCs w:val="20"/>
                <w:lang w:val="en-US"/>
              </w:rPr>
            </w:pPr>
            <w:r w:rsidRPr="00655A9A">
              <w:rPr>
                <w:rFonts w:cs="Times New Roman"/>
                <w:b/>
                <w:sz w:val="20"/>
                <w:szCs w:val="20"/>
                <w:lang w:val="en-US"/>
              </w:rPr>
              <w:t>Statistical analysis</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Aaron 2007 </w:t>
            </w:r>
            <w:r>
              <w:rPr>
                <w:rFonts w:cs="Times New Roman"/>
                <w:b/>
                <w:noProof/>
                <w:sz w:val="20"/>
                <w:szCs w:val="20"/>
                <w:lang w:val="en-US"/>
              </w:rPr>
              <w:t>[1]</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FFF2CC" w:themeFill="accent4" w:themeFillTint="33"/>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Unclear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Bremner 2018 </w:t>
            </w:r>
            <w:r>
              <w:rPr>
                <w:rFonts w:cs="Times New Roman"/>
                <w:b/>
                <w:bCs/>
                <w:iCs/>
                <w:noProof/>
                <w:sz w:val="20"/>
                <w:szCs w:val="20"/>
                <w:lang w:val="en-US"/>
              </w:rPr>
              <w:t>[2]</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FULFIL </w:t>
            </w:r>
            <w:r>
              <w:rPr>
                <w:rFonts w:cs="Times New Roman"/>
                <w:b/>
                <w:bCs/>
                <w:iCs/>
                <w:noProof/>
                <w:sz w:val="20"/>
                <w:szCs w:val="20"/>
                <w:lang w:val="en-US"/>
              </w:rPr>
              <w:t>[3]</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Hanania 2012 </w:t>
            </w:r>
            <w:r>
              <w:rPr>
                <w:rFonts w:cs="Times New Roman"/>
                <w:b/>
                <w:bCs/>
                <w:iCs/>
                <w:noProof/>
                <w:sz w:val="20"/>
                <w:szCs w:val="20"/>
                <w:lang w:val="en-US"/>
              </w:rPr>
              <w:t>[4]</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FFF2CC" w:themeFill="accent4" w:themeFillTint="33"/>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Unclear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IMPACT </w:t>
            </w:r>
            <w:r>
              <w:rPr>
                <w:rFonts w:cs="Times New Roman"/>
                <w:b/>
                <w:bCs/>
                <w:iCs/>
                <w:noProof/>
                <w:sz w:val="20"/>
                <w:szCs w:val="20"/>
                <w:lang w:val="en-US"/>
              </w:rPr>
              <w:t>[5]</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Jung 2012 </w:t>
            </w:r>
            <w:r>
              <w:rPr>
                <w:rFonts w:cs="Times New Roman"/>
                <w:b/>
                <w:bCs/>
                <w:iCs/>
                <w:noProof/>
                <w:sz w:val="20"/>
                <w:szCs w:val="20"/>
                <w:lang w:val="en-US"/>
              </w:rPr>
              <w:t>[6]</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E8B0AC"/>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High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FFF2CC" w:themeFill="accent4" w:themeFillTint="33"/>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Unclear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KRONOS </w:t>
            </w:r>
            <w:r>
              <w:rPr>
                <w:rFonts w:cs="Times New Roman"/>
                <w:b/>
                <w:bCs/>
                <w:iCs/>
                <w:noProof/>
                <w:sz w:val="20"/>
                <w:szCs w:val="20"/>
                <w:lang w:val="en-US"/>
              </w:rPr>
              <w:t>[7]</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Lee 2016 </w:t>
            </w:r>
            <w:r>
              <w:rPr>
                <w:rFonts w:cs="Times New Roman"/>
                <w:b/>
                <w:noProof/>
                <w:sz w:val="20"/>
                <w:szCs w:val="20"/>
                <w:lang w:val="en-US"/>
              </w:rPr>
              <w:t>[8]</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Low risk</w:t>
            </w:r>
          </w:p>
        </w:tc>
        <w:tc>
          <w:tcPr>
            <w:tcW w:w="636" w:type="pct"/>
            <w:shd w:val="clear" w:color="auto" w:fill="E8B0AC"/>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High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Study 200109 </w:t>
            </w:r>
            <w:r>
              <w:rPr>
                <w:rFonts w:cs="Times New Roman"/>
                <w:b/>
                <w:noProof/>
                <w:sz w:val="20"/>
                <w:szCs w:val="20"/>
                <w:lang w:val="en-US"/>
              </w:rPr>
              <w:t>[9]</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Study 200110 </w:t>
            </w:r>
            <w:r>
              <w:rPr>
                <w:rFonts w:cs="Times New Roman"/>
                <w:b/>
                <w:noProof/>
                <w:sz w:val="20"/>
                <w:szCs w:val="20"/>
                <w:lang w:val="en-US"/>
              </w:rPr>
              <w:t>[9]</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Study AC4116135 </w:t>
            </w:r>
            <w:r>
              <w:rPr>
                <w:rFonts w:cs="Times New Roman"/>
                <w:b/>
                <w:noProof/>
                <w:sz w:val="20"/>
                <w:szCs w:val="20"/>
                <w:lang w:val="en-US"/>
              </w:rPr>
              <w:t>[10]</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Study AC4116136 </w:t>
            </w:r>
            <w:r>
              <w:rPr>
                <w:rFonts w:cs="Times New Roman"/>
                <w:b/>
                <w:noProof/>
                <w:sz w:val="20"/>
                <w:szCs w:val="20"/>
                <w:lang w:val="en-US"/>
              </w:rPr>
              <w:t>[10]</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SUNSET </w:t>
            </w:r>
            <w:r>
              <w:rPr>
                <w:rFonts w:cs="Times New Roman"/>
                <w:b/>
                <w:noProof/>
                <w:sz w:val="20"/>
                <w:szCs w:val="20"/>
                <w:lang w:val="en-US"/>
              </w:rPr>
              <w:t>[11]</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TRIBUTE </w:t>
            </w:r>
            <w:r>
              <w:rPr>
                <w:rFonts w:cs="Times New Roman"/>
                <w:b/>
                <w:noProof/>
                <w:sz w:val="20"/>
                <w:szCs w:val="20"/>
                <w:lang w:val="en-US"/>
              </w:rPr>
              <w:t>[12]</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TRILOGY </w:t>
            </w:r>
            <w:r>
              <w:rPr>
                <w:rFonts w:cs="Times New Roman"/>
                <w:b/>
                <w:bCs/>
                <w:iCs/>
                <w:noProof/>
                <w:sz w:val="20"/>
                <w:szCs w:val="20"/>
                <w:lang w:val="en-US"/>
              </w:rPr>
              <w:t>[13]</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TRINITY </w:t>
            </w:r>
            <w:r>
              <w:rPr>
                <w:rFonts w:cs="Times New Roman"/>
                <w:b/>
                <w:bCs/>
                <w:iCs/>
                <w:noProof/>
                <w:sz w:val="20"/>
                <w:szCs w:val="20"/>
                <w:lang w:val="en-US"/>
              </w:rPr>
              <w:t>[14]</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bCs/>
                <w:iCs/>
                <w:sz w:val="20"/>
                <w:szCs w:val="20"/>
                <w:lang w:val="en-US"/>
              </w:rPr>
              <w:t xml:space="preserve">Welte 2009 </w:t>
            </w:r>
            <w:r>
              <w:rPr>
                <w:rFonts w:cs="Times New Roman"/>
                <w:b/>
                <w:bCs/>
                <w:iCs/>
                <w:noProof/>
                <w:sz w:val="20"/>
                <w:szCs w:val="20"/>
                <w:lang w:val="en-US"/>
              </w:rPr>
              <w:t>[15]</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FFF2CC" w:themeFill="accent4" w:themeFillTint="33"/>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Unclear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E8B0AC"/>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High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r w:rsidR="00B8029E" w:rsidRPr="00655A9A" w:rsidTr="00FF3C32">
        <w:trPr>
          <w:trHeight w:val="419"/>
        </w:trPr>
        <w:tc>
          <w:tcPr>
            <w:tcW w:w="1187" w:type="pct"/>
            <w:shd w:val="clear" w:color="auto" w:fill="auto"/>
            <w:vAlign w:val="center"/>
          </w:tcPr>
          <w:p w:rsidR="00B8029E" w:rsidRPr="00655A9A" w:rsidRDefault="00B8029E" w:rsidP="00FF3C32">
            <w:pPr>
              <w:spacing w:before="40" w:after="40"/>
              <w:rPr>
                <w:rFonts w:cs="Times New Roman"/>
                <w:b/>
                <w:bCs/>
                <w:iCs/>
                <w:sz w:val="20"/>
                <w:szCs w:val="20"/>
                <w:lang w:val="en-US"/>
              </w:rPr>
            </w:pPr>
            <w:r w:rsidRPr="00655A9A">
              <w:rPr>
                <w:rFonts w:cs="Times New Roman"/>
                <w:b/>
                <w:sz w:val="20"/>
                <w:szCs w:val="20"/>
                <w:lang w:val="en-US"/>
              </w:rPr>
              <w:t xml:space="preserve">WISDOM </w:t>
            </w:r>
            <w:r>
              <w:rPr>
                <w:rFonts w:cs="Times New Roman"/>
                <w:b/>
                <w:noProof/>
                <w:sz w:val="20"/>
                <w:szCs w:val="20"/>
                <w:lang w:val="en-US"/>
              </w:rPr>
              <w:t>[16]</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5"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c>
          <w:tcPr>
            <w:tcW w:w="636" w:type="pct"/>
            <w:shd w:val="clear" w:color="auto" w:fill="C5E0B3" w:themeFill="accent6" w:themeFillTint="66"/>
            <w:vAlign w:val="center"/>
          </w:tcPr>
          <w:p w:rsidR="00B8029E" w:rsidRPr="00655A9A" w:rsidRDefault="00B8029E" w:rsidP="00FF3C32">
            <w:pPr>
              <w:spacing w:before="40" w:after="40"/>
              <w:jc w:val="center"/>
              <w:rPr>
                <w:rFonts w:cs="Times New Roman"/>
                <w:bCs/>
                <w:iCs/>
                <w:sz w:val="20"/>
                <w:szCs w:val="20"/>
                <w:lang w:val="en-US"/>
              </w:rPr>
            </w:pPr>
            <w:r w:rsidRPr="00655A9A">
              <w:rPr>
                <w:rFonts w:cs="Times New Roman"/>
                <w:bCs/>
                <w:iCs/>
                <w:sz w:val="20"/>
                <w:szCs w:val="20"/>
                <w:lang w:val="en-US"/>
              </w:rPr>
              <w:t>Low risk</w:t>
            </w:r>
          </w:p>
        </w:tc>
      </w:tr>
    </w:tbl>
    <w:p w:rsidR="00B8029E" w:rsidRDefault="00B8029E" w:rsidP="00B8029E">
      <w:pPr>
        <w:spacing w:before="240"/>
        <w:rPr>
          <w:bCs/>
          <w:iCs/>
          <w:lang w:val="en-US"/>
        </w:rPr>
      </w:pPr>
      <w:r w:rsidRPr="00372681">
        <w:rPr>
          <w:bCs/>
          <w:iCs/>
          <w:lang w:val="en-US"/>
        </w:rPr>
        <w:t>RCT, randomized controlled</w:t>
      </w:r>
      <w:r>
        <w:rPr>
          <w:bCs/>
          <w:iCs/>
          <w:lang w:val="en-US"/>
        </w:rPr>
        <w:t xml:space="preserve"> trial</w:t>
      </w:r>
    </w:p>
    <w:p w:rsidR="00B8029E" w:rsidRDefault="00B8029E" w:rsidP="00B8029E">
      <w:pPr>
        <w:spacing w:line="259" w:lineRule="auto"/>
        <w:rPr>
          <w:bCs/>
          <w:iCs/>
          <w:lang w:val="en-US"/>
        </w:rPr>
        <w:sectPr w:rsidR="00B8029E" w:rsidSect="00C842E8">
          <w:pgSz w:w="11906" w:h="16838"/>
          <w:pgMar w:top="1440" w:right="1440" w:bottom="1440" w:left="1440" w:header="709" w:footer="709" w:gutter="0"/>
          <w:cols w:space="708"/>
          <w:docGrid w:linePitch="360"/>
        </w:sectPr>
      </w:pPr>
      <w:r>
        <w:rPr>
          <w:bCs/>
          <w:iCs/>
          <w:lang w:val="en-US"/>
        </w:rPr>
        <w:br w:type="page"/>
      </w:r>
    </w:p>
    <w:p w:rsidR="00B8029E" w:rsidRPr="00655A9A" w:rsidRDefault="00B8029E" w:rsidP="00B8029E">
      <w:pPr>
        <w:rPr>
          <w:lang w:val="en-US"/>
        </w:rPr>
      </w:pPr>
      <w:r w:rsidRPr="00655A9A">
        <w:rPr>
          <w:b/>
          <w:bCs/>
          <w:iCs/>
          <w:lang w:val="en-US"/>
        </w:rPr>
        <w:lastRenderedPageBreak/>
        <w:t>Table S</w:t>
      </w:r>
      <w:r>
        <w:rPr>
          <w:b/>
          <w:bCs/>
          <w:iCs/>
          <w:lang w:val="en-US"/>
        </w:rPr>
        <w:t>4</w:t>
      </w:r>
      <w:r w:rsidRPr="00655A9A">
        <w:rPr>
          <w:b/>
          <w:bCs/>
          <w:iCs/>
          <w:lang w:val="en-US"/>
        </w:rPr>
        <w:t xml:space="preserve"> </w:t>
      </w:r>
      <w:r>
        <w:rPr>
          <w:lang w:val="en-US"/>
        </w:rPr>
        <w:t xml:space="preserve">Summary of sensitivity analyses </w:t>
      </w:r>
    </w:p>
    <w:tbl>
      <w:tblPr>
        <w:tblStyle w:val="TableGrid"/>
        <w:tblW w:w="15446" w:type="dxa"/>
        <w:tblLayout w:type="fixed"/>
        <w:tblLook w:val="04A0" w:firstRow="1" w:lastRow="0" w:firstColumn="1" w:lastColumn="0" w:noHBand="0" w:noVBand="1"/>
      </w:tblPr>
      <w:tblGrid>
        <w:gridCol w:w="3124"/>
        <w:gridCol w:w="1367"/>
        <w:gridCol w:w="1368"/>
        <w:gridCol w:w="1360"/>
        <w:gridCol w:w="8"/>
        <w:gridCol w:w="1368"/>
        <w:gridCol w:w="1369"/>
        <w:gridCol w:w="1369"/>
        <w:gridCol w:w="1369"/>
        <w:gridCol w:w="1369"/>
        <w:gridCol w:w="1375"/>
      </w:tblGrid>
      <w:tr w:rsidR="00B8029E" w:rsidRPr="005640ED" w:rsidTr="00FF3C32">
        <w:trPr>
          <w:trHeight w:val="310"/>
        </w:trPr>
        <w:tc>
          <w:tcPr>
            <w:tcW w:w="3126" w:type="dxa"/>
            <w:vMerge w:val="restart"/>
            <w:vAlign w:val="center"/>
            <w:hideMark/>
          </w:tcPr>
          <w:p w:rsidR="00B8029E" w:rsidRPr="005640ED" w:rsidRDefault="00B8029E" w:rsidP="00FF3C32">
            <w:pPr>
              <w:spacing w:line="276" w:lineRule="auto"/>
              <w:rPr>
                <w:b/>
                <w:bCs/>
                <w:iCs/>
                <w:sz w:val="18"/>
                <w:szCs w:val="18"/>
              </w:rPr>
            </w:pPr>
            <w:r w:rsidRPr="005640ED">
              <w:rPr>
                <w:b/>
                <w:bCs/>
                <w:iCs/>
                <w:sz w:val="18"/>
                <w:szCs w:val="18"/>
              </w:rPr>
              <w:t>BGF MDI vs.</w:t>
            </w:r>
          </w:p>
        </w:tc>
        <w:tc>
          <w:tcPr>
            <w:tcW w:w="4098" w:type="dxa"/>
            <w:gridSpan w:val="3"/>
            <w:noWrap/>
            <w:hideMark/>
          </w:tcPr>
          <w:p w:rsidR="00B8029E" w:rsidRPr="005640ED" w:rsidRDefault="00B8029E" w:rsidP="00FF3C32">
            <w:pPr>
              <w:spacing w:line="276" w:lineRule="auto"/>
              <w:jc w:val="center"/>
              <w:rPr>
                <w:b/>
                <w:bCs/>
                <w:iCs/>
                <w:sz w:val="18"/>
                <w:szCs w:val="18"/>
              </w:rPr>
            </w:pPr>
            <w:r w:rsidRPr="005640ED">
              <w:rPr>
                <w:b/>
                <w:bCs/>
                <w:iCs/>
                <w:sz w:val="18"/>
                <w:szCs w:val="18"/>
              </w:rPr>
              <w:t>Moderate/severe exacerbations</w:t>
            </w:r>
          </w:p>
        </w:tc>
        <w:tc>
          <w:tcPr>
            <w:tcW w:w="2745" w:type="dxa"/>
            <w:gridSpan w:val="3"/>
            <w:noWrap/>
            <w:hideMark/>
          </w:tcPr>
          <w:p w:rsidR="00B8029E" w:rsidRPr="005640ED" w:rsidRDefault="00B8029E" w:rsidP="00FF3C32">
            <w:pPr>
              <w:spacing w:line="276" w:lineRule="auto"/>
              <w:jc w:val="center"/>
              <w:rPr>
                <w:b/>
                <w:bCs/>
                <w:iCs/>
                <w:sz w:val="18"/>
                <w:szCs w:val="18"/>
              </w:rPr>
            </w:pPr>
            <w:r w:rsidRPr="005640ED">
              <w:rPr>
                <w:b/>
                <w:bCs/>
                <w:iCs/>
                <w:sz w:val="18"/>
                <w:szCs w:val="18"/>
              </w:rPr>
              <w:t>Severe exacerbations</w:t>
            </w:r>
          </w:p>
        </w:tc>
        <w:tc>
          <w:tcPr>
            <w:tcW w:w="2733" w:type="dxa"/>
            <w:gridSpan w:val="2"/>
            <w:noWrap/>
            <w:hideMark/>
          </w:tcPr>
          <w:p w:rsidR="00B8029E" w:rsidRPr="005640ED" w:rsidRDefault="00B8029E" w:rsidP="00FF3C32">
            <w:pPr>
              <w:spacing w:line="276" w:lineRule="auto"/>
              <w:jc w:val="center"/>
              <w:rPr>
                <w:b/>
                <w:bCs/>
                <w:iCs/>
                <w:sz w:val="18"/>
                <w:szCs w:val="18"/>
              </w:rPr>
            </w:pPr>
            <w:r w:rsidRPr="005640ED">
              <w:rPr>
                <w:b/>
                <w:bCs/>
                <w:iCs/>
                <w:sz w:val="18"/>
                <w:szCs w:val="18"/>
              </w:rPr>
              <w:t>Trough FEV</w:t>
            </w:r>
            <w:r w:rsidRPr="005640ED">
              <w:rPr>
                <w:b/>
                <w:bCs/>
                <w:iCs/>
                <w:sz w:val="18"/>
                <w:szCs w:val="18"/>
                <w:vertAlign w:val="subscript"/>
              </w:rPr>
              <w:t>1</w:t>
            </w:r>
            <w:r>
              <w:rPr>
                <w:b/>
                <w:bCs/>
                <w:iCs/>
                <w:sz w:val="18"/>
                <w:szCs w:val="18"/>
              </w:rPr>
              <w:t>: change from baseline</w:t>
            </w:r>
            <w:r w:rsidRPr="005640ED">
              <w:rPr>
                <w:b/>
                <w:bCs/>
                <w:iCs/>
                <w:sz w:val="18"/>
                <w:szCs w:val="18"/>
              </w:rPr>
              <w:t xml:space="preserve"> </w:t>
            </w:r>
            <w:r>
              <w:rPr>
                <w:b/>
                <w:bCs/>
                <w:iCs/>
                <w:sz w:val="18"/>
                <w:szCs w:val="18"/>
              </w:rPr>
              <w:t xml:space="preserve">at 24 weeks </w:t>
            </w:r>
            <w:r w:rsidRPr="005640ED">
              <w:rPr>
                <w:b/>
                <w:bCs/>
                <w:iCs/>
                <w:sz w:val="18"/>
                <w:szCs w:val="18"/>
              </w:rPr>
              <w:t>(mL)</w:t>
            </w:r>
          </w:p>
        </w:tc>
        <w:tc>
          <w:tcPr>
            <w:tcW w:w="2744" w:type="dxa"/>
            <w:gridSpan w:val="2"/>
            <w:noWrap/>
            <w:hideMark/>
          </w:tcPr>
          <w:p w:rsidR="00B8029E" w:rsidRPr="005640ED" w:rsidRDefault="00B8029E" w:rsidP="00FF3C32">
            <w:pPr>
              <w:spacing w:line="276" w:lineRule="auto"/>
              <w:jc w:val="center"/>
              <w:rPr>
                <w:b/>
                <w:bCs/>
                <w:iCs/>
                <w:sz w:val="18"/>
                <w:szCs w:val="18"/>
              </w:rPr>
            </w:pPr>
            <w:r w:rsidRPr="005640ED">
              <w:rPr>
                <w:b/>
                <w:bCs/>
                <w:iCs/>
                <w:sz w:val="18"/>
                <w:szCs w:val="18"/>
              </w:rPr>
              <w:t>SGRQ score</w:t>
            </w:r>
            <w:r>
              <w:rPr>
                <w:b/>
                <w:bCs/>
                <w:iCs/>
                <w:sz w:val="18"/>
                <w:szCs w:val="18"/>
              </w:rPr>
              <w:t>: change from baseline at 24 weeks</w:t>
            </w:r>
          </w:p>
        </w:tc>
      </w:tr>
      <w:tr w:rsidR="00B8029E" w:rsidRPr="005640ED" w:rsidTr="00FF3C32">
        <w:trPr>
          <w:trHeight w:val="606"/>
        </w:trPr>
        <w:tc>
          <w:tcPr>
            <w:tcW w:w="3126" w:type="dxa"/>
            <w:vMerge/>
            <w:vAlign w:val="center"/>
            <w:hideMark/>
          </w:tcPr>
          <w:p w:rsidR="00B8029E" w:rsidRPr="005640ED" w:rsidRDefault="00B8029E" w:rsidP="00FF3C32">
            <w:pPr>
              <w:spacing w:line="276" w:lineRule="auto"/>
              <w:rPr>
                <w:b/>
                <w:bCs/>
                <w:iCs/>
                <w:sz w:val="18"/>
                <w:szCs w:val="18"/>
              </w:rPr>
            </w:pPr>
          </w:p>
        </w:tc>
        <w:tc>
          <w:tcPr>
            <w:tcW w:w="1368" w:type="dxa"/>
            <w:hideMark/>
          </w:tcPr>
          <w:p w:rsidR="00B8029E" w:rsidRPr="005640ED" w:rsidRDefault="00B8029E" w:rsidP="00FF3C32">
            <w:pPr>
              <w:spacing w:line="276" w:lineRule="auto"/>
              <w:jc w:val="center"/>
              <w:rPr>
                <w:b/>
                <w:bCs/>
                <w:iCs/>
                <w:sz w:val="18"/>
                <w:szCs w:val="18"/>
              </w:rPr>
            </w:pPr>
            <w:r w:rsidRPr="005640ED">
              <w:rPr>
                <w:b/>
                <w:bCs/>
                <w:iCs/>
                <w:sz w:val="18"/>
                <w:szCs w:val="18"/>
              </w:rPr>
              <w:t>Base case</w:t>
            </w:r>
          </w:p>
        </w:tc>
        <w:tc>
          <w:tcPr>
            <w:tcW w:w="1369" w:type="dxa"/>
            <w:hideMark/>
          </w:tcPr>
          <w:p w:rsidR="00B8029E" w:rsidRPr="005640ED" w:rsidRDefault="00B8029E" w:rsidP="00FF3C32">
            <w:pPr>
              <w:spacing w:line="276" w:lineRule="auto"/>
              <w:jc w:val="center"/>
              <w:rPr>
                <w:b/>
                <w:bCs/>
                <w:iCs/>
                <w:sz w:val="18"/>
                <w:szCs w:val="18"/>
              </w:rPr>
            </w:pPr>
            <w:r w:rsidRPr="005640ED">
              <w:rPr>
                <w:b/>
                <w:bCs/>
                <w:iCs/>
                <w:sz w:val="18"/>
                <w:szCs w:val="18"/>
              </w:rPr>
              <w:t>Symptomatic only</w:t>
            </w:r>
          </w:p>
        </w:tc>
        <w:tc>
          <w:tcPr>
            <w:tcW w:w="1369" w:type="dxa"/>
            <w:gridSpan w:val="2"/>
            <w:hideMark/>
          </w:tcPr>
          <w:p w:rsidR="00B8029E" w:rsidRPr="005640ED" w:rsidRDefault="00B8029E" w:rsidP="00FF3C32">
            <w:pPr>
              <w:spacing w:line="276" w:lineRule="auto"/>
              <w:jc w:val="center"/>
              <w:rPr>
                <w:b/>
                <w:bCs/>
                <w:iCs/>
                <w:sz w:val="18"/>
                <w:szCs w:val="18"/>
              </w:rPr>
            </w:pPr>
            <w:r w:rsidRPr="005640ED">
              <w:rPr>
                <w:b/>
                <w:bCs/>
                <w:iCs/>
                <w:sz w:val="18"/>
                <w:szCs w:val="18"/>
              </w:rPr>
              <w:t>Including open label</w:t>
            </w:r>
          </w:p>
        </w:tc>
        <w:tc>
          <w:tcPr>
            <w:tcW w:w="1368" w:type="dxa"/>
            <w:hideMark/>
          </w:tcPr>
          <w:p w:rsidR="00B8029E" w:rsidRPr="005640ED" w:rsidRDefault="00B8029E" w:rsidP="00FF3C32">
            <w:pPr>
              <w:spacing w:line="276" w:lineRule="auto"/>
              <w:jc w:val="center"/>
              <w:rPr>
                <w:b/>
                <w:bCs/>
                <w:iCs/>
                <w:sz w:val="18"/>
                <w:szCs w:val="18"/>
              </w:rPr>
            </w:pPr>
            <w:r w:rsidRPr="005640ED">
              <w:rPr>
                <w:b/>
                <w:bCs/>
                <w:iCs/>
                <w:sz w:val="18"/>
                <w:szCs w:val="18"/>
              </w:rPr>
              <w:t>Base case</w:t>
            </w:r>
          </w:p>
        </w:tc>
        <w:tc>
          <w:tcPr>
            <w:tcW w:w="1369" w:type="dxa"/>
            <w:hideMark/>
          </w:tcPr>
          <w:p w:rsidR="00B8029E" w:rsidRPr="005640ED" w:rsidRDefault="00B8029E" w:rsidP="00FF3C32">
            <w:pPr>
              <w:spacing w:line="276" w:lineRule="auto"/>
              <w:jc w:val="center"/>
              <w:rPr>
                <w:b/>
                <w:bCs/>
                <w:iCs/>
                <w:sz w:val="18"/>
                <w:szCs w:val="18"/>
              </w:rPr>
            </w:pPr>
            <w:r w:rsidRPr="005640ED">
              <w:rPr>
                <w:b/>
                <w:bCs/>
                <w:iCs/>
                <w:sz w:val="18"/>
                <w:szCs w:val="18"/>
              </w:rPr>
              <w:t>Symptomatic only</w:t>
            </w:r>
          </w:p>
        </w:tc>
        <w:tc>
          <w:tcPr>
            <w:tcW w:w="1369" w:type="dxa"/>
            <w:hideMark/>
          </w:tcPr>
          <w:p w:rsidR="00B8029E" w:rsidRPr="005640ED" w:rsidRDefault="00B8029E" w:rsidP="00FF3C32">
            <w:pPr>
              <w:spacing w:line="276" w:lineRule="auto"/>
              <w:jc w:val="center"/>
              <w:rPr>
                <w:b/>
                <w:bCs/>
                <w:iCs/>
                <w:sz w:val="18"/>
                <w:szCs w:val="18"/>
              </w:rPr>
            </w:pPr>
            <w:r w:rsidRPr="005640ED">
              <w:rPr>
                <w:b/>
                <w:bCs/>
                <w:iCs/>
                <w:sz w:val="18"/>
                <w:szCs w:val="18"/>
              </w:rPr>
              <w:t>Base case</w:t>
            </w:r>
          </w:p>
        </w:tc>
        <w:tc>
          <w:tcPr>
            <w:tcW w:w="1369" w:type="dxa"/>
            <w:hideMark/>
          </w:tcPr>
          <w:p w:rsidR="00B8029E" w:rsidRPr="005640ED" w:rsidRDefault="00B8029E" w:rsidP="00FF3C32">
            <w:pPr>
              <w:spacing w:line="276" w:lineRule="auto"/>
              <w:jc w:val="center"/>
              <w:rPr>
                <w:b/>
                <w:bCs/>
                <w:iCs/>
                <w:sz w:val="18"/>
                <w:szCs w:val="18"/>
              </w:rPr>
            </w:pPr>
            <w:r w:rsidRPr="005640ED">
              <w:rPr>
                <w:b/>
                <w:bCs/>
                <w:iCs/>
                <w:sz w:val="18"/>
                <w:szCs w:val="18"/>
              </w:rPr>
              <w:t>Including open label</w:t>
            </w:r>
          </w:p>
        </w:tc>
        <w:tc>
          <w:tcPr>
            <w:tcW w:w="1369" w:type="dxa"/>
            <w:hideMark/>
          </w:tcPr>
          <w:p w:rsidR="00B8029E" w:rsidRPr="005640ED" w:rsidRDefault="00B8029E" w:rsidP="00FF3C32">
            <w:pPr>
              <w:spacing w:line="276" w:lineRule="auto"/>
              <w:jc w:val="center"/>
              <w:rPr>
                <w:b/>
                <w:bCs/>
                <w:iCs/>
                <w:sz w:val="18"/>
                <w:szCs w:val="18"/>
              </w:rPr>
            </w:pPr>
            <w:r w:rsidRPr="005640ED">
              <w:rPr>
                <w:b/>
                <w:bCs/>
                <w:iCs/>
                <w:sz w:val="18"/>
                <w:szCs w:val="18"/>
              </w:rPr>
              <w:t>Base case</w:t>
            </w:r>
          </w:p>
        </w:tc>
        <w:tc>
          <w:tcPr>
            <w:tcW w:w="1370" w:type="dxa"/>
            <w:hideMark/>
          </w:tcPr>
          <w:p w:rsidR="00B8029E" w:rsidRPr="005640ED" w:rsidRDefault="00B8029E" w:rsidP="00FF3C32">
            <w:pPr>
              <w:spacing w:line="276" w:lineRule="auto"/>
              <w:jc w:val="center"/>
              <w:rPr>
                <w:b/>
                <w:bCs/>
                <w:iCs/>
                <w:sz w:val="18"/>
                <w:szCs w:val="18"/>
              </w:rPr>
            </w:pPr>
            <w:r w:rsidRPr="005640ED">
              <w:rPr>
                <w:b/>
                <w:bCs/>
                <w:iCs/>
                <w:sz w:val="18"/>
                <w:szCs w:val="18"/>
              </w:rPr>
              <w:t>Including open label</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BDP/GLY/FOR</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r w:rsidRPr="005640ED">
              <w:rPr>
                <w:bCs/>
                <w:iCs/>
                <w:sz w:val="18"/>
                <w:szCs w:val="18"/>
              </w:rPr>
              <w:br/>
              <w:t>(0.80, 1.17)</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r w:rsidRPr="005640ED">
              <w:rPr>
                <w:bCs/>
                <w:iCs/>
                <w:sz w:val="18"/>
                <w:szCs w:val="18"/>
              </w:rPr>
              <w:br/>
              <w:t>(0.75, 1.24)</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r w:rsidRPr="005640ED">
              <w:rPr>
                <w:bCs/>
                <w:iCs/>
                <w:sz w:val="18"/>
                <w:szCs w:val="18"/>
              </w:rPr>
              <w:br/>
              <w:t>(0.79, 1.16)</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0.96 </w:t>
            </w:r>
            <w:r w:rsidRPr="005640ED">
              <w:rPr>
                <w:bCs/>
                <w:iCs/>
                <w:sz w:val="18"/>
                <w:szCs w:val="18"/>
              </w:rPr>
              <w:br/>
              <w:t>(0.63, 1.21)</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0.96 </w:t>
            </w:r>
            <w:r w:rsidRPr="005640ED">
              <w:rPr>
                <w:bCs/>
                <w:iCs/>
                <w:sz w:val="18"/>
                <w:szCs w:val="18"/>
              </w:rPr>
              <w:br/>
              <w:t>(0.54, 1.43)</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–0.8 </w:t>
            </w:r>
            <w:r w:rsidRPr="005640ED">
              <w:rPr>
                <w:bCs/>
                <w:iCs/>
                <w:sz w:val="18"/>
                <w:szCs w:val="18"/>
              </w:rPr>
              <w:br/>
              <w:t>(–50.9, 47.7)</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–1.4 </w:t>
            </w:r>
          </w:p>
          <w:p w:rsidR="00B8029E" w:rsidRPr="005640ED" w:rsidRDefault="00B8029E" w:rsidP="00FF3C32">
            <w:pPr>
              <w:spacing w:line="276" w:lineRule="auto"/>
              <w:jc w:val="center"/>
              <w:rPr>
                <w:bCs/>
                <w:iCs/>
                <w:sz w:val="18"/>
                <w:szCs w:val="18"/>
              </w:rPr>
            </w:pPr>
            <w:r w:rsidRPr="005640ED">
              <w:rPr>
                <w:bCs/>
                <w:iCs/>
                <w:sz w:val="18"/>
                <w:szCs w:val="18"/>
              </w:rPr>
              <w:t>(–47.3, 41.7)</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–0.09 </w:t>
            </w:r>
          </w:p>
          <w:p w:rsidR="00B8029E" w:rsidRPr="005640ED" w:rsidRDefault="00B8029E" w:rsidP="00FF3C32">
            <w:pPr>
              <w:spacing w:line="276" w:lineRule="auto"/>
              <w:jc w:val="center"/>
              <w:rPr>
                <w:bCs/>
                <w:iCs/>
                <w:sz w:val="18"/>
                <w:szCs w:val="18"/>
              </w:rPr>
            </w:pPr>
            <w:r w:rsidRPr="005640ED">
              <w:rPr>
                <w:bCs/>
                <w:iCs/>
                <w:sz w:val="18"/>
                <w:szCs w:val="18"/>
              </w:rPr>
              <w:t>(–1.52, 1.39)</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–0.12 </w:t>
            </w:r>
          </w:p>
          <w:p w:rsidR="00B8029E" w:rsidRPr="005640ED" w:rsidRDefault="00B8029E" w:rsidP="00FF3C32">
            <w:pPr>
              <w:spacing w:line="276" w:lineRule="auto"/>
              <w:jc w:val="center"/>
              <w:rPr>
                <w:bCs/>
                <w:iCs/>
                <w:sz w:val="18"/>
                <w:szCs w:val="18"/>
              </w:rPr>
            </w:pPr>
            <w:r w:rsidRPr="005640ED">
              <w:rPr>
                <w:bCs/>
                <w:iCs/>
                <w:sz w:val="18"/>
                <w:szCs w:val="18"/>
              </w:rPr>
              <w:t>(–1.62, 1.26)</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FF/UMEC/VI</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(0.81, 1.18)</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(0.77, 1.28)</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(0.80, 1.19)</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(0.71, 1.33)</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(0.62, 1.66)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–37.6 </w:t>
            </w:r>
          </w:p>
          <w:p w:rsidR="00B8029E" w:rsidRPr="005640ED" w:rsidRDefault="00B8029E" w:rsidP="00FF3C32">
            <w:pPr>
              <w:spacing w:line="276" w:lineRule="auto"/>
              <w:jc w:val="center"/>
              <w:rPr>
                <w:bCs/>
                <w:iCs/>
                <w:sz w:val="18"/>
                <w:szCs w:val="18"/>
              </w:rPr>
            </w:pPr>
            <w:r w:rsidRPr="005640ED">
              <w:rPr>
                <w:bCs/>
                <w:iCs/>
                <w:sz w:val="18"/>
                <w:szCs w:val="18"/>
              </w:rPr>
              <w:t>(–116.4, 18.3)</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–36.0 </w:t>
            </w:r>
          </w:p>
          <w:p w:rsidR="00B8029E" w:rsidRPr="005640ED" w:rsidRDefault="00B8029E" w:rsidP="00FF3C32">
            <w:pPr>
              <w:spacing w:line="276" w:lineRule="auto"/>
              <w:jc w:val="center"/>
              <w:rPr>
                <w:bCs/>
                <w:iCs/>
                <w:sz w:val="18"/>
                <w:szCs w:val="18"/>
              </w:rPr>
            </w:pPr>
            <w:r w:rsidRPr="005640ED">
              <w:rPr>
                <w:bCs/>
                <w:iCs/>
                <w:sz w:val="18"/>
                <w:szCs w:val="18"/>
              </w:rPr>
              <w:t>(–112.2, 15.2)</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0.37 </w:t>
            </w:r>
          </w:p>
          <w:p w:rsidR="00B8029E" w:rsidRPr="005640ED" w:rsidRDefault="00B8029E" w:rsidP="00FF3C32">
            <w:pPr>
              <w:spacing w:line="276" w:lineRule="auto"/>
              <w:jc w:val="center"/>
              <w:rPr>
                <w:bCs/>
                <w:iCs/>
                <w:sz w:val="18"/>
                <w:szCs w:val="18"/>
              </w:rPr>
            </w:pPr>
            <w:r w:rsidRPr="005640ED">
              <w:rPr>
                <w:bCs/>
                <w:iCs/>
                <w:sz w:val="18"/>
                <w:szCs w:val="18"/>
              </w:rPr>
              <w:t>(–0.77, 2.38)</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0.37 </w:t>
            </w:r>
          </w:p>
          <w:p w:rsidR="00B8029E" w:rsidRPr="005640ED" w:rsidRDefault="00B8029E" w:rsidP="00FF3C32">
            <w:pPr>
              <w:spacing w:line="276" w:lineRule="auto"/>
              <w:jc w:val="center"/>
              <w:rPr>
                <w:bCs/>
                <w:iCs/>
                <w:sz w:val="18"/>
                <w:szCs w:val="18"/>
              </w:rPr>
            </w:pPr>
            <w:r w:rsidRPr="005640ED">
              <w:rPr>
                <w:bCs/>
                <w:iCs/>
                <w:sz w:val="18"/>
                <w:szCs w:val="18"/>
              </w:rPr>
              <w:t>(–0.77, 2.42)</w:t>
            </w:r>
          </w:p>
        </w:tc>
      </w:tr>
      <w:tr w:rsidR="00B8029E" w:rsidRPr="005640ED" w:rsidTr="00FF3C32">
        <w:trPr>
          <w:trHeight w:val="296"/>
        </w:trPr>
        <w:tc>
          <w:tcPr>
            <w:tcW w:w="3126" w:type="dxa"/>
            <w:vAlign w:val="center"/>
            <w:hideMark/>
          </w:tcPr>
          <w:p w:rsidR="00B8029E" w:rsidRPr="005640ED" w:rsidRDefault="00B8029E" w:rsidP="00FF3C32">
            <w:pPr>
              <w:spacing w:line="276" w:lineRule="auto"/>
              <w:rPr>
                <w:bCs/>
                <w:iCs/>
                <w:sz w:val="18"/>
                <w:szCs w:val="18"/>
              </w:rPr>
            </w:pPr>
            <w:r w:rsidRPr="005640ED">
              <w:rPr>
                <w:bCs/>
                <w:iCs/>
                <w:sz w:val="18"/>
                <w:szCs w:val="18"/>
              </w:rPr>
              <w:t>BDP/FOR 200/12 μg BID + TIO 18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(0.79, 1.2)</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(0.74, 1.31)</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(0.78, 1.20)</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(0.67, 1.35)</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(0.57, 1.68)</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–7.2 </w:t>
            </w:r>
          </w:p>
          <w:p w:rsidR="00B8029E" w:rsidRPr="005640ED" w:rsidRDefault="00B8029E" w:rsidP="00FF3C32">
            <w:pPr>
              <w:spacing w:line="276" w:lineRule="auto"/>
              <w:jc w:val="center"/>
              <w:rPr>
                <w:bCs/>
                <w:iCs/>
                <w:sz w:val="18"/>
                <w:szCs w:val="18"/>
              </w:rPr>
            </w:pPr>
            <w:r w:rsidRPr="005640ED">
              <w:rPr>
                <w:bCs/>
                <w:iCs/>
                <w:sz w:val="18"/>
                <w:szCs w:val="18"/>
              </w:rPr>
              <w:t>(–72.5, 46.6)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–8.1 </w:t>
            </w:r>
          </w:p>
          <w:p w:rsidR="00B8029E" w:rsidRPr="005640ED" w:rsidRDefault="00B8029E" w:rsidP="00FF3C32">
            <w:pPr>
              <w:spacing w:line="276" w:lineRule="auto"/>
              <w:jc w:val="center"/>
              <w:rPr>
                <w:bCs/>
                <w:iCs/>
                <w:sz w:val="18"/>
                <w:szCs w:val="18"/>
              </w:rPr>
            </w:pPr>
            <w:r w:rsidRPr="005640ED">
              <w:rPr>
                <w:bCs/>
                <w:iCs/>
                <w:sz w:val="18"/>
                <w:szCs w:val="18"/>
              </w:rPr>
              <w:t>(–70.6, 40.6)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0.47 </w:t>
            </w:r>
          </w:p>
          <w:p w:rsidR="00B8029E" w:rsidRPr="005640ED" w:rsidRDefault="00B8029E" w:rsidP="00FF3C32">
            <w:pPr>
              <w:spacing w:line="276" w:lineRule="auto"/>
              <w:jc w:val="center"/>
              <w:rPr>
                <w:bCs/>
                <w:iCs/>
                <w:sz w:val="18"/>
                <w:szCs w:val="18"/>
              </w:rPr>
            </w:pPr>
            <w:r w:rsidRPr="005640ED">
              <w:rPr>
                <w:bCs/>
                <w:iCs/>
                <w:sz w:val="18"/>
                <w:szCs w:val="18"/>
              </w:rPr>
              <w:t>(–0.71, 2.95)</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0.42 </w:t>
            </w:r>
          </w:p>
          <w:p w:rsidR="00B8029E" w:rsidRPr="005640ED" w:rsidRDefault="00B8029E" w:rsidP="00FF3C32">
            <w:pPr>
              <w:spacing w:line="276" w:lineRule="auto"/>
              <w:jc w:val="center"/>
              <w:rPr>
                <w:bCs/>
                <w:iCs/>
                <w:sz w:val="18"/>
                <w:szCs w:val="18"/>
              </w:rPr>
            </w:pPr>
            <w:r w:rsidRPr="005640ED">
              <w:rPr>
                <w:bCs/>
                <w:iCs/>
                <w:sz w:val="18"/>
                <w:szCs w:val="18"/>
              </w:rPr>
              <w:t>(–0.84, 2.75)</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BUD/FOR 320/9 μg BID + TIO 18 μg OD</w:t>
            </w:r>
          </w:p>
        </w:tc>
        <w:tc>
          <w:tcPr>
            <w:tcW w:w="1368"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1.01 </w:t>
            </w:r>
          </w:p>
          <w:p w:rsidR="00B8029E" w:rsidRPr="005640ED" w:rsidRDefault="00B8029E" w:rsidP="00FF3C32">
            <w:pPr>
              <w:spacing w:line="276" w:lineRule="auto"/>
              <w:jc w:val="center"/>
              <w:rPr>
                <w:bCs/>
                <w:iCs/>
                <w:sz w:val="18"/>
                <w:szCs w:val="18"/>
              </w:rPr>
            </w:pPr>
            <w:r w:rsidRPr="005640ED">
              <w:rPr>
                <w:bCs/>
                <w:iCs/>
                <w:sz w:val="18"/>
                <w:szCs w:val="18"/>
              </w:rPr>
              <w:t>(0.83, 1.36)</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(0.71, 1.47)</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70"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FP/SAL 250/50 μg BID + TIO 18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(0.76, 1.23)</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(0.72, 1.36)</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(0.76, 1.24)</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(0.69, 1.49)</w:t>
            </w:r>
          </w:p>
        </w:tc>
        <w:tc>
          <w:tcPr>
            <w:tcW w:w="1369" w:type="dxa"/>
            <w:noWrap/>
            <w:hideMark/>
          </w:tcPr>
          <w:p w:rsidR="00B8029E" w:rsidRDefault="00B8029E" w:rsidP="00FF3C32">
            <w:pPr>
              <w:spacing w:line="276" w:lineRule="auto"/>
              <w:jc w:val="center"/>
              <w:rPr>
                <w:bCs/>
                <w:iCs/>
                <w:sz w:val="18"/>
                <w:szCs w:val="18"/>
              </w:rPr>
            </w:pPr>
            <w:r w:rsidRPr="005640ED">
              <w:rPr>
                <w:bCs/>
                <w:iCs/>
                <w:sz w:val="18"/>
                <w:szCs w:val="18"/>
              </w:rPr>
              <w:t xml:space="preserve">1.01 </w:t>
            </w:r>
          </w:p>
          <w:p w:rsidR="00B8029E" w:rsidRPr="005640ED" w:rsidRDefault="00B8029E" w:rsidP="00FF3C32">
            <w:pPr>
              <w:spacing w:line="276" w:lineRule="auto"/>
              <w:jc w:val="center"/>
              <w:rPr>
                <w:bCs/>
                <w:iCs/>
                <w:sz w:val="18"/>
                <w:szCs w:val="18"/>
              </w:rPr>
            </w:pPr>
            <w:r w:rsidRPr="005640ED">
              <w:rPr>
                <w:bCs/>
                <w:iCs/>
                <w:sz w:val="18"/>
                <w:szCs w:val="18"/>
              </w:rPr>
              <w:t>(0.6, 2.41)</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–17.7 </w:t>
            </w:r>
          </w:p>
          <w:p w:rsidR="00B8029E" w:rsidRPr="005640ED" w:rsidRDefault="00B8029E" w:rsidP="00FF3C32">
            <w:pPr>
              <w:spacing w:line="276" w:lineRule="auto"/>
              <w:jc w:val="center"/>
              <w:rPr>
                <w:bCs/>
                <w:iCs/>
                <w:sz w:val="18"/>
                <w:szCs w:val="18"/>
              </w:rPr>
            </w:pPr>
            <w:r w:rsidRPr="005640ED">
              <w:rPr>
                <w:bCs/>
                <w:iCs/>
                <w:sz w:val="18"/>
                <w:szCs w:val="18"/>
              </w:rPr>
              <w:t>(–105.6, 35.3)</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–11.9 </w:t>
            </w:r>
          </w:p>
          <w:p w:rsidR="00B8029E" w:rsidRPr="005640ED" w:rsidRDefault="00B8029E" w:rsidP="00FF3C32">
            <w:pPr>
              <w:spacing w:line="276" w:lineRule="auto"/>
              <w:jc w:val="center"/>
              <w:rPr>
                <w:bCs/>
                <w:iCs/>
                <w:sz w:val="18"/>
                <w:szCs w:val="18"/>
              </w:rPr>
            </w:pPr>
            <w:r w:rsidRPr="005640ED">
              <w:rPr>
                <w:bCs/>
                <w:iCs/>
                <w:sz w:val="18"/>
                <w:szCs w:val="18"/>
              </w:rPr>
              <w:t>(–86.4, 36.0)</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0.29 </w:t>
            </w:r>
          </w:p>
          <w:p w:rsidR="00B8029E" w:rsidRPr="005640ED" w:rsidRDefault="00B8029E" w:rsidP="00FF3C32">
            <w:pPr>
              <w:spacing w:line="276" w:lineRule="auto"/>
              <w:jc w:val="center"/>
              <w:rPr>
                <w:bCs/>
                <w:iCs/>
                <w:sz w:val="18"/>
                <w:szCs w:val="18"/>
              </w:rPr>
            </w:pPr>
            <w:r w:rsidRPr="005640ED">
              <w:rPr>
                <w:bCs/>
                <w:iCs/>
                <w:sz w:val="18"/>
                <w:szCs w:val="18"/>
              </w:rPr>
              <w:t>(–1.12, 3.48)</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FP/SAL 500/50 μg BID + TIO 18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(0.78, 1.15)</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(0.70, 1.27)</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(0.77, 1.16)</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(0.72, 1.37)</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–7.0 </w:t>
            </w:r>
          </w:p>
          <w:p w:rsidR="00B8029E" w:rsidRPr="005640ED" w:rsidRDefault="00B8029E" w:rsidP="00FF3C32">
            <w:pPr>
              <w:spacing w:line="276" w:lineRule="auto"/>
              <w:jc w:val="center"/>
              <w:rPr>
                <w:bCs/>
                <w:iCs/>
                <w:sz w:val="18"/>
                <w:szCs w:val="18"/>
              </w:rPr>
            </w:pPr>
            <w:r w:rsidRPr="005640ED">
              <w:rPr>
                <w:bCs/>
                <w:iCs/>
                <w:sz w:val="18"/>
                <w:szCs w:val="18"/>
              </w:rPr>
              <w:t>(–73.7, 48.1)</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–6.8 </w:t>
            </w:r>
          </w:p>
          <w:p w:rsidR="00B8029E" w:rsidRPr="005640ED" w:rsidRDefault="00B8029E" w:rsidP="00FF3C32">
            <w:pPr>
              <w:spacing w:line="276" w:lineRule="auto"/>
              <w:jc w:val="center"/>
              <w:rPr>
                <w:bCs/>
                <w:iCs/>
                <w:sz w:val="18"/>
                <w:szCs w:val="18"/>
              </w:rPr>
            </w:pPr>
            <w:r w:rsidRPr="005640ED">
              <w:rPr>
                <w:bCs/>
                <w:iCs/>
                <w:sz w:val="18"/>
                <w:szCs w:val="18"/>
              </w:rPr>
              <w:t>(–69.4, 42.6)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0.05 </w:t>
            </w:r>
          </w:p>
          <w:p w:rsidR="00B8029E" w:rsidRPr="005640ED" w:rsidRDefault="00B8029E" w:rsidP="00FF3C32">
            <w:pPr>
              <w:spacing w:line="276" w:lineRule="auto"/>
              <w:jc w:val="center"/>
              <w:rPr>
                <w:bCs/>
                <w:iCs/>
                <w:sz w:val="18"/>
                <w:szCs w:val="18"/>
              </w:rPr>
            </w:pPr>
            <w:r w:rsidRPr="005640ED">
              <w:rPr>
                <w:bCs/>
                <w:iCs/>
                <w:sz w:val="18"/>
                <w:szCs w:val="18"/>
              </w:rPr>
              <w:t>(–1.49, 1.93)</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0.05 </w:t>
            </w:r>
          </w:p>
          <w:p w:rsidR="00B8029E" w:rsidRPr="005640ED" w:rsidRDefault="00B8029E" w:rsidP="00FF3C32">
            <w:pPr>
              <w:spacing w:line="276" w:lineRule="auto"/>
              <w:jc w:val="center"/>
              <w:rPr>
                <w:bCs/>
                <w:iCs/>
                <w:sz w:val="18"/>
                <w:szCs w:val="18"/>
              </w:rPr>
            </w:pPr>
            <w:r w:rsidRPr="005640ED">
              <w:rPr>
                <w:bCs/>
                <w:iCs/>
                <w:sz w:val="18"/>
                <w:szCs w:val="18"/>
              </w:rPr>
              <w:t>(–1.51, 1.95)</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FP 500 μg BID (red.) + SAL 50 μg BID + TIO 18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(0.76, 1.16)</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(0.75, 1.18)</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0.97 </w:t>
            </w:r>
          </w:p>
          <w:p w:rsidR="00B8029E" w:rsidRPr="005640ED" w:rsidRDefault="00B8029E" w:rsidP="00FF3C32">
            <w:pPr>
              <w:spacing w:line="276" w:lineRule="auto"/>
              <w:jc w:val="center"/>
              <w:rPr>
                <w:bCs/>
                <w:iCs/>
                <w:sz w:val="18"/>
                <w:szCs w:val="18"/>
              </w:rPr>
            </w:pPr>
            <w:r w:rsidRPr="005640ED">
              <w:rPr>
                <w:bCs/>
                <w:iCs/>
                <w:sz w:val="18"/>
                <w:szCs w:val="18"/>
              </w:rPr>
              <w:t>(0.64, 1.28)</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70"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FF/VI 100/25 μg OD + UMEC 62.5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(0.76, 1.17)</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(0.73, 1.29)</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0.98 </w:t>
            </w:r>
          </w:p>
          <w:p w:rsidR="00B8029E" w:rsidRPr="005640ED" w:rsidRDefault="00B8029E" w:rsidP="00FF3C32">
            <w:pPr>
              <w:spacing w:line="276" w:lineRule="auto"/>
              <w:jc w:val="center"/>
              <w:rPr>
                <w:bCs/>
                <w:iCs/>
                <w:sz w:val="18"/>
                <w:szCs w:val="18"/>
              </w:rPr>
            </w:pPr>
            <w:r w:rsidRPr="005640ED">
              <w:rPr>
                <w:bCs/>
                <w:iCs/>
                <w:sz w:val="18"/>
                <w:szCs w:val="18"/>
              </w:rPr>
              <w:t>(0.76, 1.19)</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0.97 </w:t>
            </w:r>
          </w:p>
          <w:p w:rsidR="00B8029E" w:rsidRPr="005640ED" w:rsidRDefault="00B8029E" w:rsidP="00FF3C32">
            <w:pPr>
              <w:spacing w:line="276" w:lineRule="auto"/>
              <w:jc w:val="center"/>
              <w:rPr>
                <w:bCs/>
                <w:iCs/>
                <w:sz w:val="18"/>
                <w:szCs w:val="18"/>
              </w:rPr>
            </w:pPr>
            <w:r w:rsidRPr="005640ED">
              <w:rPr>
                <w:bCs/>
                <w:iCs/>
                <w:sz w:val="18"/>
                <w:szCs w:val="18"/>
              </w:rPr>
              <w:t>(0.60, 1.25)</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0.96 </w:t>
            </w:r>
          </w:p>
          <w:p w:rsidR="00B8029E" w:rsidRPr="005640ED" w:rsidRDefault="00B8029E" w:rsidP="00FF3C32">
            <w:pPr>
              <w:spacing w:line="276" w:lineRule="auto"/>
              <w:jc w:val="center"/>
              <w:rPr>
                <w:bCs/>
                <w:iCs/>
                <w:sz w:val="18"/>
                <w:szCs w:val="18"/>
              </w:rPr>
            </w:pPr>
            <w:r w:rsidRPr="005640ED">
              <w:rPr>
                <w:bCs/>
                <w:iCs/>
                <w:sz w:val="18"/>
                <w:szCs w:val="18"/>
              </w:rPr>
              <w:t>(0.48, 1.49)</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–14.5 </w:t>
            </w:r>
          </w:p>
          <w:p w:rsidR="00B8029E" w:rsidRPr="005640ED" w:rsidRDefault="00B8029E" w:rsidP="00FF3C32">
            <w:pPr>
              <w:spacing w:line="276" w:lineRule="auto"/>
              <w:jc w:val="center"/>
              <w:rPr>
                <w:bCs/>
                <w:iCs/>
                <w:sz w:val="18"/>
                <w:szCs w:val="18"/>
              </w:rPr>
            </w:pPr>
            <w:r w:rsidRPr="005640ED">
              <w:rPr>
                <w:bCs/>
                <w:iCs/>
                <w:sz w:val="18"/>
                <w:szCs w:val="18"/>
              </w:rPr>
              <w:t>(–95.1, 39.6)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–13.3 </w:t>
            </w:r>
          </w:p>
          <w:p w:rsidR="00B8029E" w:rsidRPr="005640ED" w:rsidRDefault="00B8029E" w:rsidP="00FF3C32">
            <w:pPr>
              <w:spacing w:line="276" w:lineRule="auto"/>
              <w:jc w:val="center"/>
              <w:rPr>
                <w:bCs/>
                <w:iCs/>
                <w:sz w:val="18"/>
                <w:szCs w:val="18"/>
              </w:rPr>
            </w:pPr>
            <w:r w:rsidRPr="005640ED">
              <w:rPr>
                <w:bCs/>
                <w:iCs/>
                <w:sz w:val="18"/>
                <w:szCs w:val="18"/>
              </w:rPr>
              <w:t>(–89.9, 36.4)</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0.02 </w:t>
            </w:r>
          </w:p>
          <w:p w:rsidR="00B8029E" w:rsidRPr="005640ED" w:rsidRDefault="00B8029E" w:rsidP="00FF3C32">
            <w:pPr>
              <w:spacing w:line="276" w:lineRule="auto"/>
              <w:jc w:val="center"/>
              <w:rPr>
                <w:bCs/>
                <w:iCs/>
                <w:sz w:val="18"/>
                <w:szCs w:val="18"/>
              </w:rPr>
            </w:pPr>
            <w:r w:rsidRPr="005640ED">
              <w:rPr>
                <w:bCs/>
                <w:iCs/>
                <w:sz w:val="18"/>
                <w:szCs w:val="18"/>
              </w:rPr>
              <w:t>(–1.53, 1.86)</w:t>
            </w:r>
          </w:p>
        </w:tc>
        <w:tc>
          <w:tcPr>
            <w:tcW w:w="1370"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0.02 </w:t>
            </w:r>
          </w:p>
          <w:p w:rsidR="00B8029E" w:rsidRPr="005640ED" w:rsidRDefault="00B8029E" w:rsidP="00FF3C32">
            <w:pPr>
              <w:spacing w:line="276" w:lineRule="auto"/>
              <w:jc w:val="center"/>
              <w:rPr>
                <w:bCs/>
                <w:iCs/>
                <w:sz w:val="18"/>
                <w:szCs w:val="18"/>
              </w:rPr>
            </w:pPr>
            <w:r w:rsidRPr="005640ED">
              <w:rPr>
                <w:bCs/>
                <w:iCs/>
                <w:sz w:val="18"/>
                <w:szCs w:val="18"/>
              </w:rPr>
              <w:t>(–1.49, 1.9</w:t>
            </w:r>
            <w:r>
              <w:rPr>
                <w:bCs/>
                <w:iCs/>
                <w:sz w:val="18"/>
                <w:szCs w:val="18"/>
              </w:rPr>
              <w:t>0</w:t>
            </w:r>
            <w:r w:rsidRPr="005640ED">
              <w:rPr>
                <w:bCs/>
                <w:iCs/>
                <w:sz w:val="18"/>
                <w:szCs w:val="18"/>
              </w:rPr>
              <w:t>)</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FP/SAL 250/50 μg BID + UMEC 62.5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(0.79, 1.28)</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(0.76, 1.42)</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(0.79, 1.3)</w:t>
            </w:r>
          </w:p>
        </w:tc>
        <w:tc>
          <w:tcPr>
            <w:tcW w:w="1368"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70"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r>
      <w:tr w:rsidR="00B8029E" w:rsidRPr="005640ED" w:rsidTr="00FF3C32">
        <w:trPr>
          <w:trHeight w:val="296"/>
        </w:trPr>
        <w:tc>
          <w:tcPr>
            <w:tcW w:w="3126" w:type="dxa"/>
            <w:noWrap/>
            <w:vAlign w:val="center"/>
            <w:hideMark/>
          </w:tcPr>
          <w:p w:rsidR="00B8029E" w:rsidRPr="005640ED" w:rsidRDefault="00B8029E" w:rsidP="00FF3C32">
            <w:pPr>
              <w:spacing w:line="276" w:lineRule="auto"/>
              <w:rPr>
                <w:bCs/>
                <w:iCs/>
                <w:sz w:val="18"/>
                <w:szCs w:val="18"/>
              </w:rPr>
            </w:pPr>
            <w:r w:rsidRPr="005640ED">
              <w:rPr>
                <w:bCs/>
                <w:iCs/>
                <w:sz w:val="18"/>
                <w:szCs w:val="18"/>
              </w:rPr>
              <w:t>FF/VI 100/25 μg OD + UMEC 125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(0.74, 1.2)</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(0.69, 1.31)</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0.99 </w:t>
            </w:r>
          </w:p>
          <w:p w:rsidR="00B8029E" w:rsidRPr="005640ED" w:rsidRDefault="00B8029E" w:rsidP="00FF3C32">
            <w:pPr>
              <w:spacing w:line="276" w:lineRule="auto"/>
              <w:jc w:val="center"/>
              <w:rPr>
                <w:bCs/>
                <w:iCs/>
                <w:sz w:val="18"/>
                <w:szCs w:val="18"/>
              </w:rPr>
            </w:pPr>
            <w:r w:rsidRPr="005640ED">
              <w:rPr>
                <w:bCs/>
                <w:iCs/>
                <w:sz w:val="18"/>
                <w:szCs w:val="18"/>
              </w:rPr>
              <w:t>(0.76, 1.23)</w:t>
            </w:r>
          </w:p>
        </w:tc>
        <w:tc>
          <w:tcPr>
            <w:tcW w:w="1368"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70"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r>
      <w:tr w:rsidR="00B8029E" w:rsidRPr="005640ED" w:rsidTr="00FF3C32">
        <w:trPr>
          <w:trHeight w:val="310"/>
        </w:trPr>
        <w:tc>
          <w:tcPr>
            <w:tcW w:w="3126" w:type="dxa"/>
            <w:vAlign w:val="center"/>
            <w:hideMark/>
          </w:tcPr>
          <w:p w:rsidR="00B8029E" w:rsidRPr="005640ED" w:rsidRDefault="00B8029E" w:rsidP="00FF3C32">
            <w:pPr>
              <w:spacing w:line="276" w:lineRule="auto"/>
              <w:rPr>
                <w:bCs/>
                <w:iCs/>
                <w:sz w:val="18"/>
                <w:szCs w:val="18"/>
              </w:rPr>
            </w:pPr>
            <w:r w:rsidRPr="005640ED">
              <w:rPr>
                <w:bCs/>
                <w:iCs/>
                <w:sz w:val="18"/>
                <w:szCs w:val="18"/>
              </w:rPr>
              <w:t>FP/SAL 250/50 μg BID + UMEC 125 μg OD</w:t>
            </w:r>
          </w:p>
        </w:tc>
        <w:tc>
          <w:tcPr>
            <w:tcW w:w="1368"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(0.82, 1.36)</w:t>
            </w:r>
          </w:p>
        </w:tc>
        <w:tc>
          <w:tcPr>
            <w:tcW w:w="1369" w:type="dxa"/>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1.01 </w:t>
            </w:r>
          </w:p>
          <w:p w:rsidR="00B8029E" w:rsidRPr="005640ED" w:rsidRDefault="00B8029E" w:rsidP="00FF3C32">
            <w:pPr>
              <w:spacing w:line="276" w:lineRule="auto"/>
              <w:jc w:val="center"/>
              <w:rPr>
                <w:bCs/>
                <w:iCs/>
                <w:sz w:val="18"/>
                <w:szCs w:val="18"/>
              </w:rPr>
            </w:pPr>
            <w:r w:rsidRPr="005640ED">
              <w:rPr>
                <w:bCs/>
                <w:iCs/>
                <w:sz w:val="18"/>
                <w:szCs w:val="18"/>
              </w:rPr>
              <w:t>(0.80, 1.53)</w:t>
            </w:r>
          </w:p>
        </w:tc>
        <w:tc>
          <w:tcPr>
            <w:tcW w:w="1369" w:type="dxa"/>
            <w:gridSpan w:val="2"/>
            <w:noWrap/>
            <w:hideMark/>
          </w:tcPr>
          <w:p w:rsidR="00B8029E" w:rsidRPr="005640ED" w:rsidRDefault="00B8029E" w:rsidP="00FF3C32">
            <w:pPr>
              <w:spacing w:line="276" w:lineRule="auto"/>
              <w:jc w:val="center"/>
              <w:rPr>
                <w:bCs/>
                <w:iCs/>
                <w:sz w:val="18"/>
                <w:szCs w:val="18"/>
              </w:rPr>
            </w:pPr>
            <w:r w:rsidRPr="005640ED">
              <w:rPr>
                <w:bCs/>
                <w:iCs/>
                <w:sz w:val="18"/>
                <w:szCs w:val="18"/>
              </w:rPr>
              <w:t xml:space="preserve">1.00 </w:t>
            </w:r>
          </w:p>
          <w:p w:rsidR="00B8029E" w:rsidRPr="005640ED" w:rsidRDefault="00B8029E" w:rsidP="00FF3C32">
            <w:pPr>
              <w:spacing w:line="276" w:lineRule="auto"/>
              <w:jc w:val="center"/>
              <w:rPr>
                <w:bCs/>
                <w:iCs/>
                <w:sz w:val="18"/>
                <w:szCs w:val="18"/>
              </w:rPr>
            </w:pPr>
            <w:r w:rsidRPr="005640ED">
              <w:rPr>
                <w:bCs/>
                <w:iCs/>
                <w:sz w:val="18"/>
                <w:szCs w:val="18"/>
              </w:rPr>
              <w:t>(0.82, 1.37)</w:t>
            </w:r>
          </w:p>
        </w:tc>
        <w:tc>
          <w:tcPr>
            <w:tcW w:w="1368"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69"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c>
          <w:tcPr>
            <w:tcW w:w="1370" w:type="dxa"/>
            <w:noWrap/>
            <w:hideMark/>
          </w:tcPr>
          <w:p w:rsidR="00B8029E" w:rsidRPr="005640ED" w:rsidRDefault="00B8029E" w:rsidP="00FF3C32">
            <w:pPr>
              <w:spacing w:line="276" w:lineRule="auto"/>
              <w:jc w:val="center"/>
              <w:rPr>
                <w:bCs/>
                <w:iCs/>
                <w:sz w:val="18"/>
                <w:szCs w:val="18"/>
              </w:rPr>
            </w:pPr>
            <w:r w:rsidRPr="005640ED">
              <w:rPr>
                <w:sz w:val="18"/>
                <w:szCs w:val="18"/>
                <w:lang w:val="en-US" w:eastAsia="en-GB"/>
              </w:rPr>
              <w:t>–</w:t>
            </w:r>
          </w:p>
        </w:tc>
      </w:tr>
    </w:tbl>
    <w:p w:rsidR="00B8029E" w:rsidRDefault="00B8029E" w:rsidP="00B8029E">
      <w:pPr>
        <w:spacing w:before="240"/>
        <w:rPr>
          <w:bCs/>
          <w:iCs/>
          <w:lang w:val="en-US"/>
        </w:rPr>
      </w:pPr>
      <w:r w:rsidRPr="002912EB">
        <w:rPr>
          <w:bCs/>
          <w:iCs/>
          <w:lang w:val="en-US"/>
        </w:rPr>
        <w:t xml:space="preserve">Data for </w:t>
      </w:r>
      <w:r>
        <w:rPr>
          <w:bCs/>
          <w:iCs/>
          <w:lang w:val="en-US"/>
        </w:rPr>
        <w:t>moderate/severe exacerbations and severe exacerbations are RR (95% CrI). Data for trough FEV</w:t>
      </w:r>
      <w:r w:rsidRPr="00BA22D3">
        <w:rPr>
          <w:bCs/>
          <w:iCs/>
          <w:vertAlign w:val="subscript"/>
          <w:lang w:val="en-US"/>
        </w:rPr>
        <w:t>1</w:t>
      </w:r>
      <w:r>
        <w:rPr>
          <w:bCs/>
          <w:iCs/>
          <w:lang w:val="en-US"/>
        </w:rPr>
        <w:t xml:space="preserve"> and SGRQ score are mean differences (95% CrI).</w:t>
      </w:r>
    </w:p>
    <w:p w:rsidR="00B8029E" w:rsidRPr="002912EB" w:rsidRDefault="00B8029E" w:rsidP="00B8029E">
      <w:pPr>
        <w:spacing w:after="0"/>
        <w:rPr>
          <w:b/>
          <w:bCs/>
          <w:iCs/>
          <w:lang w:val="en-US"/>
        </w:rPr>
      </w:pPr>
      <w:r w:rsidRPr="009935BC">
        <w:rPr>
          <w:rFonts w:cs="Times New Roman"/>
          <w:lang w:val="en-US"/>
        </w:rPr>
        <w:t xml:space="preserve">BDP, </w:t>
      </w:r>
      <w:r w:rsidRPr="009935BC">
        <w:rPr>
          <w:lang w:val="en-US"/>
        </w:rPr>
        <w:t>beclomethasone dipropionate</w:t>
      </w:r>
      <w:r w:rsidRPr="009935BC">
        <w:rPr>
          <w:rFonts w:cs="Times New Roman"/>
          <w:lang w:val="en-US"/>
        </w:rPr>
        <w:t xml:space="preserve">; </w:t>
      </w:r>
      <w:r w:rsidRPr="009935BC">
        <w:rPr>
          <w:lang w:val="en-US"/>
        </w:rPr>
        <w:t xml:space="preserve">BID, twice daily; BGF, </w:t>
      </w:r>
      <w:r w:rsidRPr="009935BC">
        <w:rPr>
          <w:rFonts w:eastAsiaTheme="majorEastAsia"/>
          <w:lang w:val="en-US"/>
        </w:rPr>
        <w:t>b</w:t>
      </w:r>
      <w:r w:rsidRPr="009935BC">
        <w:rPr>
          <w:rFonts w:eastAsia="ScalaLancetPro" w:cs="Times New Roman"/>
          <w:lang w:val="en-US"/>
        </w:rPr>
        <w:t xml:space="preserve">udesonide/glycopyrronium/formoterol </w:t>
      </w:r>
      <w:r w:rsidRPr="009935BC">
        <w:rPr>
          <w:rFonts w:eastAsiaTheme="majorEastAsia"/>
          <w:lang w:val="en-US"/>
        </w:rPr>
        <w:t>fumarate</w:t>
      </w:r>
      <w:r w:rsidRPr="009935BC">
        <w:rPr>
          <w:lang w:val="en-US"/>
        </w:rPr>
        <w:t xml:space="preserve">; </w:t>
      </w:r>
      <w:r w:rsidRPr="009935BC">
        <w:rPr>
          <w:rFonts w:cs="Times New Roman"/>
          <w:lang w:val="en-US"/>
        </w:rPr>
        <w:t xml:space="preserve">BUD, budesonide; CrI, credible interval; </w:t>
      </w:r>
      <w:r w:rsidRPr="009935BC">
        <w:rPr>
          <w:bCs/>
          <w:iCs/>
          <w:lang w:val="en-US"/>
        </w:rPr>
        <w:t>FEV</w:t>
      </w:r>
      <w:r w:rsidRPr="009935BC">
        <w:rPr>
          <w:bCs/>
          <w:iCs/>
          <w:vertAlign w:val="subscript"/>
          <w:lang w:val="en-US"/>
        </w:rPr>
        <w:t>1</w:t>
      </w:r>
      <w:r w:rsidRPr="009935BC">
        <w:rPr>
          <w:bCs/>
          <w:iCs/>
          <w:lang w:val="en-US"/>
        </w:rPr>
        <w:t>: forced expiratory volume in one second;</w:t>
      </w:r>
      <w:r w:rsidRPr="009935BC">
        <w:rPr>
          <w:lang w:val="en-US"/>
        </w:rPr>
        <w:t xml:space="preserve"> </w:t>
      </w:r>
      <w:r w:rsidRPr="009935BC">
        <w:rPr>
          <w:rFonts w:cs="Times New Roman"/>
          <w:lang w:val="en-US"/>
        </w:rPr>
        <w:t xml:space="preserve">FF, fluticasone furoate; FOR, formoterol; FP, fluticasone propionate; </w:t>
      </w:r>
      <w:r w:rsidRPr="009935BC">
        <w:rPr>
          <w:lang w:val="en-US"/>
        </w:rPr>
        <w:t xml:space="preserve">GLY, glycopyrronium; </w:t>
      </w:r>
      <w:r w:rsidRPr="009935BC">
        <w:rPr>
          <w:bCs/>
          <w:iCs/>
          <w:lang w:val="en-US"/>
        </w:rPr>
        <w:t xml:space="preserve">MDI, </w:t>
      </w:r>
      <w:r w:rsidRPr="009935BC">
        <w:rPr>
          <w:rFonts w:eastAsia="ScalaLancetPro" w:cs="Times New Roman"/>
          <w:lang w:val="en-US"/>
        </w:rPr>
        <w:t>metered dose inhaler</w:t>
      </w:r>
      <w:r w:rsidRPr="009935BC">
        <w:rPr>
          <w:bCs/>
          <w:iCs/>
          <w:lang w:val="en-US"/>
        </w:rPr>
        <w:t>; OD, once daily;</w:t>
      </w:r>
      <w:r w:rsidRPr="00372681">
        <w:rPr>
          <w:bCs/>
          <w:iCs/>
          <w:lang w:val="en-US"/>
        </w:rPr>
        <w:t xml:space="preserve"> </w:t>
      </w:r>
      <w:r w:rsidRPr="009935BC">
        <w:rPr>
          <w:rFonts w:cs="Times New Roman"/>
          <w:lang w:val="en-US"/>
        </w:rPr>
        <w:t xml:space="preserve">red., reducing; RR, rate ratio; SAL, salmeterol; </w:t>
      </w:r>
      <w:r w:rsidRPr="00372681">
        <w:rPr>
          <w:lang w:val="en-US"/>
        </w:rPr>
        <w:t>SGRQ, St George’s Respiratory Questionnaire</w:t>
      </w:r>
      <w:r w:rsidRPr="00655A9A">
        <w:rPr>
          <w:lang w:val="en-US"/>
        </w:rPr>
        <w:t xml:space="preserve">; </w:t>
      </w:r>
      <w:r w:rsidRPr="009935BC">
        <w:rPr>
          <w:rFonts w:cs="Times New Roman"/>
          <w:lang w:val="en-US"/>
        </w:rPr>
        <w:t>TIO, tiotropium; UMEC, umeclidinium; VI, vilanterol</w:t>
      </w:r>
      <w:r w:rsidRPr="002912EB">
        <w:rPr>
          <w:b/>
          <w:bCs/>
          <w:iCs/>
          <w:lang w:val="en-US"/>
        </w:rPr>
        <w:br w:type="page"/>
      </w:r>
    </w:p>
    <w:p w:rsidR="00B8029E" w:rsidRDefault="00B8029E" w:rsidP="00B8029E">
      <w:pPr>
        <w:spacing w:line="259" w:lineRule="auto"/>
        <w:rPr>
          <w:lang w:val="en-US"/>
        </w:rPr>
      </w:pPr>
      <w:bookmarkStart w:id="2" w:name="_Ref522208106"/>
      <w:bookmarkStart w:id="3" w:name="_Ref522207481"/>
      <w:r>
        <w:rPr>
          <w:b/>
          <w:lang w:val="en-US"/>
        </w:rPr>
        <w:lastRenderedPageBreak/>
        <w:t xml:space="preserve">Table S5 </w:t>
      </w:r>
      <w:r w:rsidRPr="008E3905">
        <w:rPr>
          <w:lang w:val="en-US"/>
        </w:rPr>
        <w:t>Summary of meta-regression results</w:t>
      </w:r>
      <w:r>
        <w:rPr>
          <w:lang w:val="en-US"/>
        </w:rPr>
        <w:t xml:space="preserve"> </w:t>
      </w:r>
    </w:p>
    <w:tbl>
      <w:tblPr>
        <w:tblStyle w:val="TableGrid"/>
        <w:tblW w:w="15021" w:type="dxa"/>
        <w:tblLayout w:type="fixed"/>
        <w:tblLook w:val="04A0" w:firstRow="1" w:lastRow="0" w:firstColumn="1" w:lastColumn="0" w:noHBand="0" w:noVBand="1"/>
      </w:tblPr>
      <w:tblGrid>
        <w:gridCol w:w="2440"/>
        <w:gridCol w:w="1265"/>
        <w:gridCol w:w="1266"/>
        <w:gridCol w:w="1267"/>
        <w:gridCol w:w="1266"/>
        <w:gridCol w:w="1270"/>
        <w:gridCol w:w="1266"/>
        <w:gridCol w:w="1266"/>
        <w:gridCol w:w="1267"/>
        <w:gridCol w:w="1266"/>
        <w:gridCol w:w="1182"/>
      </w:tblGrid>
      <w:tr w:rsidR="00B8029E" w:rsidRPr="005640ED" w:rsidTr="00FF3C32">
        <w:trPr>
          <w:trHeight w:val="323"/>
        </w:trPr>
        <w:tc>
          <w:tcPr>
            <w:tcW w:w="2440" w:type="dxa"/>
            <w:vMerge w:val="restart"/>
            <w:vAlign w:val="center"/>
            <w:hideMark/>
          </w:tcPr>
          <w:p w:rsidR="00B8029E" w:rsidRPr="005640ED" w:rsidRDefault="00B8029E" w:rsidP="00FF3C32">
            <w:pPr>
              <w:spacing w:line="276" w:lineRule="auto"/>
              <w:rPr>
                <w:rFonts w:cs="Times New Roman"/>
                <w:b/>
                <w:bCs/>
                <w:iCs/>
                <w:sz w:val="18"/>
                <w:szCs w:val="18"/>
              </w:rPr>
            </w:pPr>
            <w:r w:rsidRPr="005640ED">
              <w:rPr>
                <w:rFonts w:cs="Times New Roman"/>
                <w:b/>
                <w:bCs/>
                <w:iCs/>
                <w:sz w:val="18"/>
                <w:szCs w:val="18"/>
              </w:rPr>
              <w:t>BGF MDI vs.</w:t>
            </w:r>
          </w:p>
        </w:tc>
        <w:tc>
          <w:tcPr>
            <w:tcW w:w="6334" w:type="dxa"/>
            <w:gridSpan w:val="5"/>
            <w:noWrap/>
            <w:hideMark/>
          </w:tcPr>
          <w:p w:rsidR="00B8029E" w:rsidRPr="005640ED" w:rsidRDefault="00B8029E" w:rsidP="00FF3C32">
            <w:pPr>
              <w:spacing w:line="276" w:lineRule="auto"/>
              <w:jc w:val="center"/>
              <w:rPr>
                <w:rFonts w:cs="Times New Roman"/>
                <w:b/>
                <w:bCs/>
                <w:iCs/>
                <w:sz w:val="18"/>
                <w:szCs w:val="18"/>
              </w:rPr>
            </w:pPr>
            <w:r w:rsidRPr="005640ED">
              <w:rPr>
                <w:rFonts w:cs="Times New Roman"/>
                <w:b/>
                <w:bCs/>
                <w:iCs/>
                <w:sz w:val="18"/>
                <w:szCs w:val="18"/>
              </w:rPr>
              <w:t>Moderate/severe exacerbations</w:t>
            </w:r>
          </w:p>
        </w:tc>
        <w:tc>
          <w:tcPr>
            <w:tcW w:w="6247" w:type="dxa"/>
            <w:gridSpan w:val="5"/>
            <w:noWrap/>
            <w:hideMark/>
          </w:tcPr>
          <w:p w:rsidR="00B8029E" w:rsidRPr="005640ED" w:rsidRDefault="00B8029E" w:rsidP="00FF3C32">
            <w:pPr>
              <w:spacing w:line="276" w:lineRule="auto"/>
              <w:jc w:val="center"/>
              <w:rPr>
                <w:rFonts w:cs="Times New Roman"/>
                <w:b/>
                <w:bCs/>
                <w:iCs/>
                <w:sz w:val="18"/>
                <w:szCs w:val="18"/>
              </w:rPr>
            </w:pPr>
            <w:r w:rsidRPr="005640ED">
              <w:rPr>
                <w:rFonts w:cs="Times New Roman"/>
                <w:b/>
                <w:bCs/>
                <w:iCs/>
                <w:sz w:val="18"/>
                <w:szCs w:val="18"/>
              </w:rPr>
              <w:t>Severe exacerbations</w:t>
            </w:r>
          </w:p>
        </w:tc>
      </w:tr>
      <w:tr w:rsidR="00B8029E" w:rsidRPr="005640ED" w:rsidTr="00FF3C32">
        <w:trPr>
          <w:trHeight w:val="632"/>
        </w:trPr>
        <w:tc>
          <w:tcPr>
            <w:tcW w:w="2440" w:type="dxa"/>
            <w:vMerge/>
            <w:hideMark/>
          </w:tcPr>
          <w:p w:rsidR="00B8029E" w:rsidRPr="005640ED" w:rsidRDefault="00B8029E" w:rsidP="00FF3C32">
            <w:pPr>
              <w:spacing w:line="276" w:lineRule="auto"/>
              <w:rPr>
                <w:rFonts w:cs="Times New Roman"/>
                <w:b/>
                <w:bCs/>
                <w:iCs/>
                <w:sz w:val="18"/>
                <w:szCs w:val="18"/>
              </w:rPr>
            </w:pPr>
          </w:p>
        </w:tc>
        <w:tc>
          <w:tcPr>
            <w:tcW w:w="1265" w:type="dxa"/>
            <w:hideMark/>
          </w:tcPr>
          <w:p w:rsidR="00B8029E" w:rsidRPr="005640ED" w:rsidRDefault="00B8029E" w:rsidP="00FF3C32">
            <w:pPr>
              <w:spacing w:line="276" w:lineRule="auto"/>
              <w:jc w:val="center"/>
              <w:rPr>
                <w:rFonts w:cs="Times New Roman"/>
                <w:b/>
                <w:bCs/>
                <w:iCs/>
                <w:sz w:val="18"/>
                <w:szCs w:val="18"/>
              </w:rPr>
            </w:pPr>
            <w:r w:rsidRPr="005640ED">
              <w:rPr>
                <w:rFonts w:cs="Times New Roman"/>
                <w:b/>
                <w:bCs/>
                <w:iCs/>
                <w:sz w:val="18"/>
                <w:szCs w:val="18"/>
              </w:rPr>
              <w:t>Base case</w:t>
            </w:r>
          </w:p>
        </w:tc>
        <w:tc>
          <w:tcPr>
            <w:tcW w:w="1266"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Proportion of patients with ≥1 exac. in previous year</w:t>
            </w:r>
          </w:p>
        </w:tc>
        <w:tc>
          <w:tcPr>
            <w:tcW w:w="1267"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Proportion of current smokers</w:t>
            </w:r>
          </w:p>
        </w:tc>
        <w:tc>
          <w:tcPr>
            <w:tcW w:w="1266"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Mean BMI (kg/m</w:t>
            </w:r>
            <w:r w:rsidRPr="00824B3F">
              <w:rPr>
                <w:rFonts w:cs="Times New Roman"/>
                <w:b/>
                <w:bCs/>
                <w:iCs/>
                <w:sz w:val="18"/>
                <w:szCs w:val="18"/>
                <w:vertAlign w:val="superscript"/>
              </w:rPr>
              <w:t>2</w:t>
            </w:r>
            <w:r w:rsidRPr="00824B3F">
              <w:rPr>
                <w:rFonts w:cs="Times New Roman"/>
                <w:b/>
                <w:bCs/>
                <w:iCs/>
                <w:sz w:val="18"/>
                <w:szCs w:val="18"/>
              </w:rPr>
              <w:t>)</w:t>
            </w:r>
          </w:p>
        </w:tc>
        <w:tc>
          <w:tcPr>
            <w:tcW w:w="1270"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COPD severity</w:t>
            </w:r>
          </w:p>
        </w:tc>
        <w:tc>
          <w:tcPr>
            <w:tcW w:w="1266"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Base case</w:t>
            </w:r>
          </w:p>
        </w:tc>
        <w:tc>
          <w:tcPr>
            <w:tcW w:w="1266"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Proportion of patients with ≥1 exac. in previous year</w:t>
            </w:r>
          </w:p>
        </w:tc>
        <w:tc>
          <w:tcPr>
            <w:tcW w:w="1267" w:type="dxa"/>
            <w:hideMark/>
          </w:tcPr>
          <w:p w:rsidR="00B8029E" w:rsidRPr="00824B3F" w:rsidRDefault="00B8029E" w:rsidP="00FF3C32">
            <w:pPr>
              <w:spacing w:line="276" w:lineRule="auto"/>
              <w:jc w:val="center"/>
              <w:rPr>
                <w:rFonts w:cs="Times New Roman"/>
                <w:b/>
                <w:bCs/>
                <w:iCs/>
                <w:sz w:val="18"/>
                <w:szCs w:val="18"/>
              </w:rPr>
            </w:pPr>
            <w:r w:rsidRPr="00824B3F">
              <w:rPr>
                <w:rFonts w:cs="Times New Roman"/>
                <w:b/>
                <w:bCs/>
                <w:iCs/>
                <w:sz w:val="18"/>
                <w:szCs w:val="18"/>
              </w:rPr>
              <w:t>Proportion of current smokers</w:t>
            </w:r>
          </w:p>
        </w:tc>
        <w:tc>
          <w:tcPr>
            <w:tcW w:w="1266" w:type="dxa"/>
            <w:hideMark/>
          </w:tcPr>
          <w:p w:rsidR="00B8029E" w:rsidRPr="005640ED" w:rsidRDefault="00B8029E" w:rsidP="00FF3C32">
            <w:pPr>
              <w:spacing w:line="276" w:lineRule="auto"/>
              <w:jc w:val="center"/>
              <w:rPr>
                <w:rFonts w:cs="Times New Roman"/>
                <w:b/>
                <w:bCs/>
                <w:iCs/>
                <w:sz w:val="18"/>
                <w:szCs w:val="18"/>
              </w:rPr>
            </w:pPr>
            <w:r w:rsidRPr="005640ED">
              <w:rPr>
                <w:rFonts w:cs="Times New Roman"/>
                <w:b/>
                <w:bCs/>
                <w:iCs/>
                <w:sz w:val="18"/>
                <w:szCs w:val="18"/>
              </w:rPr>
              <w:t>Mean BMI (kg/m</w:t>
            </w:r>
            <w:r w:rsidRPr="005640ED">
              <w:rPr>
                <w:rFonts w:cs="Times New Roman"/>
                <w:b/>
                <w:bCs/>
                <w:iCs/>
                <w:sz w:val="18"/>
                <w:szCs w:val="18"/>
                <w:vertAlign w:val="superscript"/>
              </w:rPr>
              <w:t>2</w:t>
            </w:r>
            <w:r w:rsidRPr="005640ED">
              <w:rPr>
                <w:rFonts w:cs="Times New Roman"/>
                <w:b/>
                <w:bCs/>
                <w:iCs/>
                <w:sz w:val="18"/>
                <w:szCs w:val="18"/>
              </w:rPr>
              <w:t>)</w:t>
            </w:r>
          </w:p>
        </w:tc>
        <w:tc>
          <w:tcPr>
            <w:tcW w:w="1182" w:type="dxa"/>
          </w:tcPr>
          <w:p w:rsidR="00B8029E" w:rsidRPr="005640ED" w:rsidRDefault="00B8029E" w:rsidP="00FF3C32">
            <w:pPr>
              <w:spacing w:line="276" w:lineRule="auto"/>
              <w:jc w:val="center"/>
              <w:rPr>
                <w:rFonts w:cs="Times New Roman"/>
                <w:b/>
                <w:bCs/>
                <w:iCs/>
                <w:sz w:val="18"/>
                <w:szCs w:val="18"/>
              </w:rPr>
            </w:pPr>
            <w:r w:rsidRPr="005640ED">
              <w:rPr>
                <w:rFonts w:cs="Times New Roman"/>
                <w:b/>
                <w:bCs/>
                <w:iCs/>
                <w:sz w:val="18"/>
                <w:szCs w:val="18"/>
              </w:rPr>
              <w:t>COPD severity</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BDP/GLY/FOR</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(0.80, 1.17)</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(0.8,1.32)</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0.94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(0.73, 1.12)</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(0.77, 1.22)</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(0.78, 1.31)</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0.96</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(0.63, 1.21)</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0.96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(0.63, 1.22)</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0.93</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(0.54, 1.21)</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0.95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(0.55, 1.31)</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0.92</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(0.44, 1.29)</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FF/UMEC/VI</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(0.81, 1.18)</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(0.82,1.32)</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1.01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(0.84, 1.28)</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0.95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(0.70, 1.18)</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(0.79, 1.28)</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0.99</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(0.71, 1.33)</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0.99</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 xml:space="preserve"> (0.70, 1.35)</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1.00</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 xml:space="preserve"> (0.71, 1.53)</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(0.55, 1.54)</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1.00</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(0.64, 1.56)</w:t>
            </w:r>
          </w:p>
        </w:tc>
      </w:tr>
      <w:tr w:rsidR="00B8029E" w:rsidRPr="005640ED" w:rsidTr="00FF3C32">
        <w:trPr>
          <w:trHeight w:val="309"/>
        </w:trPr>
        <w:tc>
          <w:tcPr>
            <w:tcW w:w="2440" w:type="dxa"/>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BDP/FOR 200/12 μg BID + TIO 18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(0.79, 1.20)</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(0.79,1.33)</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0.96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(0.73, 1.17)</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(0.75, 1.26)</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(0.77, 1.32)</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0.99</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(0.67, 1.35)</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(0.66, 1.36)</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(0.59, 1.40)</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(0.59, 1.51)</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0.97</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(0.49, 1.48)</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BUD/FOR 320/9 μg BID + TIO 18 μg OD</w:t>
            </w:r>
          </w:p>
        </w:tc>
        <w:tc>
          <w:tcPr>
            <w:tcW w:w="1265"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70"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1.00</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(0.71, 1.47)</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(0.70, 1.50)</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(0.65, 1.66)</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1.00</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(0.64,1.81)</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sz w:val="18"/>
                <w:szCs w:val="18"/>
              </w:rPr>
            </w:pPr>
            <w:r w:rsidRPr="005640ED">
              <w:rPr>
                <w:rFonts w:cs="Times New Roman"/>
                <w:sz w:val="18"/>
                <w:szCs w:val="18"/>
              </w:rPr>
              <w:t>(0.57, 1.75)</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FP/SAL 250/50 μg BID + TIO 18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(0.76, 1.23)</w:t>
            </w:r>
          </w:p>
        </w:tc>
        <w:tc>
          <w:tcPr>
            <w:tcW w:w="1266" w:type="dxa"/>
            <w:noWrap/>
            <w:vAlign w:val="center"/>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(0.70, 1.24)</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(0.71, 1.39)</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(0.74, 1.37)</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(0.69, 1.49)</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(0.64,1.68)</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(0.62, 2.00)</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1.00</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(0.57, 1.90)</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FP/SAL 500/50 μg BID + TIO 18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(0.78, 1.15)</w:t>
            </w:r>
          </w:p>
        </w:tc>
        <w:tc>
          <w:tcPr>
            <w:tcW w:w="1266" w:type="dxa"/>
            <w:noWrap/>
            <w:vAlign w:val="center"/>
          </w:tcPr>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0.99 (0.78,1.27)</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0.96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(0.73, 1.14)</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(0.72, 1.21)</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(0.74, 1.27)</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(0.72, 1.37)</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(0.72, 1.40)</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(0.65, 1.47)</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0.99 (0.59,1.55)</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(0.54, 1.65)</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FP 500 μg BID (red.) + SAL 50 μg BID + TIO 18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(0.76, 1.16)</w:t>
            </w:r>
          </w:p>
        </w:tc>
        <w:tc>
          <w:tcPr>
            <w:tcW w:w="1266" w:type="dxa"/>
            <w:noWrap/>
            <w:vAlign w:val="center"/>
          </w:tcPr>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0.99 (0.76,1.27)</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0.95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w:t>
            </w:r>
            <w:r>
              <w:rPr>
                <w:rFonts w:cs="Times New Roman"/>
                <w:color w:val="000000"/>
                <w:sz w:val="18"/>
                <w:szCs w:val="18"/>
              </w:rPr>
              <w:t>0</w:t>
            </w:r>
            <w:r w:rsidRPr="005640ED">
              <w:rPr>
                <w:rFonts w:cs="Times New Roman"/>
                <w:color w:val="000000"/>
                <w:sz w:val="18"/>
                <w:szCs w:val="18"/>
              </w:rPr>
              <w:t>, 1.14)</w:t>
            </w:r>
          </w:p>
        </w:tc>
        <w:tc>
          <w:tcPr>
            <w:tcW w:w="1266" w:type="dxa"/>
            <w:noWrap/>
            <w:vAlign w:val="center"/>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(0.72, 1.28)</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(0.64, 1.28)</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(0.64, 1.30)</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0.96</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(0.57, 1.37)</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0.96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(0.49, 1.51)</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FF/VI 100/25 μg OD + UMEC 62.5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(0.76, 1.17)</w:t>
            </w:r>
          </w:p>
        </w:tc>
        <w:tc>
          <w:tcPr>
            <w:tcW w:w="1266" w:type="dxa"/>
            <w:noWrap/>
            <w:vAlign w:val="center"/>
          </w:tcPr>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0.99 (0.77,1.27)</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0.96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(0.73, 1.18)</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(0.77, 1.51)</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(0.76, 1.28)</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(0.60, 1.25)</w:t>
            </w:r>
          </w:p>
        </w:tc>
        <w:tc>
          <w:tcPr>
            <w:tcW w:w="1266"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0.97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(0.58, 1.25)</w:t>
            </w:r>
          </w:p>
        </w:tc>
        <w:tc>
          <w:tcPr>
            <w:tcW w:w="1267" w:type="dxa"/>
            <w:noWrap/>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0.96</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(0.56, 1.33)</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182" w:type="dxa"/>
          </w:tcPr>
          <w:p w:rsidR="00B8029E" w:rsidRPr="005640ED" w:rsidRDefault="00B8029E" w:rsidP="00FF3C32">
            <w:pPr>
              <w:spacing w:line="276" w:lineRule="auto"/>
              <w:jc w:val="center"/>
              <w:rPr>
                <w:rFonts w:cs="Times New Roman"/>
                <w:sz w:val="18"/>
                <w:szCs w:val="18"/>
              </w:rPr>
            </w:pPr>
            <w:r w:rsidRPr="005640ED">
              <w:rPr>
                <w:rFonts w:cs="Times New Roman"/>
                <w:sz w:val="18"/>
                <w:szCs w:val="18"/>
              </w:rPr>
              <w:t xml:space="preserve">0.95 </w:t>
            </w:r>
          </w:p>
          <w:p w:rsidR="00B8029E" w:rsidRPr="005640ED" w:rsidRDefault="00B8029E" w:rsidP="00FF3C32">
            <w:pPr>
              <w:spacing w:line="276" w:lineRule="auto"/>
              <w:jc w:val="center"/>
              <w:rPr>
                <w:rFonts w:cs="Times New Roman"/>
                <w:bCs/>
                <w:iCs/>
                <w:sz w:val="18"/>
                <w:szCs w:val="18"/>
              </w:rPr>
            </w:pPr>
            <w:r w:rsidRPr="005640ED">
              <w:rPr>
                <w:rFonts w:cs="Times New Roman"/>
                <w:sz w:val="18"/>
                <w:szCs w:val="18"/>
              </w:rPr>
              <w:t>(0.49, 1.40)</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FP/SAL 250/50 μg BID + UMEC 62.5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(0.79, 1.28)</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(0.78,1.38)</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(0.73, 1.29)</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(0.74, 1.41)</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(0.75, 1.32)</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182" w:type="dxa"/>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r>
      <w:tr w:rsidR="00B8029E" w:rsidRPr="005640ED" w:rsidTr="00FF3C32">
        <w:trPr>
          <w:trHeight w:val="309"/>
        </w:trPr>
        <w:tc>
          <w:tcPr>
            <w:tcW w:w="2440" w:type="dxa"/>
            <w:noWrap/>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FF/VI 100/25 μg OD + UMEC 125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(0.74, 1.2</w:t>
            </w:r>
            <w:r>
              <w:rPr>
                <w:rFonts w:cs="Times New Roman"/>
                <w:color w:val="000000"/>
                <w:sz w:val="18"/>
                <w:szCs w:val="18"/>
              </w:rPr>
              <w:t>0</w:t>
            </w:r>
            <w:r w:rsidRPr="005640ED">
              <w:rPr>
                <w:rFonts w:cs="Times New Roman"/>
                <w:color w:val="000000"/>
                <w:sz w:val="18"/>
                <w:szCs w:val="18"/>
              </w:rPr>
              <w:t>)</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0.99</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(0.74,1.29)</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0.95</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(0.68, 1.18)</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0.98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(0.70, 1.33)</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0.99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(0.73, 1.29)</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182" w:type="dxa"/>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r>
      <w:tr w:rsidR="00B8029E" w:rsidRPr="005640ED" w:rsidTr="00FF3C32">
        <w:trPr>
          <w:trHeight w:val="323"/>
        </w:trPr>
        <w:tc>
          <w:tcPr>
            <w:tcW w:w="2440" w:type="dxa"/>
            <w:vAlign w:val="center"/>
            <w:hideMark/>
          </w:tcPr>
          <w:p w:rsidR="00B8029E" w:rsidRPr="005640ED" w:rsidRDefault="00B8029E" w:rsidP="00FF3C32">
            <w:pPr>
              <w:spacing w:line="276" w:lineRule="auto"/>
              <w:rPr>
                <w:rFonts w:cs="Times New Roman"/>
                <w:bCs/>
                <w:iCs/>
                <w:sz w:val="18"/>
                <w:szCs w:val="18"/>
              </w:rPr>
            </w:pPr>
            <w:r w:rsidRPr="005640ED">
              <w:rPr>
                <w:rFonts w:cs="Times New Roman"/>
                <w:bCs/>
                <w:iCs/>
                <w:sz w:val="18"/>
                <w:szCs w:val="18"/>
              </w:rPr>
              <w:t>FP/SAL 250/50 μg BID + UMEC 125 μg OD</w:t>
            </w:r>
          </w:p>
        </w:tc>
        <w:tc>
          <w:tcPr>
            <w:tcW w:w="1265"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(0.82, 1.36)</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1.01</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(0.83,1.51)</w:t>
            </w:r>
          </w:p>
        </w:tc>
        <w:tc>
          <w:tcPr>
            <w:tcW w:w="1267"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(0.77, 1.37)</w:t>
            </w:r>
          </w:p>
        </w:tc>
        <w:tc>
          <w:tcPr>
            <w:tcW w:w="1266"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1.01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(0.79, 1.51)</w:t>
            </w:r>
          </w:p>
        </w:tc>
        <w:tc>
          <w:tcPr>
            <w:tcW w:w="1270" w:type="dxa"/>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color w:val="000000"/>
                <w:sz w:val="18"/>
                <w:szCs w:val="18"/>
              </w:rPr>
              <w:t xml:space="preserve">1.00 </w:t>
            </w:r>
          </w:p>
          <w:p w:rsidR="00B8029E" w:rsidRPr="005640ED" w:rsidRDefault="00B8029E" w:rsidP="00FF3C32">
            <w:pPr>
              <w:spacing w:line="276" w:lineRule="auto"/>
              <w:jc w:val="center"/>
              <w:rPr>
                <w:rFonts w:cs="Times New Roman"/>
                <w:bCs/>
                <w:iCs/>
                <w:sz w:val="18"/>
                <w:szCs w:val="18"/>
              </w:rPr>
            </w:pPr>
            <w:r w:rsidRPr="005640ED">
              <w:rPr>
                <w:rFonts w:cs="Times New Roman"/>
                <w:color w:val="000000"/>
                <w:sz w:val="18"/>
                <w:szCs w:val="18"/>
              </w:rPr>
              <w:t>(0.8</w:t>
            </w:r>
            <w:r>
              <w:rPr>
                <w:rFonts w:cs="Times New Roman"/>
                <w:color w:val="000000"/>
                <w:sz w:val="18"/>
                <w:szCs w:val="18"/>
              </w:rPr>
              <w:t>0</w:t>
            </w:r>
            <w:r w:rsidRPr="005640ED">
              <w:rPr>
                <w:rFonts w:cs="Times New Roman"/>
                <w:color w:val="000000"/>
                <w:sz w:val="18"/>
                <w:szCs w:val="18"/>
              </w:rPr>
              <w:t>, 1.43)</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7"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266" w:type="dxa"/>
            <w:noWrap/>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c>
          <w:tcPr>
            <w:tcW w:w="1182" w:type="dxa"/>
          </w:tcPr>
          <w:p w:rsidR="00B8029E" w:rsidRPr="005640ED" w:rsidRDefault="00B8029E" w:rsidP="00FF3C32">
            <w:pPr>
              <w:spacing w:line="276" w:lineRule="auto"/>
              <w:jc w:val="center"/>
              <w:rPr>
                <w:rFonts w:cs="Times New Roman"/>
                <w:bCs/>
                <w:iCs/>
                <w:sz w:val="18"/>
                <w:szCs w:val="18"/>
              </w:rPr>
            </w:pPr>
            <w:r w:rsidRPr="005640ED">
              <w:rPr>
                <w:rFonts w:cs="Times New Roman"/>
                <w:sz w:val="18"/>
                <w:szCs w:val="18"/>
                <w:lang w:val="en-US" w:eastAsia="en-GB"/>
              </w:rPr>
              <w:t>–</w:t>
            </w:r>
          </w:p>
        </w:tc>
      </w:tr>
      <w:tr w:rsidR="00B8029E" w:rsidRPr="005640ED" w:rsidTr="00FF3C32">
        <w:trPr>
          <w:trHeight w:val="323"/>
        </w:trPr>
        <w:tc>
          <w:tcPr>
            <w:tcW w:w="2440" w:type="dxa"/>
            <w:shd w:val="clear" w:color="auto" w:fill="FFF2CC" w:themeFill="accent4" w:themeFillTint="33"/>
            <w:vAlign w:val="center"/>
          </w:tcPr>
          <w:p w:rsidR="00B8029E" w:rsidRPr="005640ED" w:rsidRDefault="00B8029E" w:rsidP="00FF3C32">
            <w:pPr>
              <w:spacing w:line="276" w:lineRule="auto"/>
              <w:rPr>
                <w:rFonts w:cs="Times New Roman"/>
                <w:bCs/>
                <w:iCs/>
                <w:sz w:val="18"/>
                <w:szCs w:val="18"/>
              </w:rPr>
            </w:pPr>
            <w:r w:rsidRPr="005640ED">
              <w:rPr>
                <w:rFonts w:cs="Times New Roman"/>
                <w:b/>
                <w:bCs/>
                <w:iCs/>
                <w:sz w:val="18"/>
                <w:szCs w:val="18"/>
              </w:rPr>
              <w:t>Beta coefficient (95% CrI)</w:t>
            </w:r>
          </w:p>
        </w:tc>
        <w:tc>
          <w:tcPr>
            <w:tcW w:w="1265" w:type="dxa"/>
            <w:shd w:val="clear" w:color="auto" w:fill="FFF2CC" w:themeFill="accent4" w:themeFillTint="33"/>
            <w:noWrap/>
            <w:vAlign w:val="center"/>
          </w:tcPr>
          <w:p w:rsidR="00B8029E" w:rsidRPr="005640ED" w:rsidRDefault="00B8029E" w:rsidP="00FF3C32">
            <w:pPr>
              <w:spacing w:line="276" w:lineRule="auto"/>
              <w:jc w:val="center"/>
              <w:rPr>
                <w:rFonts w:cs="Times New Roman"/>
                <w:color w:val="000000"/>
                <w:sz w:val="18"/>
                <w:szCs w:val="18"/>
              </w:rPr>
            </w:pPr>
            <w:r w:rsidRPr="005640ED">
              <w:rPr>
                <w:rFonts w:cs="Times New Roman"/>
                <w:b/>
                <w:sz w:val="18"/>
                <w:szCs w:val="18"/>
                <w:lang w:val="en-US" w:eastAsia="en-GB"/>
              </w:rPr>
              <w:t>–</w:t>
            </w:r>
          </w:p>
        </w:tc>
        <w:tc>
          <w:tcPr>
            <w:tcW w:w="1266" w:type="dxa"/>
            <w:shd w:val="clear" w:color="auto" w:fill="FFF2CC" w:themeFill="accent4" w:themeFillTint="33"/>
            <w:noWrap/>
            <w:vAlign w:val="center"/>
          </w:tcPr>
          <w:p w:rsidR="00B8029E" w:rsidRPr="005640ED" w:rsidRDefault="00B8029E" w:rsidP="00FF3C32">
            <w:pPr>
              <w:spacing w:line="276" w:lineRule="auto"/>
              <w:jc w:val="center"/>
              <w:rPr>
                <w:rFonts w:cs="Times New Roman"/>
                <w:b/>
                <w:color w:val="000000"/>
                <w:sz w:val="18"/>
                <w:szCs w:val="18"/>
              </w:rPr>
            </w:pPr>
            <w:r w:rsidRPr="005640ED">
              <w:rPr>
                <w:rFonts w:cs="Times New Roman"/>
                <w:b/>
                <w:color w:val="000000"/>
                <w:sz w:val="18"/>
                <w:szCs w:val="18"/>
              </w:rPr>
              <w:t xml:space="preserve">0.19 </w:t>
            </w:r>
          </w:p>
          <w:p w:rsidR="00B8029E" w:rsidRPr="005640ED" w:rsidRDefault="00B8029E" w:rsidP="00FF3C32">
            <w:pPr>
              <w:spacing w:line="276" w:lineRule="auto"/>
              <w:jc w:val="center"/>
              <w:rPr>
                <w:rFonts w:cs="Times New Roman"/>
                <w:color w:val="000000"/>
                <w:sz w:val="18"/>
                <w:szCs w:val="18"/>
              </w:rPr>
            </w:pPr>
            <w:r w:rsidRPr="005640ED">
              <w:rPr>
                <w:rFonts w:cs="Times New Roman"/>
                <w:b/>
                <w:color w:val="000000"/>
                <w:sz w:val="18"/>
                <w:szCs w:val="18"/>
              </w:rPr>
              <w:t>(</w:t>
            </w:r>
            <w:r w:rsidRPr="005640ED">
              <w:rPr>
                <w:rFonts w:cs="Times New Roman"/>
                <w:b/>
                <w:bCs/>
                <w:iCs/>
                <w:sz w:val="18"/>
                <w:szCs w:val="18"/>
              </w:rPr>
              <w:t>–</w:t>
            </w:r>
            <w:r w:rsidRPr="005640ED">
              <w:rPr>
                <w:rFonts w:cs="Times New Roman"/>
                <w:b/>
                <w:color w:val="000000"/>
                <w:sz w:val="18"/>
                <w:szCs w:val="18"/>
              </w:rPr>
              <w:t>0.26, 0.67)</w:t>
            </w:r>
          </w:p>
        </w:tc>
        <w:tc>
          <w:tcPr>
            <w:tcW w:w="1267" w:type="dxa"/>
            <w:shd w:val="clear" w:color="auto" w:fill="FFF2CC" w:themeFill="accent4" w:themeFillTint="33"/>
            <w:noWrap/>
            <w:vAlign w:val="center"/>
          </w:tcPr>
          <w:p w:rsidR="00B8029E" w:rsidRPr="005640ED" w:rsidRDefault="00B8029E" w:rsidP="00FF3C32">
            <w:pPr>
              <w:spacing w:line="276" w:lineRule="auto"/>
              <w:jc w:val="center"/>
              <w:rPr>
                <w:rFonts w:cs="Times New Roman"/>
                <w:b/>
                <w:color w:val="000000"/>
                <w:sz w:val="18"/>
                <w:szCs w:val="18"/>
              </w:rPr>
            </w:pPr>
            <w:r w:rsidRPr="005640ED">
              <w:rPr>
                <w:rFonts w:cs="Times New Roman"/>
                <w:b/>
                <w:bCs/>
                <w:iCs/>
                <w:sz w:val="18"/>
                <w:szCs w:val="18"/>
              </w:rPr>
              <w:t>–</w:t>
            </w:r>
            <w:r w:rsidRPr="005640ED">
              <w:rPr>
                <w:rFonts w:cs="Times New Roman"/>
                <w:b/>
                <w:color w:val="000000"/>
                <w:sz w:val="18"/>
                <w:szCs w:val="18"/>
              </w:rPr>
              <w:t xml:space="preserve">2.74 </w:t>
            </w:r>
          </w:p>
          <w:p w:rsidR="00B8029E" w:rsidRPr="005640ED" w:rsidRDefault="00B8029E" w:rsidP="00FF3C32">
            <w:pPr>
              <w:spacing w:line="276" w:lineRule="auto"/>
              <w:jc w:val="center"/>
              <w:rPr>
                <w:rFonts w:cs="Times New Roman"/>
                <w:color w:val="000000"/>
                <w:sz w:val="18"/>
                <w:szCs w:val="18"/>
              </w:rPr>
            </w:pPr>
            <w:r w:rsidRPr="005640ED">
              <w:rPr>
                <w:rFonts w:cs="Times New Roman"/>
                <w:b/>
                <w:color w:val="000000"/>
                <w:sz w:val="18"/>
                <w:szCs w:val="18"/>
              </w:rPr>
              <w:t>(</w:t>
            </w:r>
            <w:r w:rsidRPr="005640ED">
              <w:rPr>
                <w:rFonts w:cs="Times New Roman"/>
                <w:b/>
                <w:bCs/>
                <w:iCs/>
                <w:sz w:val="18"/>
                <w:szCs w:val="18"/>
              </w:rPr>
              <w:t>–</w:t>
            </w:r>
            <w:r w:rsidRPr="005640ED">
              <w:rPr>
                <w:rFonts w:cs="Times New Roman"/>
                <w:b/>
                <w:color w:val="000000"/>
                <w:sz w:val="18"/>
                <w:szCs w:val="18"/>
              </w:rPr>
              <w:t xml:space="preserve">5.53, </w:t>
            </w:r>
            <w:r w:rsidRPr="005640ED">
              <w:rPr>
                <w:rFonts w:cs="Times New Roman"/>
                <w:b/>
                <w:bCs/>
                <w:iCs/>
                <w:sz w:val="18"/>
                <w:szCs w:val="18"/>
              </w:rPr>
              <w:t>–</w:t>
            </w:r>
            <w:r w:rsidRPr="005640ED">
              <w:rPr>
                <w:rFonts w:cs="Times New Roman"/>
                <w:b/>
                <w:color w:val="000000"/>
                <w:sz w:val="18"/>
                <w:szCs w:val="18"/>
              </w:rPr>
              <w:t>0.79)</w:t>
            </w:r>
          </w:p>
        </w:tc>
        <w:tc>
          <w:tcPr>
            <w:tcW w:w="1266" w:type="dxa"/>
            <w:shd w:val="clear" w:color="auto" w:fill="FFF2CC" w:themeFill="accent4" w:themeFillTint="33"/>
            <w:noWrap/>
            <w:vAlign w:val="center"/>
          </w:tcPr>
          <w:p w:rsidR="00B8029E" w:rsidRPr="005640ED" w:rsidRDefault="00B8029E" w:rsidP="00FF3C32">
            <w:pPr>
              <w:spacing w:line="276" w:lineRule="auto"/>
              <w:jc w:val="center"/>
              <w:rPr>
                <w:rFonts w:cs="Times New Roman"/>
                <w:b/>
                <w:color w:val="000000"/>
                <w:sz w:val="18"/>
                <w:szCs w:val="18"/>
              </w:rPr>
            </w:pPr>
            <w:r w:rsidRPr="005640ED">
              <w:rPr>
                <w:rFonts w:cs="Times New Roman"/>
                <w:b/>
                <w:bCs/>
                <w:iCs/>
                <w:sz w:val="18"/>
                <w:szCs w:val="18"/>
              </w:rPr>
              <w:t>–</w:t>
            </w:r>
            <w:r w:rsidRPr="005640ED">
              <w:rPr>
                <w:rFonts w:cs="Times New Roman"/>
                <w:b/>
                <w:color w:val="000000"/>
                <w:sz w:val="18"/>
                <w:szCs w:val="18"/>
              </w:rPr>
              <w:t xml:space="preserve">0.11 </w:t>
            </w:r>
          </w:p>
          <w:p w:rsidR="00B8029E" w:rsidRPr="005640ED" w:rsidRDefault="00B8029E" w:rsidP="00FF3C32">
            <w:pPr>
              <w:spacing w:line="276" w:lineRule="auto"/>
              <w:jc w:val="center"/>
              <w:rPr>
                <w:rFonts w:cs="Times New Roman"/>
                <w:color w:val="000000"/>
                <w:sz w:val="18"/>
                <w:szCs w:val="18"/>
              </w:rPr>
            </w:pPr>
            <w:r w:rsidRPr="005640ED">
              <w:rPr>
                <w:rFonts w:cs="Times New Roman"/>
                <w:b/>
                <w:color w:val="000000"/>
                <w:sz w:val="18"/>
                <w:szCs w:val="18"/>
              </w:rPr>
              <w:t>(</w:t>
            </w:r>
            <w:r w:rsidRPr="005640ED">
              <w:rPr>
                <w:rFonts w:cs="Times New Roman"/>
                <w:b/>
                <w:bCs/>
                <w:iCs/>
                <w:sz w:val="18"/>
                <w:szCs w:val="18"/>
              </w:rPr>
              <w:t>–</w:t>
            </w:r>
            <w:r w:rsidRPr="005640ED">
              <w:rPr>
                <w:rFonts w:cs="Times New Roman"/>
                <w:b/>
                <w:color w:val="000000"/>
                <w:sz w:val="18"/>
                <w:szCs w:val="18"/>
              </w:rPr>
              <w:t>0.40, 0.17)</w:t>
            </w:r>
          </w:p>
        </w:tc>
        <w:tc>
          <w:tcPr>
            <w:tcW w:w="1270" w:type="dxa"/>
            <w:shd w:val="clear" w:color="auto" w:fill="FFF2CC" w:themeFill="accent4" w:themeFillTint="33"/>
            <w:noWrap/>
            <w:vAlign w:val="center"/>
          </w:tcPr>
          <w:p w:rsidR="00B8029E" w:rsidRPr="005640ED" w:rsidRDefault="00B8029E" w:rsidP="00FF3C32">
            <w:pPr>
              <w:spacing w:line="276" w:lineRule="auto"/>
              <w:jc w:val="center"/>
              <w:rPr>
                <w:rFonts w:cs="Times New Roman"/>
                <w:b/>
                <w:color w:val="000000"/>
                <w:sz w:val="18"/>
                <w:szCs w:val="18"/>
              </w:rPr>
            </w:pPr>
            <w:r w:rsidRPr="005640ED">
              <w:rPr>
                <w:rFonts w:cs="Times New Roman"/>
                <w:b/>
                <w:color w:val="000000"/>
                <w:sz w:val="18"/>
                <w:szCs w:val="18"/>
              </w:rPr>
              <w:t xml:space="preserve">0.35 </w:t>
            </w:r>
          </w:p>
          <w:p w:rsidR="00B8029E" w:rsidRPr="005640ED" w:rsidRDefault="00B8029E" w:rsidP="00FF3C32">
            <w:pPr>
              <w:spacing w:line="276" w:lineRule="auto"/>
              <w:jc w:val="center"/>
              <w:rPr>
                <w:rFonts w:cs="Times New Roman"/>
                <w:color w:val="000000"/>
                <w:sz w:val="18"/>
                <w:szCs w:val="18"/>
              </w:rPr>
            </w:pPr>
            <w:r w:rsidRPr="005640ED">
              <w:rPr>
                <w:rFonts w:cs="Times New Roman"/>
                <w:b/>
                <w:color w:val="000000"/>
                <w:sz w:val="18"/>
                <w:szCs w:val="18"/>
              </w:rPr>
              <w:t>(</w:t>
            </w:r>
            <w:r w:rsidRPr="005640ED">
              <w:rPr>
                <w:rFonts w:cs="Times New Roman"/>
                <w:b/>
                <w:bCs/>
                <w:iCs/>
                <w:sz w:val="18"/>
                <w:szCs w:val="18"/>
              </w:rPr>
              <w:t>–</w:t>
            </w:r>
            <w:r w:rsidRPr="005640ED">
              <w:rPr>
                <w:rFonts w:cs="Times New Roman"/>
                <w:b/>
                <w:color w:val="000000"/>
                <w:sz w:val="18"/>
                <w:szCs w:val="18"/>
              </w:rPr>
              <w:t>0.40, 1.29)</w:t>
            </w:r>
          </w:p>
        </w:tc>
        <w:tc>
          <w:tcPr>
            <w:tcW w:w="1266" w:type="dxa"/>
            <w:shd w:val="clear" w:color="auto" w:fill="FFF2CC" w:themeFill="accent4" w:themeFillTint="33"/>
            <w:noWrap/>
          </w:tcPr>
          <w:p w:rsidR="00B8029E" w:rsidRPr="005640ED" w:rsidRDefault="00B8029E" w:rsidP="00FF3C32">
            <w:pPr>
              <w:spacing w:line="276" w:lineRule="auto"/>
              <w:jc w:val="center"/>
              <w:rPr>
                <w:rFonts w:cs="Times New Roman"/>
                <w:sz w:val="18"/>
                <w:szCs w:val="18"/>
                <w:lang w:val="en-US" w:eastAsia="en-GB"/>
              </w:rPr>
            </w:pPr>
            <w:r w:rsidRPr="005640ED">
              <w:rPr>
                <w:rFonts w:cs="Times New Roman"/>
                <w:b/>
                <w:sz w:val="18"/>
                <w:szCs w:val="18"/>
                <w:lang w:val="en-US" w:eastAsia="en-GB"/>
              </w:rPr>
              <w:t>–</w:t>
            </w:r>
          </w:p>
        </w:tc>
        <w:tc>
          <w:tcPr>
            <w:tcW w:w="1266" w:type="dxa"/>
            <w:shd w:val="clear" w:color="auto" w:fill="FFF2CC" w:themeFill="accent4" w:themeFillTint="33"/>
            <w:noWrap/>
          </w:tcPr>
          <w:p w:rsidR="00B8029E" w:rsidRPr="005640ED" w:rsidRDefault="00B8029E" w:rsidP="00FF3C32">
            <w:pPr>
              <w:spacing w:line="276" w:lineRule="auto"/>
              <w:jc w:val="center"/>
              <w:rPr>
                <w:rFonts w:cs="Times New Roman"/>
                <w:b/>
                <w:sz w:val="18"/>
                <w:szCs w:val="18"/>
              </w:rPr>
            </w:pPr>
            <w:r w:rsidRPr="005640ED">
              <w:rPr>
                <w:rFonts w:cs="Times New Roman"/>
                <w:b/>
                <w:bCs/>
                <w:iCs/>
                <w:sz w:val="18"/>
                <w:szCs w:val="18"/>
              </w:rPr>
              <w:t>–</w:t>
            </w:r>
            <w:r w:rsidRPr="005640ED">
              <w:rPr>
                <w:rFonts w:cs="Times New Roman"/>
                <w:b/>
                <w:sz w:val="18"/>
                <w:szCs w:val="18"/>
              </w:rPr>
              <w:t xml:space="preserve">0.20 </w:t>
            </w:r>
          </w:p>
          <w:p w:rsidR="00B8029E" w:rsidRPr="005640ED" w:rsidRDefault="00B8029E" w:rsidP="00FF3C32">
            <w:pPr>
              <w:spacing w:line="276" w:lineRule="auto"/>
              <w:jc w:val="center"/>
              <w:rPr>
                <w:rFonts w:cs="Times New Roman"/>
                <w:sz w:val="18"/>
                <w:szCs w:val="18"/>
                <w:lang w:val="en-US" w:eastAsia="en-GB"/>
              </w:rPr>
            </w:pPr>
            <w:r w:rsidRPr="005640ED">
              <w:rPr>
                <w:rFonts w:cs="Times New Roman"/>
                <w:b/>
                <w:sz w:val="18"/>
                <w:szCs w:val="18"/>
              </w:rPr>
              <w:t>(</w:t>
            </w:r>
            <w:r w:rsidRPr="005640ED">
              <w:rPr>
                <w:rFonts w:cs="Times New Roman"/>
                <w:b/>
                <w:bCs/>
                <w:iCs/>
                <w:sz w:val="18"/>
                <w:szCs w:val="18"/>
              </w:rPr>
              <w:t>–</w:t>
            </w:r>
            <w:r w:rsidRPr="005640ED">
              <w:rPr>
                <w:rFonts w:cs="Times New Roman"/>
                <w:b/>
                <w:sz w:val="18"/>
                <w:szCs w:val="18"/>
              </w:rPr>
              <w:t>1.29, 0.79)</w:t>
            </w:r>
          </w:p>
        </w:tc>
        <w:tc>
          <w:tcPr>
            <w:tcW w:w="1267" w:type="dxa"/>
            <w:shd w:val="clear" w:color="auto" w:fill="FFF2CC" w:themeFill="accent4" w:themeFillTint="33"/>
            <w:noWrap/>
          </w:tcPr>
          <w:p w:rsidR="00B8029E" w:rsidRPr="005640ED" w:rsidRDefault="00B8029E" w:rsidP="00FF3C32">
            <w:pPr>
              <w:spacing w:line="276" w:lineRule="auto"/>
              <w:jc w:val="center"/>
              <w:rPr>
                <w:rFonts w:cs="Times New Roman"/>
                <w:b/>
                <w:sz w:val="18"/>
                <w:szCs w:val="18"/>
              </w:rPr>
            </w:pPr>
            <w:r w:rsidRPr="005640ED">
              <w:rPr>
                <w:rFonts w:cs="Times New Roman"/>
                <w:b/>
                <w:bCs/>
                <w:iCs/>
                <w:sz w:val="18"/>
                <w:szCs w:val="18"/>
              </w:rPr>
              <w:t>–</w:t>
            </w:r>
            <w:r w:rsidRPr="005640ED">
              <w:rPr>
                <w:rFonts w:cs="Times New Roman"/>
                <w:b/>
                <w:sz w:val="18"/>
                <w:szCs w:val="18"/>
              </w:rPr>
              <w:t xml:space="preserve">1.83 </w:t>
            </w:r>
          </w:p>
          <w:p w:rsidR="00B8029E" w:rsidRPr="005640ED" w:rsidRDefault="00B8029E" w:rsidP="00FF3C32">
            <w:pPr>
              <w:spacing w:line="276" w:lineRule="auto"/>
              <w:jc w:val="center"/>
              <w:rPr>
                <w:rFonts w:cs="Times New Roman"/>
                <w:sz w:val="18"/>
                <w:szCs w:val="18"/>
                <w:lang w:val="en-US" w:eastAsia="en-GB"/>
              </w:rPr>
            </w:pPr>
            <w:r w:rsidRPr="005640ED">
              <w:rPr>
                <w:rFonts w:cs="Times New Roman"/>
                <w:b/>
                <w:sz w:val="18"/>
                <w:szCs w:val="18"/>
              </w:rPr>
              <w:t>(</w:t>
            </w:r>
            <w:r w:rsidRPr="005640ED">
              <w:rPr>
                <w:rFonts w:cs="Times New Roman"/>
                <w:b/>
                <w:bCs/>
                <w:iCs/>
                <w:sz w:val="18"/>
                <w:szCs w:val="18"/>
              </w:rPr>
              <w:t>–</w:t>
            </w:r>
            <w:r w:rsidRPr="005640ED">
              <w:rPr>
                <w:rFonts w:cs="Times New Roman"/>
                <w:b/>
                <w:sz w:val="18"/>
                <w:szCs w:val="18"/>
              </w:rPr>
              <w:t>7.67, 3.67)</w:t>
            </w:r>
          </w:p>
        </w:tc>
        <w:tc>
          <w:tcPr>
            <w:tcW w:w="1266" w:type="dxa"/>
            <w:shd w:val="clear" w:color="auto" w:fill="FFF2CC" w:themeFill="accent4" w:themeFillTint="33"/>
            <w:noWrap/>
          </w:tcPr>
          <w:p w:rsidR="00B8029E" w:rsidRPr="005640ED" w:rsidRDefault="00B8029E" w:rsidP="00FF3C32">
            <w:pPr>
              <w:spacing w:line="276" w:lineRule="auto"/>
              <w:jc w:val="center"/>
              <w:rPr>
                <w:rFonts w:cs="Times New Roman"/>
                <w:b/>
                <w:sz w:val="18"/>
                <w:szCs w:val="18"/>
              </w:rPr>
            </w:pPr>
            <w:r w:rsidRPr="005640ED">
              <w:rPr>
                <w:rFonts w:cs="Times New Roman"/>
                <w:b/>
                <w:bCs/>
                <w:iCs/>
                <w:sz w:val="18"/>
                <w:szCs w:val="18"/>
              </w:rPr>
              <w:t>–</w:t>
            </w:r>
            <w:r w:rsidRPr="005640ED">
              <w:rPr>
                <w:rFonts w:cs="Times New Roman"/>
                <w:b/>
                <w:sz w:val="18"/>
                <w:szCs w:val="18"/>
              </w:rPr>
              <w:t xml:space="preserve">0.16 </w:t>
            </w:r>
          </w:p>
          <w:p w:rsidR="00B8029E" w:rsidRPr="005640ED" w:rsidRDefault="00B8029E" w:rsidP="00FF3C32">
            <w:pPr>
              <w:spacing w:line="276" w:lineRule="auto"/>
              <w:jc w:val="center"/>
              <w:rPr>
                <w:rFonts w:cs="Times New Roman"/>
                <w:sz w:val="18"/>
                <w:szCs w:val="18"/>
                <w:lang w:val="en-US" w:eastAsia="en-GB"/>
              </w:rPr>
            </w:pPr>
            <w:r w:rsidRPr="005640ED">
              <w:rPr>
                <w:rFonts w:cs="Times New Roman"/>
                <w:b/>
                <w:sz w:val="18"/>
                <w:szCs w:val="18"/>
              </w:rPr>
              <w:t>(</w:t>
            </w:r>
            <w:r w:rsidRPr="005640ED">
              <w:rPr>
                <w:rFonts w:cs="Times New Roman"/>
                <w:b/>
                <w:bCs/>
                <w:iCs/>
                <w:sz w:val="18"/>
                <w:szCs w:val="18"/>
              </w:rPr>
              <w:t>–</w:t>
            </w:r>
            <w:r w:rsidRPr="005640ED">
              <w:rPr>
                <w:rFonts w:cs="Times New Roman"/>
                <w:b/>
                <w:sz w:val="18"/>
                <w:szCs w:val="18"/>
              </w:rPr>
              <w:t>0.95, 0.57)</w:t>
            </w:r>
          </w:p>
        </w:tc>
        <w:tc>
          <w:tcPr>
            <w:tcW w:w="1182" w:type="dxa"/>
            <w:shd w:val="clear" w:color="auto" w:fill="FFF2CC" w:themeFill="accent4" w:themeFillTint="33"/>
          </w:tcPr>
          <w:p w:rsidR="00B8029E" w:rsidRPr="005640ED" w:rsidRDefault="00B8029E" w:rsidP="00FF3C32">
            <w:pPr>
              <w:spacing w:line="276" w:lineRule="auto"/>
              <w:jc w:val="center"/>
              <w:rPr>
                <w:rFonts w:cs="Times New Roman"/>
                <w:b/>
                <w:sz w:val="18"/>
                <w:szCs w:val="18"/>
              </w:rPr>
            </w:pPr>
            <w:r w:rsidRPr="005640ED">
              <w:rPr>
                <w:rFonts w:cs="Times New Roman"/>
                <w:b/>
                <w:bCs/>
                <w:iCs/>
                <w:sz w:val="18"/>
                <w:szCs w:val="18"/>
              </w:rPr>
              <w:t>–</w:t>
            </w:r>
            <w:r w:rsidRPr="005640ED">
              <w:rPr>
                <w:rFonts w:cs="Times New Roman"/>
                <w:b/>
                <w:sz w:val="18"/>
                <w:szCs w:val="18"/>
              </w:rPr>
              <w:t xml:space="preserve">0.46 </w:t>
            </w:r>
          </w:p>
          <w:p w:rsidR="00B8029E" w:rsidRPr="005640ED" w:rsidRDefault="00B8029E" w:rsidP="00FF3C32">
            <w:pPr>
              <w:spacing w:line="276" w:lineRule="auto"/>
              <w:jc w:val="center"/>
              <w:rPr>
                <w:rFonts w:cs="Times New Roman"/>
                <w:sz w:val="18"/>
                <w:szCs w:val="18"/>
                <w:lang w:val="en-US" w:eastAsia="en-GB"/>
              </w:rPr>
            </w:pPr>
            <w:r w:rsidRPr="005640ED">
              <w:rPr>
                <w:rFonts w:cs="Times New Roman"/>
                <w:b/>
                <w:sz w:val="18"/>
                <w:szCs w:val="18"/>
              </w:rPr>
              <w:t>(</w:t>
            </w:r>
            <w:r w:rsidRPr="005640ED">
              <w:rPr>
                <w:rFonts w:cs="Times New Roman"/>
                <w:b/>
                <w:bCs/>
                <w:iCs/>
                <w:sz w:val="18"/>
                <w:szCs w:val="18"/>
              </w:rPr>
              <w:t>–</w:t>
            </w:r>
            <w:r w:rsidRPr="005640ED">
              <w:rPr>
                <w:rFonts w:cs="Times New Roman"/>
                <w:b/>
                <w:sz w:val="18"/>
                <w:szCs w:val="18"/>
              </w:rPr>
              <w:t>2.63, 1.42)</w:t>
            </w:r>
          </w:p>
        </w:tc>
      </w:tr>
    </w:tbl>
    <w:p w:rsidR="00B8029E" w:rsidRDefault="00B8029E" w:rsidP="00B8029E">
      <w:pPr>
        <w:spacing w:before="240"/>
        <w:ind w:right="-762"/>
        <w:rPr>
          <w:b/>
          <w:lang w:val="en-US"/>
        </w:rPr>
        <w:sectPr w:rsidR="00B8029E" w:rsidSect="00E37906">
          <w:pgSz w:w="16838" w:h="11906" w:orient="landscape"/>
          <w:pgMar w:top="1440" w:right="1440" w:bottom="993" w:left="1134" w:header="709" w:footer="709" w:gutter="0"/>
          <w:cols w:space="708"/>
          <w:docGrid w:linePitch="360"/>
        </w:sectPr>
      </w:pPr>
      <w:r w:rsidRPr="002912EB">
        <w:rPr>
          <w:bCs/>
          <w:iCs/>
          <w:lang w:val="en-US"/>
        </w:rPr>
        <w:t xml:space="preserve">Data </w:t>
      </w:r>
      <w:r>
        <w:rPr>
          <w:bCs/>
          <w:iCs/>
          <w:lang w:val="en-US"/>
        </w:rPr>
        <w:t xml:space="preserve">are RR (95% CrI). </w:t>
      </w:r>
      <w:r>
        <w:rPr>
          <w:bCs/>
          <w:iCs/>
          <w:lang w:val="en-US"/>
        </w:rPr>
        <w:br/>
      </w:r>
      <w:r w:rsidRPr="009935BC">
        <w:rPr>
          <w:rFonts w:cs="Times New Roman"/>
          <w:lang w:val="en-US"/>
        </w:rPr>
        <w:t xml:space="preserve">BDP, </w:t>
      </w:r>
      <w:r w:rsidRPr="009935BC">
        <w:rPr>
          <w:lang w:val="en-US"/>
        </w:rPr>
        <w:t>beclomethasone dipropionate</w:t>
      </w:r>
      <w:r w:rsidRPr="009935BC">
        <w:rPr>
          <w:rFonts w:cs="Times New Roman"/>
          <w:lang w:val="en-US"/>
        </w:rPr>
        <w:t xml:space="preserve">; </w:t>
      </w:r>
      <w:r w:rsidRPr="009935BC">
        <w:rPr>
          <w:lang w:val="en-US"/>
        </w:rPr>
        <w:t xml:space="preserve">BID, twice daily; BGF, </w:t>
      </w:r>
      <w:r w:rsidRPr="009935BC">
        <w:rPr>
          <w:rFonts w:eastAsiaTheme="majorEastAsia"/>
          <w:lang w:val="en-US"/>
        </w:rPr>
        <w:t>b</w:t>
      </w:r>
      <w:r w:rsidRPr="009935BC">
        <w:rPr>
          <w:rFonts w:eastAsia="ScalaLancetPro" w:cs="Times New Roman"/>
          <w:lang w:val="en-US"/>
        </w:rPr>
        <w:t xml:space="preserve">udesonide/glycopyrronium/formoterol </w:t>
      </w:r>
      <w:r w:rsidRPr="009935BC">
        <w:rPr>
          <w:rFonts w:eastAsiaTheme="majorEastAsia"/>
          <w:lang w:val="en-US"/>
        </w:rPr>
        <w:t>fumarate</w:t>
      </w:r>
      <w:r w:rsidRPr="009935BC">
        <w:rPr>
          <w:lang w:val="en-US"/>
        </w:rPr>
        <w:t xml:space="preserve">; </w:t>
      </w:r>
      <w:r>
        <w:rPr>
          <w:lang w:val="en-US"/>
        </w:rPr>
        <w:t xml:space="preserve">BMI, body mass index; </w:t>
      </w:r>
      <w:r w:rsidRPr="009935BC">
        <w:rPr>
          <w:rFonts w:cs="Times New Roman"/>
          <w:lang w:val="en-US"/>
        </w:rPr>
        <w:t xml:space="preserve">BUD, budesonide; </w:t>
      </w:r>
      <w:r>
        <w:rPr>
          <w:rFonts w:cs="Times New Roman"/>
          <w:lang w:val="en-US"/>
        </w:rPr>
        <w:t xml:space="preserve">COPD, chronic obstructive pulmonary disease; </w:t>
      </w:r>
      <w:r w:rsidRPr="009935BC">
        <w:rPr>
          <w:rFonts w:cs="Times New Roman"/>
          <w:lang w:val="en-US"/>
        </w:rPr>
        <w:t xml:space="preserve">CrI, credible interval; </w:t>
      </w:r>
      <w:r>
        <w:rPr>
          <w:rFonts w:cs="Times New Roman"/>
          <w:lang w:val="en-US"/>
        </w:rPr>
        <w:t xml:space="preserve">exac., moderate/severe exacerbation; </w:t>
      </w:r>
      <w:r w:rsidRPr="009935BC">
        <w:rPr>
          <w:rFonts w:cs="Times New Roman"/>
          <w:lang w:val="en-US"/>
        </w:rPr>
        <w:t xml:space="preserve">FF, fluticasone furoate; FOR, formoterol; FP, fluticasone propionate; </w:t>
      </w:r>
      <w:r w:rsidRPr="009935BC">
        <w:rPr>
          <w:lang w:val="en-US"/>
        </w:rPr>
        <w:t xml:space="preserve">GLY, glycopyrronium; </w:t>
      </w:r>
      <w:r w:rsidRPr="009935BC">
        <w:rPr>
          <w:bCs/>
          <w:iCs/>
          <w:lang w:val="en-US"/>
        </w:rPr>
        <w:t xml:space="preserve">MDI, </w:t>
      </w:r>
      <w:r w:rsidRPr="009935BC">
        <w:rPr>
          <w:rFonts w:eastAsia="ScalaLancetPro" w:cs="Times New Roman"/>
          <w:lang w:val="en-US"/>
        </w:rPr>
        <w:t>metered dose inhaler</w:t>
      </w:r>
      <w:r w:rsidRPr="009935BC">
        <w:rPr>
          <w:bCs/>
          <w:iCs/>
          <w:lang w:val="en-US"/>
        </w:rPr>
        <w:t>; OD, once daily;</w:t>
      </w:r>
      <w:r w:rsidRPr="00372681">
        <w:rPr>
          <w:bCs/>
          <w:iCs/>
          <w:lang w:val="en-US"/>
        </w:rPr>
        <w:t xml:space="preserve"> </w:t>
      </w:r>
      <w:r w:rsidRPr="009935BC">
        <w:rPr>
          <w:rFonts w:cs="Times New Roman"/>
          <w:lang w:val="en-US"/>
        </w:rPr>
        <w:t>red., reducing; RR, rate ratio; SAL, salmeterol; TIO, tiotropium; UMEC, umeclidinium; VI, vilanterol</w:t>
      </w:r>
      <w:r>
        <w:rPr>
          <w:b/>
          <w:lang w:val="en-US"/>
        </w:rPr>
        <w:br w:type="page"/>
      </w:r>
    </w:p>
    <w:p w:rsidR="00B8029E" w:rsidRPr="00372681" w:rsidRDefault="00B8029E" w:rsidP="00B8029E">
      <w:pPr>
        <w:rPr>
          <w:bCs/>
          <w:iCs/>
          <w:lang w:val="en-US"/>
        </w:rPr>
      </w:pPr>
      <w:r w:rsidRPr="00655A9A">
        <w:rPr>
          <w:b/>
          <w:lang w:val="en-US"/>
        </w:rPr>
        <w:lastRenderedPageBreak/>
        <w:t>Fig</w:t>
      </w:r>
      <w:r>
        <w:rPr>
          <w:b/>
          <w:lang w:val="en-US"/>
        </w:rPr>
        <w:t>.</w:t>
      </w:r>
      <w:r w:rsidRPr="00655A9A">
        <w:rPr>
          <w:b/>
          <w:lang w:val="en-US"/>
        </w:rPr>
        <w:t xml:space="preserve"> S</w:t>
      </w:r>
      <w:bookmarkEnd w:id="2"/>
      <w:r w:rsidRPr="00655A9A">
        <w:rPr>
          <w:b/>
          <w:lang w:val="en-US"/>
        </w:rPr>
        <w:t>1</w:t>
      </w:r>
      <w:r w:rsidRPr="00655A9A">
        <w:rPr>
          <w:lang w:val="en-US"/>
        </w:rPr>
        <w:t xml:space="preserve"> Network diagram for studies contributing to the </w:t>
      </w:r>
      <w:r w:rsidRPr="00372681">
        <w:rPr>
          <w:lang w:val="en-US"/>
        </w:rPr>
        <w:t>analysis of (a) moderate/severe exacerbations and (b) severe exacerbations</w:t>
      </w:r>
    </w:p>
    <w:p w:rsidR="00B8029E" w:rsidRDefault="00B8029E" w:rsidP="00B8029E">
      <w:pPr>
        <w:rPr>
          <w:bCs/>
          <w:iCs/>
          <w:lang w:val="en-US"/>
        </w:rPr>
      </w:pPr>
      <w:r>
        <w:rPr>
          <w:noProof/>
          <w:lang w:val="en-US"/>
        </w:rPr>
        <w:drawing>
          <wp:inline distT="0" distB="0" distL="0" distR="0" wp14:anchorId="7A6C1F23" wp14:editId="20F37FD2">
            <wp:extent cx="5393803" cy="2969998"/>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6391" cy="2971423"/>
                    </a:xfrm>
                    <a:prstGeom prst="rect">
                      <a:avLst/>
                    </a:prstGeom>
                  </pic:spPr>
                </pic:pic>
              </a:graphicData>
            </a:graphic>
          </wp:inline>
        </w:drawing>
      </w:r>
    </w:p>
    <w:p w:rsidR="00B8029E" w:rsidRPr="00372681" w:rsidRDefault="00B8029E" w:rsidP="00B8029E">
      <w:pPr>
        <w:rPr>
          <w:bCs/>
          <w:iCs/>
          <w:lang w:val="en-US"/>
        </w:rPr>
      </w:pPr>
      <w:r>
        <w:rPr>
          <w:noProof/>
          <w:lang w:val="en-US"/>
        </w:rPr>
        <w:drawing>
          <wp:inline distT="0" distB="0" distL="0" distR="0" wp14:anchorId="387B69BD" wp14:editId="71945851">
            <wp:extent cx="4664597" cy="2771058"/>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73286" cy="2776220"/>
                    </a:xfrm>
                    <a:prstGeom prst="rect">
                      <a:avLst/>
                    </a:prstGeom>
                  </pic:spPr>
                </pic:pic>
              </a:graphicData>
            </a:graphic>
          </wp:inline>
        </w:drawing>
      </w:r>
    </w:p>
    <w:p w:rsidR="00B8029E" w:rsidRPr="00372681" w:rsidRDefault="00B8029E" w:rsidP="00B8029E">
      <w:pPr>
        <w:autoSpaceDE w:val="0"/>
        <w:autoSpaceDN w:val="0"/>
        <w:adjustRightInd w:val="0"/>
        <w:spacing w:after="120"/>
        <w:rPr>
          <w:lang w:val="en-US"/>
        </w:rPr>
      </w:pPr>
      <w:r w:rsidRPr="00372681">
        <w:rPr>
          <w:lang w:val="en-US"/>
        </w:rPr>
        <w:t>Fixed-dose combinations are represented with ‘/’ between components; open combinations are represen</w:t>
      </w:r>
      <w:r>
        <w:rPr>
          <w:lang w:val="en-US"/>
        </w:rPr>
        <w:t>ted with ‘+’ between components</w:t>
      </w:r>
    </w:p>
    <w:p w:rsidR="00B8029E" w:rsidRPr="00655A9A" w:rsidRDefault="00B8029E" w:rsidP="00B8029E">
      <w:pPr>
        <w:spacing w:after="120"/>
        <w:rPr>
          <w:b/>
          <w:bCs/>
          <w:iCs/>
          <w:lang w:val="en-US"/>
        </w:rPr>
      </w:pPr>
      <w:r w:rsidRPr="00372681">
        <w:rPr>
          <w:lang w:val="en-US"/>
        </w:rPr>
        <w:t xml:space="preserve">BDP, </w:t>
      </w:r>
      <w:r w:rsidRPr="003701FE">
        <w:rPr>
          <w:lang w:val="en-US"/>
        </w:rPr>
        <w:t>beclomethasone dipropionate</w:t>
      </w:r>
      <w:r w:rsidRPr="00372681">
        <w:rPr>
          <w:lang w:val="en-US"/>
        </w:rPr>
        <w:t xml:space="preserve">; BGF, </w:t>
      </w:r>
      <w:r w:rsidRPr="00372681">
        <w:rPr>
          <w:rFonts w:eastAsiaTheme="majorEastAsia"/>
          <w:lang w:val="en-US"/>
        </w:rPr>
        <w:t>b</w:t>
      </w:r>
      <w:r w:rsidRPr="00372681">
        <w:rPr>
          <w:rFonts w:eastAsia="ScalaLancetPro" w:cs="Times New Roman"/>
          <w:lang w:val="en-US"/>
        </w:rPr>
        <w:t xml:space="preserve">udesonide/glycopyrronium/formoterol </w:t>
      </w:r>
      <w:r w:rsidRPr="009935BC">
        <w:rPr>
          <w:rFonts w:eastAsiaTheme="majorEastAsia"/>
          <w:lang w:val="en-US"/>
        </w:rPr>
        <w:t>fumarate</w:t>
      </w:r>
      <w:r w:rsidRPr="009935BC">
        <w:rPr>
          <w:lang w:val="en-US"/>
        </w:rPr>
        <w:t xml:space="preserve">; BID, twice daily; BUD, budesonide; </w:t>
      </w:r>
      <w:r w:rsidRPr="009935BC">
        <w:rPr>
          <w:bCs/>
          <w:iCs/>
          <w:lang w:val="en-US"/>
        </w:rPr>
        <w:t xml:space="preserve">FF, fluticasone furoate; FOR, formoterol; FP, fluticasone </w:t>
      </w:r>
      <w:r w:rsidRPr="009935BC">
        <w:rPr>
          <w:lang w:val="en-US"/>
        </w:rPr>
        <w:t>propionate</w:t>
      </w:r>
      <w:r w:rsidRPr="009935BC">
        <w:rPr>
          <w:bCs/>
          <w:iCs/>
          <w:lang w:val="en-US"/>
        </w:rPr>
        <w:t xml:space="preserve">; </w:t>
      </w:r>
      <w:r w:rsidRPr="009935BC">
        <w:rPr>
          <w:lang w:val="en-US"/>
        </w:rPr>
        <w:t xml:space="preserve">GFF, </w:t>
      </w:r>
      <w:r w:rsidRPr="009935BC">
        <w:rPr>
          <w:rFonts w:eastAsia="ScalaLancetPro" w:cs="Times New Roman"/>
          <w:lang w:val="en-US"/>
        </w:rPr>
        <w:t xml:space="preserve">glycopyrronium/formoterol </w:t>
      </w:r>
      <w:r w:rsidRPr="009935BC">
        <w:rPr>
          <w:rFonts w:eastAsiaTheme="majorEastAsia"/>
          <w:lang w:val="en-US"/>
        </w:rPr>
        <w:t>fumarate</w:t>
      </w:r>
      <w:r w:rsidRPr="009935BC">
        <w:rPr>
          <w:lang w:val="en-US"/>
        </w:rPr>
        <w:t xml:space="preserve">; GLY, glycopyrronium; </w:t>
      </w:r>
      <w:r w:rsidRPr="009935BC">
        <w:rPr>
          <w:bCs/>
          <w:iCs/>
          <w:lang w:val="en-US"/>
        </w:rPr>
        <w:t xml:space="preserve">ICS, inhaled corticosteroid; IND, indacaterol; LABA, long-acting </w:t>
      </w:r>
      <w:r w:rsidRPr="009935BC">
        <w:rPr>
          <w:rFonts w:cs="Times New Roman"/>
          <w:bCs/>
          <w:iCs/>
          <w:lang w:val="en-US"/>
        </w:rPr>
        <w:t>β</w:t>
      </w:r>
      <w:r w:rsidRPr="009935BC">
        <w:rPr>
          <w:bCs/>
          <w:iCs/>
          <w:vertAlign w:val="subscript"/>
          <w:lang w:val="en-US"/>
        </w:rPr>
        <w:t>2</w:t>
      </w:r>
      <w:r w:rsidRPr="009935BC">
        <w:rPr>
          <w:bCs/>
          <w:iCs/>
          <w:lang w:val="en-US"/>
        </w:rPr>
        <w:t xml:space="preserve">-agonist; MDI, </w:t>
      </w:r>
      <w:r w:rsidRPr="009935BC">
        <w:rPr>
          <w:rFonts w:eastAsia="ScalaLancetPro" w:cs="Times New Roman"/>
          <w:lang w:val="en-US"/>
        </w:rPr>
        <w:t>metered dose inhaler</w:t>
      </w:r>
      <w:r w:rsidRPr="009935BC">
        <w:rPr>
          <w:bCs/>
          <w:iCs/>
          <w:lang w:val="en-US"/>
        </w:rPr>
        <w:t>; OD, once daily;</w:t>
      </w:r>
      <w:r w:rsidRPr="00372681">
        <w:rPr>
          <w:bCs/>
          <w:iCs/>
          <w:lang w:val="en-US"/>
        </w:rPr>
        <w:t xml:space="preserve"> SAL, salmeterol; </w:t>
      </w:r>
      <w:r w:rsidRPr="00372681">
        <w:rPr>
          <w:lang w:val="en-US"/>
        </w:rPr>
        <w:t>TIO, tiotropium; UMEC</w:t>
      </w:r>
      <w:r w:rsidRPr="00655A9A">
        <w:rPr>
          <w:lang w:val="en-US"/>
        </w:rPr>
        <w:t>, umeclidinium; VI, vilanterol</w:t>
      </w:r>
      <w:bookmarkEnd w:id="3"/>
      <w:r w:rsidRPr="00655A9A">
        <w:rPr>
          <w:b/>
          <w:bCs/>
          <w:iCs/>
          <w:lang w:val="en-US"/>
        </w:rPr>
        <w:br w:type="page"/>
      </w:r>
    </w:p>
    <w:p w:rsidR="00B8029E" w:rsidRPr="00655A9A" w:rsidRDefault="00B8029E" w:rsidP="00B8029E">
      <w:pPr>
        <w:rPr>
          <w:bCs/>
          <w:iCs/>
          <w:lang w:val="en-US"/>
        </w:rPr>
      </w:pPr>
      <w:r w:rsidRPr="00655A9A">
        <w:rPr>
          <w:b/>
          <w:bCs/>
          <w:iCs/>
          <w:lang w:val="en-US"/>
        </w:rPr>
        <w:lastRenderedPageBreak/>
        <w:t>Fig</w:t>
      </w:r>
      <w:r>
        <w:rPr>
          <w:b/>
          <w:bCs/>
          <w:iCs/>
          <w:lang w:val="en-US"/>
        </w:rPr>
        <w:t>.</w:t>
      </w:r>
      <w:r w:rsidRPr="00655A9A">
        <w:rPr>
          <w:b/>
          <w:bCs/>
          <w:iCs/>
          <w:lang w:val="en-US"/>
        </w:rPr>
        <w:t xml:space="preserve"> </w:t>
      </w:r>
      <w:bookmarkEnd w:id="1"/>
      <w:r w:rsidRPr="00655A9A">
        <w:rPr>
          <w:b/>
          <w:bCs/>
          <w:iCs/>
          <w:lang w:val="en-US"/>
        </w:rPr>
        <w:t xml:space="preserve">S2 </w:t>
      </w:r>
      <w:r w:rsidRPr="00655A9A">
        <w:rPr>
          <w:bCs/>
          <w:iCs/>
          <w:lang w:val="en-US"/>
        </w:rPr>
        <w:t>Network diagram for studies contributing to the analysis of trough (a) and peak (b) FEV</w:t>
      </w:r>
      <w:r w:rsidRPr="00655A9A">
        <w:rPr>
          <w:bCs/>
          <w:iCs/>
          <w:vertAlign w:val="subscript"/>
          <w:lang w:val="en-US"/>
        </w:rPr>
        <w:t>1</w:t>
      </w:r>
      <w:r w:rsidRPr="00655A9A">
        <w:rPr>
          <w:bCs/>
          <w:iCs/>
          <w:lang w:val="en-US"/>
        </w:rPr>
        <w:t xml:space="preserve"> at 24</w:t>
      </w:r>
      <w:r>
        <w:rPr>
          <w:bCs/>
          <w:iCs/>
          <w:lang w:val="en-US"/>
        </w:rPr>
        <w:t> </w:t>
      </w:r>
      <w:r w:rsidRPr="00655A9A">
        <w:rPr>
          <w:bCs/>
          <w:iCs/>
          <w:lang w:val="en-US"/>
        </w:rPr>
        <w:t>weeks</w:t>
      </w:r>
    </w:p>
    <w:p w:rsidR="00B8029E" w:rsidRPr="00655A9A" w:rsidRDefault="00B8029E" w:rsidP="00B8029E">
      <w:pPr>
        <w:rPr>
          <w:bCs/>
          <w:iCs/>
          <w:lang w:val="en-US"/>
        </w:rPr>
      </w:pPr>
      <w:r>
        <w:rPr>
          <w:noProof/>
          <w:lang w:val="en-US"/>
        </w:rPr>
        <w:drawing>
          <wp:inline distT="0" distB="0" distL="0" distR="0" wp14:anchorId="1BF86185" wp14:editId="22C1DE32">
            <wp:extent cx="4671882" cy="503782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76728" cy="5043052"/>
                    </a:xfrm>
                    <a:prstGeom prst="rect">
                      <a:avLst/>
                    </a:prstGeom>
                  </pic:spPr>
                </pic:pic>
              </a:graphicData>
            </a:graphic>
          </wp:inline>
        </w:drawing>
      </w:r>
    </w:p>
    <w:p w:rsidR="00B8029E" w:rsidRPr="009935BC" w:rsidRDefault="00B8029E" w:rsidP="00B8029E">
      <w:pPr>
        <w:autoSpaceDE w:val="0"/>
        <w:autoSpaceDN w:val="0"/>
        <w:adjustRightInd w:val="0"/>
        <w:spacing w:after="120"/>
        <w:rPr>
          <w:lang w:val="en-US"/>
        </w:rPr>
      </w:pPr>
      <w:r w:rsidRPr="00372681">
        <w:rPr>
          <w:lang w:val="en-US"/>
        </w:rPr>
        <w:t>Fixed-dose combinations are represented with ‘/’ between components; open combinations are represen</w:t>
      </w:r>
      <w:r>
        <w:rPr>
          <w:lang w:val="en-US"/>
        </w:rPr>
        <w:t xml:space="preserve">ted </w:t>
      </w:r>
      <w:r w:rsidRPr="009935BC">
        <w:rPr>
          <w:lang w:val="en-US"/>
        </w:rPr>
        <w:t>with ‘+’ between components</w:t>
      </w:r>
    </w:p>
    <w:p w:rsidR="00B8029E" w:rsidRDefault="00B8029E" w:rsidP="00B8029E">
      <w:pPr>
        <w:spacing w:after="120"/>
        <w:rPr>
          <w:lang w:val="en-US"/>
        </w:rPr>
      </w:pPr>
      <w:r w:rsidRPr="009935BC">
        <w:rPr>
          <w:lang w:val="en-US"/>
        </w:rPr>
        <w:t xml:space="preserve">BDP, beclomethasone dipropionate; BGF, </w:t>
      </w:r>
      <w:r w:rsidRPr="009935BC">
        <w:rPr>
          <w:rFonts w:eastAsiaTheme="majorEastAsia"/>
          <w:lang w:val="en-US"/>
        </w:rPr>
        <w:t>b</w:t>
      </w:r>
      <w:r w:rsidRPr="009935BC">
        <w:rPr>
          <w:rFonts w:eastAsia="ScalaLancetPro" w:cs="Times New Roman"/>
          <w:lang w:val="en-US"/>
        </w:rPr>
        <w:t xml:space="preserve">udesonide/glycopyrronium/formoterol </w:t>
      </w:r>
      <w:r w:rsidRPr="009935BC">
        <w:rPr>
          <w:rFonts w:eastAsiaTheme="majorEastAsia"/>
          <w:lang w:val="en-US"/>
        </w:rPr>
        <w:t>fumarate</w:t>
      </w:r>
      <w:r w:rsidRPr="009935BC">
        <w:rPr>
          <w:lang w:val="en-US"/>
        </w:rPr>
        <w:t xml:space="preserve">; BID, twice daily; </w:t>
      </w:r>
      <w:r w:rsidRPr="009935BC">
        <w:rPr>
          <w:bCs/>
          <w:iCs/>
          <w:lang w:val="en-US"/>
        </w:rPr>
        <w:t>FEV</w:t>
      </w:r>
      <w:r w:rsidRPr="009935BC">
        <w:rPr>
          <w:bCs/>
          <w:iCs/>
          <w:vertAlign w:val="subscript"/>
          <w:lang w:val="en-US"/>
        </w:rPr>
        <w:t>1</w:t>
      </w:r>
      <w:r w:rsidRPr="009935BC">
        <w:rPr>
          <w:bCs/>
          <w:iCs/>
          <w:lang w:val="en-US"/>
        </w:rPr>
        <w:t>: forced expiratory volume in one second;</w:t>
      </w:r>
      <w:r w:rsidRPr="009935BC">
        <w:rPr>
          <w:lang w:val="en-US"/>
        </w:rPr>
        <w:t xml:space="preserve"> FF, fluticasone furoate; FOR, formoterol; FP, fluticasone propionate; GFF, </w:t>
      </w:r>
      <w:r w:rsidRPr="009935BC">
        <w:rPr>
          <w:rFonts w:eastAsia="ScalaLancetPro" w:cs="Times New Roman"/>
          <w:lang w:val="en-US"/>
        </w:rPr>
        <w:t>glycopyrronium</w:t>
      </w:r>
      <w:r w:rsidRPr="00372681">
        <w:rPr>
          <w:rFonts w:eastAsia="ScalaLancetPro" w:cs="Times New Roman"/>
          <w:lang w:val="en-US"/>
        </w:rPr>
        <w:t xml:space="preserve">/formoterol </w:t>
      </w:r>
      <w:r w:rsidRPr="00372681">
        <w:rPr>
          <w:rFonts w:eastAsiaTheme="majorEastAsia"/>
          <w:lang w:val="en-US"/>
        </w:rPr>
        <w:t>fumarate</w:t>
      </w:r>
      <w:r w:rsidRPr="00372681">
        <w:rPr>
          <w:lang w:val="en-US"/>
        </w:rPr>
        <w:t xml:space="preserve">; GLY, glycopyrronium; </w:t>
      </w:r>
      <w:r w:rsidRPr="00372681">
        <w:rPr>
          <w:bCs/>
          <w:iCs/>
          <w:lang w:val="en-US"/>
        </w:rPr>
        <w:t xml:space="preserve">ICS, inhaled corticosteroid; IND, indacaterol; LABA, long-acting </w:t>
      </w:r>
      <w:r w:rsidRPr="00372681">
        <w:rPr>
          <w:rFonts w:cs="Times New Roman"/>
          <w:bCs/>
          <w:iCs/>
          <w:lang w:val="en-US"/>
        </w:rPr>
        <w:t>β</w:t>
      </w:r>
      <w:r w:rsidRPr="00372681">
        <w:rPr>
          <w:bCs/>
          <w:iCs/>
          <w:vertAlign w:val="subscript"/>
          <w:lang w:val="en-US"/>
        </w:rPr>
        <w:t>2</w:t>
      </w:r>
      <w:r w:rsidRPr="00372681">
        <w:rPr>
          <w:bCs/>
          <w:iCs/>
          <w:lang w:val="en-US"/>
        </w:rPr>
        <w:t xml:space="preserve">-agonist; MDI, </w:t>
      </w:r>
      <w:r w:rsidRPr="00372681">
        <w:rPr>
          <w:rFonts w:eastAsia="ScalaLancetPro" w:cs="Times New Roman"/>
          <w:lang w:val="en-US"/>
        </w:rPr>
        <w:t>metered dose inhaler</w:t>
      </w:r>
      <w:r w:rsidRPr="00372681">
        <w:rPr>
          <w:bCs/>
          <w:iCs/>
          <w:lang w:val="en-US"/>
        </w:rPr>
        <w:t xml:space="preserve">; OD, once daily; </w:t>
      </w:r>
      <w:r w:rsidRPr="00372681">
        <w:rPr>
          <w:lang w:val="en-US"/>
        </w:rPr>
        <w:t>SAL, salmeterol; TIO, tiotropium; UMEC, umeclidinium; VI, vilanterol</w:t>
      </w:r>
      <w:bookmarkStart w:id="4" w:name="_Ref515291357"/>
      <w:bookmarkStart w:id="5" w:name="_Ref520982207"/>
    </w:p>
    <w:p w:rsidR="00B8029E" w:rsidRPr="00655A9A" w:rsidRDefault="00B8029E" w:rsidP="00B8029E">
      <w:pPr>
        <w:spacing w:after="120"/>
        <w:rPr>
          <w:b/>
          <w:bCs/>
          <w:lang w:val="en-US"/>
        </w:rPr>
      </w:pPr>
      <w:r w:rsidRPr="00655A9A">
        <w:rPr>
          <w:b/>
          <w:bCs/>
          <w:lang w:val="en-US"/>
        </w:rPr>
        <w:br w:type="page"/>
      </w:r>
    </w:p>
    <w:p w:rsidR="00B8029E" w:rsidRPr="00655A9A" w:rsidRDefault="00B8029E" w:rsidP="00B8029E">
      <w:pPr>
        <w:rPr>
          <w:bCs/>
          <w:lang w:val="en-US"/>
        </w:rPr>
      </w:pPr>
      <w:r w:rsidRPr="00655A9A">
        <w:rPr>
          <w:b/>
          <w:bCs/>
          <w:lang w:val="en-US"/>
        </w:rPr>
        <w:lastRenderedPageBreak/>
        <w:t>Fig</w:t>
      </w:r>
      <w:r>
        <w:rPr>
          <w:b/>
          <w:bCs/>
          <w:lang w:val="en-US"/>
        </w:rPr>
        <w:t>.</w:t>
      </w:r>
      <w:r w:rsidRPr="00655A9A">
        <w:rPr>
          <w:b/>
          <w:bCs/>
          <w:lang w:val="en-US"/>
        </w:rPr>
        <w:t xml:space="preserve"> </w:t>
      </w:r>
      <w:bookmarkEnd w:id="4"/>
      <w:r w:rsidRPr="00655A9A">
        <w:rPr>
          <w:b/>
          <w:bCs/>
          <w:lang w:val="en-US"/>
        </w:rPr>
        <w:t xml:space="preserve">S3 </w:t>
      </w:r>
      <w:r w:rsidRPr="00655A9A">
        <w:rPr>
          <w:bCs/>
          <w:lang w:val="en-US"/>
        </w:rPr>
        <w:t>Network diagram for studies contributing to the analysis of (a) change from baseline in SGRQ total score at 24 weeks, (b)</w:t>
      </w:r>
      <w:r w:rsidRPr="00655A9A">
        <w:rPr>
          <w:b/>
          <w:bCs/>
          <w:lang w:val="en-US"/>
        </w:rPr>
        <w:t xml:space="preserve"> </w:t>
      </w:r>
      <w:r w:rsidRPr="00655A9A">
        <w:rPr>
          <w:bCs/>
          <w:lang w:val="en-US"/>
        </w:rPr>
        <w:t>TDI focal score at 24 weeks, and (c) change from baseline in rescue medication use over 12 to 24 weeks</w:t>
      </w:r>
    </w:p>
    <w:p w:rsidR="00B8029E" w:rsidRDefault="00B8029E" w:rsidP="00B8029E">
      <w:pPr>
        <w:rPr>
          <w:bCs/>
          <w:lang w:val="en-US"/>
        </w:rPr>
      </w:pPr>
      <w:r>
        <w:rPr>
          <w:noProof/>
          <w:lang w:val="en-US"/>
        </w:rPr>
        <w:drawing>
          <wp:inline distT="0" distB="0" distL="0" distR="0" wp14:anchorId="0275E475" wp14:editId="7FCA0A22">
            <wp:extent cx="3412356" cy="3663387"/>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415382" cy="3666636"/>
                    </a:xfrm>
                    <a:prstGeom prst="rect">
                      <a:avLst/>
                    </a:prstGeom>
                  </pic:spPr>
                </pic:pic>
              </a:graphicData>
            </a:graphic>
          </wp:inline>
        </w:drawing>
      </w:r>
    </w:p>
    <w:p w:rsidR="00B8029E" w:rsidRPr="00655A9A" w:rsidRDefault="00B8029E" w:rsidP="00B8029E">
      <w:pPr>
        <w:rPr>
          <w:bCs/>
          <w:lang w:val="en-US"/>
        </w:rPr>
      </w:pPr>
      <w:r>
        <w:rPr>
          <w:noProof/>
          <w:lang w:val="en-US"/>
        </w:rPr>
        <w:drawing>
          <wp:inline distT="0" distB="0" distL="0" distR="0" wp14:anchorId="04F3ABF3" wp14:editId="13183B8F">
            <wp:extent cx="3305061" cy="207765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310665" cy="2081179"/>
                    </a:xfrm>
                    <a:prstGeom prst="rect">
                      <a:avLst/>
                    </a:prstGeom>
                  </pic:spPr>
                </pic:pic>
              </a:graphicData>
            </a:graphic>
          </wp:inline>
        </w:drawing>
      </w:r>
    </w:p>
    <w:p w:rsidR="00B8029E" w:rsidRPr="00372681" w:rsidRDefault="00B8029E" w:rsidP="00B8029E">
      <w:pPr>
        <w:autoSpaceDE w:val="0"/>
        <w:autoSpaceDN w:val="0"/>
        <w:adjustRightInd w:val="0"/>
        <w:spacing w:after="120"/>
        <w:rPr>
          <w:lang w:val="en-US"/>
        </w:rPr>
      </w:pPr>
      <w:r w:rsidRPr="00372681">
        <w:rPr>
          <w:lang w:val="en-US"/>
        </w:rPr>
        <w:t>Fixed-dose combinations are represented with ‘/’ between components; open combinations are represented with ‘+’ between com</w:t>
      </w:r>
      <w:r>
        <w:rPr>
          <w:lang w:val="en-US"/>
        </w:rPr>
        <w:t>ponents</w:t>
      </w:r>
    </w:p>
    <w:p w:rsidR="00B8029E" w:rsidRPr="00655A9A" w:rsidRDefault="00B8029E" w:rsidP="00B8029E">
      <w:pPr>
        <w:spacing w:after="120"/>
        <w:rPr>
          <w:bCs/>
          <w:iCs/>
          <w:lang w:val="en-US"/>
        </w:rPr>
      </w:pPr>
      <w:r w:rsidRPr="00372681">
        <w:rPr>
          <w:lang w:val="en-US"/>
        </w:rPr>
        <w:t xml:space="preserve">BDP, </w:t>
      </w:r>
      <w:r w:rsidRPr="003701FE">
        <w:rPr>
          <w:lang w:val="en-US"/>
        </w:rPr>
        <w:t>beclomethasone dipropionate</w:t>
      </w:r>
      <w:r w:rsidRPr="00372681">
        <w:rPr>
          <w:lang w:val="en-US"/>
        </w:rPr>
        <w:t xml:space="preserve">; BGF, </w:t>
      </w:r>
      <w:r w:rsidRPr="00372681">
        <w:rPr>
          <w:rFonts w:eastAsiaTheme="majorEastAsia"/>
          <w:lang w:val="en-US"/>
        </w:rPr>
        <w:t>b</w:t>
      </w:r>
      <w:r w:rsidRPr="00372681">
        <w:rPr>
          <w:rFonts w:eastAsia="ScalaLancetPro" w:cs="Times New Roman"/>
          <w:lang w:val="en-US"/>
        </w:rPr>
        <w:t xml:space="preserve">udesonide/glycopyrronium/formoterol </w:t>
      </w:r>
      <w:r w:rsidRPr="00372681">
        <w:rPr>
          <w:rFonts w:eastAsiaTheme="majorEastAsia"/>
          <w:lang w:val="en-US"/>
        </w:rPr>
        <w:t>fumarate</w:t>
      </w:r>
      <w:r w:rsidRPr="00372681">
        <w:rPr>
          <w:lang w:val="en-US"/>
        </w:rPr>
        <w:t xml:space="preserve">; BID, twice daily; FF, fluticasone furoate; FOR, formoterol; FP, fluticasone propionate; GFF, </w:t>
      </w:r>
      <w:r w:rsidRPr="00372681">
        <w:rPr>
          <w:rFonts w:eastAsia="ScalaLancetPro" w:cs="Times New Roman"/>
          <w:lang w:val="en-US"/>
        </w:rPr>
        <w:t xml:space="preserve">glycopyrronium/formoterol </w:t>
      </w:r>
      <w:r w:rsidRPr="00372681">
        <w:rPr>
          <w:rFonts w:eastAsiaTheme="majorEastAsia"/>
          <w:lang w:val="en-US"/>
        </w:rPr>
        <w:t>fumarate</w:t>
      </w:r>
      <w:r w:rsidRPr="00372681">
        <w:rPr>
          <w:lang w:val="en-US"/>
        </w:rPr>
        <w:t xml:space="preserve">; GLY, glycopyrronium; </w:t>
      </w:r>
      <w:r w:rsidRPr="00372681">
        <w:rPr>
          <w:bCs/>
          <w:iCs/>
          <w:lang w:val="en-US"/>
        </w:rPr>
        <w:t xml:space="preserve">ICS, inhaled corticosteroid; LABA, long-acting </w:t>
      </w:r>
      <w:r w:rsidRPr="00372681">
        <w:rPr>
          <w:rFonts w:cs="Times New Roman"/>
          <w:bCs/>
          <w:iCs/>
          <w:lang w:val="en-US"/>
        </w:rPr>
        <w:t>β</w:t>
      </w:r>
      <w:r w:rsidRPr="00372681">
        <w:rPr>
          <w:bCs/>
          <w:iCs/>
          <w:vertAlign w:val="subscript"/>
          <w:lang w:val="en-US"/>
        </w:rPr>
        <w:t>2</w:t>
      </w:r>
      <w:r w:rsidRPr="00372681">
        <w:rPr>
          <w:bCs/>
          <w:iCs/>
          <w:lang w:val="en-US"/>
        </w:rPr>
        <w:t xml:space="preserve">-agonist; MDI, </w:t>
      </w:r>
      <w:r w:rsidRPr="00372681">
        <w:rPr>
          <w:rFonts w:eastAsia="ScalaLancetPro" w:cs="Times New Roman"/>
          <w:lang w:val="en-US"/>
        </w:rPr>
        <w:t>metered dose inhaler</w:t>
      </w:r>
      <w:r w:rsidRPr="00372681">
        <w:rPr>
          <w:bCs/>
          <w:iCs/>
          <w:lang w:val="en-US"/>
        </w:rPr>
        <w:t xml:space="preserve">; OD, once daily; </w:t>
      </w:r>
      <w:r w:rsidRPr="00372681">
        <w:rPr>
          <w:lang w:val="en-US"/>
        </w:rPr>
        <w:t>SAL, salmeterol; SGRQ, St George’s Respiratory Questionnaire</w:t>
      </w:r>
      <w:r w:rsidRPr="00655A9A">
        <w:rPr>
          <w:lang w:val="en-US"/>
        </w:rPr>
        <w:t xml:space="preserve">; TDI, </w:t>
      </w:r>
      <w:r>
        <w:rPr>
          <w:lang w:val="en-US"/>
        </w:rPr>
        <w:t>Transition Dyspnea I</w:t>
      </w:r>
      <w:r w:rsidRPr="00655A9A">
        <w:rPr>
          <w:lang w:val="en-US"/>
        </w:rPr>
        <w:t>ndex; TIO, tiotropium; UMEC, umeclidinium; VI, vilanterol</w:t>
      </w:r>
      <w:bookmarkEnd w:id="5"/>
    </w:p>
    <w:p w:rsidR="00B8029E" w:rsidRPr="00B8029E" w:rsidRDefault="00B8029E">
      <w:pPr>
        <w:rPr>
          <w:b/>
          <w:bCs/>
          <w:sz w:val="24"/>
          <w:szCs w:val="24"/>
        </w:rPr>
      </w:pPr>
      <w:r w:rsidRPr="00B8029E">
        <w:rPr>
          <w:b/>
          <w:bCs/>
          <w:sz w:val="24"/>
          <w:szCs w:val="24"/>
        </w:rPr>
        <w:lastRenderedPageBreak/>
        <w:t>References</w:t>
      </w:r>
    </w:p>
    <w:p w:rsidR="00B8029E" w:rsidRPr="00B8029E" w:rsidRDefault="00B8029E" w:rsidP="00B8029E">
      <w:pPr>
        <w:pStyle w:val="EndNoteBibliography"/>
        <w:spacing w:after="240"/>
      </w:pPr>
      <w:r w:rsidRPr="00B8029E">
        <w:t>1. Aaron SD, Vandemheen KL, Fergusson D</w:t>
      </w:r>
      <w:r w:rsidRPr="00B8029E">
        <w:rPr>
          <w:i/>
        </w:rPr>
        <w:t>, et al.</w:t>
      </w:r>
      <w:r w:rsidRPr="00B8029E">
        <w:t xml:space="preserve"> Tiotropium in combination with placebo, salmeterol, or fluticasone-salmeterol for treatment of chronic obstructive pulmonary disease: a randomized trial. Ann Intern Med. 2007;146:545-55.</w:t>
      </w:r>
    </w:p>
    <w:p w:rsidR="00B8029E" w:rsidRPr="00B8029E" w:rsidRDefault="00B8029E" w:rsidP="00B8029E">
      <w:pPr>
        <w:pStyle w:val="EndNoteBibliography"/>
        <w:spacing w:after="240"/>
      </w:pPr>
      <w:r w:rsidRPr="00B8029E">
        <w:t>2. Bremner PR, Birk R, Brealey N, Ismaila AS, Zhu CQ, Lipson DA. Single-inhaler fluticasone furoate/umeclidinium/vilanterol versus fluticasone furoate/vilanterol plus umeclidinium using two inhalers for chronic obstructive pulmonary disease: a randomized non-inferiority study. Respir Res. 2018;19:19.</w:t>
      </w:r>
    </w:p>
    <w:p w:rsidR="00B8029E" w:rsidRPr="00B8029E" w:rsidRDefault="00B8029E" w:rsidP="00B8029E">
      <w:pPr>
        <w:pStyle w:val="EndNoteBibliography"/>
        <w:spacing w:after="240"/>
      </w:pPr>
      <w:r w:rsidRPr="00B8029E">
        <w:t>3. Lipson DA, Barnacle H, Birk R</w:t>
      </w:r>
      <w:r w:rsidRPr="00B8029E">
        <w:rPr>
          <w:i/>
        </w:rPr>
        <w:t>, et al.</w:t>
      </w:r>
      <w:r w:rsidRPr="00B8029E">
        <w:t xml:space="preserve"> FULFIL trial: once-daily triple therapy for patients with chronic obstructive pulmonary disease. Am J Respir Crit Care Med. 2017;196:438-46.</w:t>
      </w:r>
    </w:p>
    <w:p w:rsidR="00B8029E" w:rsidRPr="00B8029E" w:rsidRDefault="00B8029E" w:rsidP="00B8029E">
      <w:pPr>
        <w:pStyle w:val="EndNoteBibliography"/>
        <w:spacing w:after="240"/>
      </w:pPr>
      <w:r w:rsidRPr="00B8029E">
        <w:t>4. Hanania NA, Crater GD, Morris AN, Emmett AH, O'Dell DM, Niewoehner DE. Benefits of adding fluticasone propionate/salmeterol to tiotropium in moderate to severe COPD. Respir Med. 2012;106:91-101.</w:t>
      </w:r>
    </w:p>
    <w:p w:rsidR="00B8029E" w:rsidRPr="00B8029E" w:rsidRDefault="00B8029E" w:rsidP="00B8029E">
      <w:pPr>
        <w:pStyle w:val="EndNoteBibliography"/>
        <w:spacing w:after="240"/>
      </w:pPr>
      <w:r w:rsidRPr="00B8029E">
        <w:t>5. Lipson DA, Barnhart F, Brealey N</w:t>
      </w:r>
      <w:r w:rsidRPr="00B8029E">
        <w:rPr>
          <w:i/>
        </w:rPr>
        <w:t>, et al.</w:t>
      </w:r>
      <w:r w:rsidRPr="00B8029E">
        <w:t xml:space="preserve"> Once-daily single-inhaler triple versus dual therapy in patients with COPD. N Engl J Med. 2018;378:1671-80.</w:t>
      </w:r>
    </w:p>
    <w:p w:rsidR="00B8029E" w:rsidRPr="00B8029E" w:rsidRDefault="00B8029E" w:rsidP="00B8029E">
      <w:pPr>
        <w:pStyle w:val="EndNoteBibliography"/>
        <w:spacing w:after="240"/>
      </w:pPr>
      <w:r w:rsidRPr="00B8029E">
        <w:t>6. Jung KS, Park HY, Park SY</w:t>
      </w:r>
      <w:r w:rsidRPr="00B8029E">
        <w:rPr>
          <w:i/>
        </w:rPr>
        <w:t>, et al.</w:t>
      </w:r>
      <w:r w:rsidRPr="00B8029E">
        <w:t xml:space="preserve"> Comparison of tiotropium plus fluticasone propionate/salmeterol with tiotropium in COPD: a randomized controlled study. Respir Med. 2012;106:382-9.</w:t>
      </w:r>
    </w:p>
    <w:p w:rsidR="00B8029E" w:rsidRPr="00B8029E" w:rsidRDefault="00B8029E" w:rsidP="00B8029E">
      <w:pPr>
        <w:pStyle w:val="EndNoteBibliography"/>
        <w:spacing w:after="240"/>
      </w:pPr>
      <w:r w:rsidRPr="00B8029E">
        <w:t>7. Ferguson GT, Rabe KF, Martinez FJ</w:t>
      </w:r>
      <w:r w:rsidRPr="00B8029E">
        <w:rPr>
          <w:i/>
        </w:rPr>
        <w:t>, et al.</w:t>
      </w:r>
      <w:r w:rsidRPr="00B8029E">
        <w:t xml:space="preserve"> Triple therapy with budesonide/glycopyrrolate/formoterol fumarate with co-suspension delivery technology versus dual therapies in chronic obstructive pulmonary disease (KRONOS): a double-blind, parallel-group, multicentre, phase 3 randomised controlled trial. Lancet Respir Med. 2018;6:747-58.</w:t>
      </w:r>
    </w:p>
    <w:p w:rsidR="00B8029E" w:rsidRPr="00B8029E" w:rsidRDefault="00B8029E" w:rsidP="00B8029E">
      <w:pPr>
        <w:pStyle w:val="EndNoteBibliography"/>
        <w:spacing w:after="240"/>
      </w:pPr>
      <w:r w:rsidRPr="00B8029E">
        <w:t>8. Lee SD, Xie CM, Yunus F</w:t>
      </w:r>
      <w:r w:rsidRPr="00B8029E">
        <w:rPr>
          <w:i/>
        </w:rPr>
        <w:t>, et al.</w:t>
      </w:r>
      <w:r w:rsidRPr="00B8029E">
        <w:t xml:space="preserve"> Efficacy and tolerability of budesonide/formoterol added to tiotropium compared with tiotropium alone in patients with severe or very severe COPD: A randomized, multicentre study in East Asia. Respirology. 2016;21:119-27.</w:t>
      </w:r>
    </w:p>
    <w:p w:rsidR="00B8029E" w:rsidRPr="00B8029E" w:rsidRDefault="00B8029E" w:rsidP="00B8029E">
      <w:pPr>
        <w:pStyle w:val="EndNoteBibliography"/>
        <w:spacing w:after="240"/>
      </w:pPr>
      <w:r w:rsidRPr="00B8029E">
        <w:lastRenderedPageBreak/>
        <w:t>9. Siler TM, Kerwin E, Sousa AR, Donald A, Ali R, Church A. Efficacy and safety of umeclidinium added to fluticasone furoate/vilanterol in chronic obstructive pulmonary disease: Results of two randomized studies. Respir Med. 2015;109:1155-63.</w:t>
      </w:r>
    </w:p>
    <w:p w:rsidR="00B8029E" w:rsidRPr="00B8029E" w:rsidRDefault="00B8029E" w:rsidP="00B8029E">
      <w:pPr>
        <w:pStyle w:val="EndNoteBibliography"/>
        <w:spacing w:after="240"/>
      </w:pPr>
      <w:r w:rsidRPr="00B8029E">
        <w:t>10. Siler TM, Kerwin E, Singletary K, Brooks J, Church A. Efficacy and safety of umeclidinium added to fluticasone propionate/salmeterol in patients with COPD: results of two randomized, double-blind studies. COPD. 2016;13:1-10.</w:t>
      </w:r>
    </w:p>
    <w:p w:rsidR="00B8029E" w:rsidRPr="00B8029E" w:rsidRDefault="00B8029E" w:rsidP="00B8029E">
      <w:pPr>
        <w:pStyle w:val="EndNoteBibliography"/>
        <w:spacing w:after="240"/>
      </w:pPr>
      <w:r w:rsidRPr="00B8029E">
        <w:t>11. Chapman KR, Hurst JR, Frent SM</w:t>
      </w:r>
      <w:r w:rsidRPr="00B8029E">
        <w:rPr>
          <w:i/>
        </w:rPr>
        <w:t>, et al.</w:t>
      </w:r>
      <w:r w:rsidRPr="00B8029E">
        <w:t xml:space="preserve"> Long-term triple therapy de-escalation to indacaterol/glycopyrronium in patients with chronic obstructive pulmonary disease (SUNSET): a randomized, double-blind, triple-dummy clinical trial. Am J Respir Crit Care Med. 2018;198:329-39.</w:t>
      </w:r>
    </w:p>
    <w:p w:rsidR="00B8029E" w:rsidRPr="00B8029E" w:rsidRDefault="00B8029E" w:rsidP="00B8029E">
      <w:pPr>
        <w:pStyle w:val="EndNoteBibliography"/>
        <w:spacing w:after="240"/>
      </w:pPr>
      <w:r w:rsidRPr="00B8029E">
        <w:t>12. Papi A, Vestbo J, Fabbri L</w:t>
      </w:r>
      <w:r w:rsidRPr="00B8029E">
        <w:rPr>
          <w:i/>
        </w:rPr>
        <w:t>, et al.</w:t>
      </w:r>
      <w:r w:rsidRPr="00B8029E">
        <w:t xml:space="preserve"> Extrafine inhaled triple therapy versus dual bronchodilator therapy in chronic obstructive pulmonary disease (TRIBUTE): a double-blind, parallel group, randomised controlled trial. Lancet. 2018;391:1076-84.</w:t>
      </w:r>
    </w:p>
    <w:p w:rsidR="00B8029E" w:rsidRPr="00B8029E" w:rsidRDefault="00B8029E" w:rsidP="00B8029E">
      <w:pPr>
        <w:pStyle w:val="EndNoteBibliography"/>
        <w:spacing w:after="240"/>
      </w:pPr>
      <w:r w:rsidRPr="00B8029E">
        <w:t>13. Singh D, Papi A, Corradi M</w:t>
      </w:r>
      <w:r w:rsidRPr="00B8029E">
        <w:rPr>
          <w:i/>
        </w:rPr>
        <w:t>, et al.</w:t>
      </w:r>
      <w:r w:rsidRPr="00B8029E">
        <w:t xml:space="preserve"> Single inhaler triple therapy versus inhaled corticosteroid plus long-acting β</w:t>
      </w:r>
      <w:r w:rsidRPr="00B8029E">
        <w:rPr>
          <w:vertAlign w:val="subscript"/>
        </w:rPr>
        <w:t>2</w:t>
      </w:r>
      <w:r w:rsidRPr="00B8029E">
        <w:t>-agonist therapy for chronic obstructive pulmonary disease (TRILOGY): a double-blind, parallel group, randomised controlled trial. Lancet. 2016;388:963-73.</w:t>
      </w:r>
    </w:p>
    <w:p w:rsidR="00B8029E" w:rsidRPr="00B8029E" w:rsidRDefault="00B8029E" w:rsidP="00B8029E">
      <w:pPr>
        <w:pStyle w:val="EndNoteBibliography"/>
        <w:spacing w:after="240"/>
      </w:pPr>
      <w:r w:rsidRPr="00B8029E">
        <w:t>14. Vestbo J, Papi A, Corradi M</w:t>
      </w:r>
      <w:r w:rsidRPr="00B8029E">
        <w:rPr>
          <w:i/>
        </w:rPr>
        <w:t>, et al.</w:t>
      </w:r>
      <w:r w:rsidRPr="00B8029E">
        <w:t xml:space="preserve"> Single inhaler extrafine triple therapy versus long-acting muscarinic antagonist therapy for chronic obstructive pulmonary disease (TRINITY): a double-blind, parallel group, randomised controlled trial. Lancet. 2017;389:1919-29.</w:t>
      </w:r>
    </w:p>
    <w:p w:rsidR="00B8029E" w:rsidRPr="00B8029E" w:rsidRDefault="00B8029E" w:rsidP="00B8029E">
      <w:pPr>
        <w:pStyle w:val="EndNoteBibliography"/>
        <w:spacing w:after="240"/>
      </w:pPr>
      <w:r w:rsidRPr="00B8029E">
        <w:t>15. Welte T, Miravitlles M, Hernandez P</w:t>
      </w:r>
      <w:r w:rsidRPr="00B8029E">
        <w:rPr>
          <w:i/>
        </w:rPr>
        <w:t>, et al.</w:t>
      </w:r>
      <w:r w:rsidRPr="00B8029E">
        <w:t xml:space="preserve"> Efficacy and tolerability of budesonide/formoterol added to tiotropium in patients with chronic obstructive pulmonary disease. Am J Respir Crit Care Med. 2009;180:741-50.</w:t>
      </w:r>
    </w:p>
    <w:p w:rsidR="00B8029E" w:rsidRPr="00B8029E" w:rsidRDefault="00B8029E" w:rsidP="00B8029E">
      <w:pPr>
        <w:pStyle w:val="EndNoteBibliography"/>
      </w:pPr>
      <w:r w:rsidRPr="00B8029E">
        <w:t>16. Magnussen H, Disse B, Rodriguez-Roisin R</w:t>
      </w:r>
      <w:r w:rsidRPr="00B8029E">
        <w:rPr>
          <w:i/>
        </w:rPr>
        <w:t>, et al.</w:t>
      </w:r>
      <w:r w:rsidRPr="00B8029E">
        <w:t xml:space="preserve"> Withdrawal of inhaled glucocorticoids and exacerbations of COPD. N Engl J Med. 2014;371:1285-94.</w:t>
      </w:r>
    </w:p>
    <w:p w:rsidR="005038D6" w:rsidRDefault="005038D6"/>
    <w:sectPr w:rsidR="005038D6" w:rsidSect="005640ED">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roy Light Italic">
    <w:panose1 w:val="00000000000000000000"/>
    <w:charset w:val="00"/>
    <w:family w:val="modern"/>
    <w:notTrueType/>
    <w:pitch w:val="variable"/>
    <w:sig w:usb0="00000207" w:usb1="00000000" w:usb2="00000000" w:usb3="00000000" w:csb0="00000097" w:csb1="00000000"/>
  </w:font>
  <w:font w:name="Cambria Math">
    <w:panose1 w:val="02040503050406030204"/>
    <w:charset w:val="00"/>
    <w:family w:val="roman"/>
    <w:pitch w:val="variable"/>
    <w:sig w:usb0="E00002FF" w:usb1="420024FF" w:usb2="00000000" w:usb3="00000000" w:csb0="0000019F" w:csb1="00000000"/>
  </w:font>
  <w:font w:name="ScalaLancetPro">
    <w:altName w:val="Yu Gothic UI"/>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6957BF"/>
    <w:multiLevelType w:val="hybridMultilevel"/>
    <w:tmpl w:val="F3F0EF5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20B0CDD"/>
    <w:multiLevelType w:val="hybridMultilevel"/>
    <w:tmpl w:val="C99E62C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08090003">
      <w:start w:val="1"/>
      <w:numFmt w:val="bullet"/>
      <w:lvlText w:val="o"/>
      <w:lvlJc w:val="left"/>
      <w:pPr>
        <w:ind w:left="1440" w:hanging="360"/>
      </w:pPr>
      <w:rPr>
        <w:rFonts w:ascii="Courier New" w:hAnsi="Courier New" w:cs="Courier New"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
    <w:nsid w:val="10013661"/>
    <w:multiLevelType w:val="hybridMultilevel"/>
    <w:tmpl w:val="CFB87EA6"/>
    <w:lvl w:ilvl="0" w:tplc="08090001">
      <w:start w:val="1"/>
      <w:numFmt w:val="bullet"/>
      <w:lvlText w:val=""/>
      <w:lvlJc w:val="left"/>
      <w:pPr>
        <w:ind w:left="378" w:hanging="360"/>
      </w:pPr>
      <w:rPr>
        <w:rFonts w:ascii="Symbol" w:hAnsi="Symbol" w:hint="default"/>
      </w:rPr>
    </w:lvl>
    <w:lvl w:ilvl="1" w:tplc="08090003" w:tentative="1">
      <w:start w:val="1"/>
      <w:numFmt w:val="bullet"/>
      <w:lvlText w:val="o"/>
      <w:lvlJc w:val="left"/>
      <w:pPr>
        <w:ind w:left="1098" w:hanging="360"/>
      </w:pPr>
      <w:rPr>
        <w:rFonts w:ascii="Courier New" w:hAnsi="Courier New" w:cs="Courier New" w:hint="default"/>
      </w:rPr>
    </w:lvl>
    <w:lvl w:ilvl="2" w:tplc="08090005" w:tentative="1">
      <w:start w:val="1"/>
      <w:numFmt w:val="bullet"/>
      <w:lvlText w:val=""/>
      <w:lvlJc w:val="left"/>
      <w:pPr>
        <w:ind w:left="1818" w:hanging="360"/>
      </w:pPr>
      <w:rPr>
        <w:rFonts w:ascii="Wingdings" w:hAnsi="Wingdings" w:hint="default"/>
      </w:rPr>
    </w:lvl>
    <w:lvl w:ilvl="3" w:tplc="08090001" w:tentative="1">
      <w:start w:val="1"/>
      <w:numFmt w:val="bullet"/>
      <w:lvlText w:val=""/>
      <w:lvlJc w:val="left"/>
      <w:pPr>
        <w:ind w:left="2538" w:hanging="360"/>
      </w:pPr>
      <w:rPr>
        <w:rFonts w:ascii="Symbol" w:hAnsi="Symbol" w:hint="default"/>
      </w:rPr>
    </w:lvl>
    <w:lvl w:ilvl="4" w:tplc="08090003" w:tentative="1">
      <w:start w:val="1"/>
      <w:numFmt w:val="bullet"/>
      <w:lvlText w:val="o"/>
      <w:lvlJc w:val="left"/>
      <w:pPr>
        <w:ind w:left="3258" w:hanging="360"/>
      </w:pPr>
      <w:rPr>
        <w:rFonts w:ascii="Courier New" w:hAnsi="Courier New" w:cs="Courier New" w:hint="default"/>
      </w:rPr>
    </w:lvl>
    <w:lvl w:ilvl="5" w:tplc="08090005" w:tentative="1">
      <w:start w:val="1"/>
      <w:numFmt w:val="bullet"/>
      <w:lvlText w:val=""/>
      <w:lvlJc w:val="left"/>
      <w:pPr>
        <w:ind w:left="3978" w:hanging="360"/>
      </w:pPr>
      <w:rPr>
        <w:rFonts w:ascii="Wingdings" w:hAnsi="Wingdings" w:hint="default"/>
      </w:rPr>
    </w:lvl>
    <w:lvl w:ilvl="6" w:tplc="08090001" w:tentative="1">
      <w:start w:val="1"/>
      <w:numFmt w:val="bullet"/>
      <w:lvlText w:val=""/>
      <w:lvlJc w:val="left"/>
      <w:pPr>
        <w:ind w:left="4698" w:hanging="360"/>
      </w:pPr>
      <w:rPr>
        <w:rFonts w:ascii="Symbol" w:hAnsi="Symbol" w:hint="default"/>
      </w:rPr>
    </w:lvl>
    <w:lvl w:ilvl="7" w:tplc="08090003" w:tentative="1">
      <w:start w:val="1"/>
      <w:numFmt w:val="bullet"/>
      <w:lvlText w:val="o"/>
      <w:lvlJc w:val="left"/>
      <w:pPr>
        <w:ind w:left="5418" w:hanging="360"/>
      </w:pPr>
      <w:rPr>
        <w:rFonts w:ascii="Courier New" w:hAnsi="Courier New" w:cs="Courier New" w:hint="default"/>
      </w:rPr>
    </w:lvl>
    <w:lvl w:ilvl="8" w:tplc="08090005" w:tentative="1">
      <w:start w:val="1"/>
      <w:numFmt w:val="bullet"/>
      <w:lvlText w:val=""/>
      <w:lvlJc w:val="left"/>
      <w:pPr>
        <w:ind w:left="6138" w:hanging="360"/>
      </w:pPr>
      <w:rPr>
        <w:rFonts w:ascii="Wingdings" w:hAnsi="Wingdings" w:hint="default"/>
      </w:rPr>
    </w:lvl>
  </w:abstractNum>
  <w:abstractNum w:abstractNumId="3">
    <w:nsid w:val="1239518B"/>
    <w:multiLevelType w:val="hybridMultilevel"/>
    <w:tmpl w:val="AA422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F7794C"/>
    <w:multiLevelType w:val="hybridMultilevel"/>
    <w:tmpl w:val="54A24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D935831"/>
    <w:multiLevelType w:val="hybridMultilevel"/>
    <w:tmpl w:val="1EA2B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11548F0"/>
    <w:multiLevelType w:val="hybridMultilevel"/>
    <w:tmpl w:val="AAAAE1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34B27FE"/>
    <w:multiLevelType w:val="hybridMultilevel"/>
    <w:tmpl w:val="5240EA98"/>
    <w:lvl w:ilvl="0" w:tplc="DD00F8D2">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501047"/>
    <w:multiLevelType w:val="hybridMultilevel"/>
    <w:tmpl w:val="C040E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8045020"/>
    <w:multiLevelType w:val="hybridMultilevel"/>
    <w:tmpl w:val="38A69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B1751F7"/>
    <w:multiLevelType w:val="hybridMultilevel"/>
    <w:tmpl w:val="F40887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557153"/>
    <w:multiLevelType w:val="hybridMultilevel"/>
    <w:tmpl w:val="819A70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20A732E"/>
    <w:multiLevelType w:val="hybridMultilevel"/>
    <w:tmpl w:val="C6D8FFC8"/>
    <w:lvl w:ilvl="0" w:tplc="C3CCED8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51C4355"/>
    <w:multiLevelType w:val="hybridMultilevel"/>
    <w:tmpl w:val="F252F5A2"/>
    <w:lvl w:ilvl="0" w:tplc="B02C17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92E6468"/>
    <w:multiLevelType w:val="hybridMultilevel"/>
    <w:tmpl w:val="5A1A2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5B03D3A"/>
    <w:multiLevelType w:val="hybridMultilevel"/>
    <w:tmpl w:val="403C87A4"/>
    <w:lvl w:ilvl="0" w:tplc="91642F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89304F8"/>
    <w:multiLevelType w:val="hybridMultilevel"/>
    <w:tmpl w:val="9776EF4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nsid w:val="48D8443C"/>
    <w:multiLevelType w:val="hybridMultilevel"/>
    <w:tmpl w:val="7FAA44D8"/>
    <w:lvl w:ilvl="0" w:tplc="91642F3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DC41D77"/>
    <w:multiLevelType w:val="hybridMultilevel"/>
    <w:tmpl w:val="1A3CB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8C367CE"/>
    <w:multiLevelType w:val="hybridMultilevel"/>
    <w:tmpl w:val="43E65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AFA0083"/>
    <w:multiLevelType w:val="hybridMultilevel"/>
    <w:tmpl w:val="9FB2E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F866A00"/>
    <w:multiLevelType w:val="hybridMultilevel"/>
    <w:tmpl w:val="07745232"/>
    <w:lvl w:ilvl="0" w:tplc="08090001">
      <w:start w:val="1"/>
      <w:numFmt w:val="bullet"/>
      <w:lvlText w:val=""/>
      <w:lvlJc w:val="left"/>
      <w:pPr>
        <w:ind w:left="738" w:hanging="360"/>
      </w:pPr>
      <w:rPr>
        <w:rFonts w:ascii="Symbol" w:hAnsi="Symbol"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22">
    <w:nsid w:val="642D61F8"/>
    <w:multiLevelType w:val="hybridMultilevel"/>
    <w:tmpl w:val="557276B6"/>
    <w:lvl w:ilvl="0" w:tplc="AB1AA53C">
      <w:start w:val="1"/>
      <w:numFmt w:val="bullet"/>
      <w:lvlText w:val="•"/>
      <w:lvlJc w:val="left"/>
      <w:pPr>
        <w:tabs>
          <w:tab w:val="num" w:pos="720"/>
        </w:tabs>
        <w:ind w:left="720" w:hanging="360"/>
      </w:pPr>
      <w:rPr>
        <w:rFonts w:ascii="Arial" w:hAnsi="Arial" w:hint="default"/>
      </w:rPr>
    </w:lvl>
    <w:lvl w:ilvl="1" w:tplc="96B05FAE" w:tentative="1">
      <w:start w:val="1"/>
      <w:numFmt w:val="bullet"/>
      <w:lvlText w:val="•"/>
      <w:lvlJc w:val="left"/>
      <w:pPr>
        <w:tabs>
          <w:tab w:val="num" w:pos="1440"/>
        </w:tabs>
        <w:ind w:left="1440" w:hanging="360"/>
      </w:pPr>
      <w:rPr>
        <w:rFonts w:ascii="Arial" w:hAnsi="Arial" w:hint="default"/>
      </w:rPr>
    </w:lvl>
    <w:lvl w:ilvl="2" w:tplc="1C0EA9C6" w:tentative="1">
      <w:start w:val="1"/>
      <w:numFmt w:val="bullet"/>
      <w:lvlText w:val="•"/>
      <w:lvlJc w:val="left"/>
      <w:pPr>
        <w:tabs>
          <w:tab w:val="num" w:pos="2160"/>
        </w:tabs>
        <w:ind w:left="2160" w:hanging="360"/>
      </w:pPr>
      <w:rPr>
        <w:rFonts w:ascii="Arial" w:hAnsi="Arial" w:hint="default"/>
      </w:rPr>
    </w:lvl>
    <w:lvl w:ilvl="3" w:tplc="AD1C810E" w:tentative="1">
      <w:start w:val="1"/>
      <w:numFmt w:val="bullet"/>
      <w:lvlText w:val="•"/>
      <w:lvlJc w:val="left"/>
      <w:pPr>
        <w:tabs>
          <w:tab w:val="num" w:pos="2880"/>
        </w:tabs>
        <w:ind w:left="2880" w:hanging="360"/>
      </w:pPr>
      <w:rPr>
        <w:rFonts w:ascii="Arial" w:hAnsi="Arial" w:hint="default"/>
      </w:rPr>
    </w:lvl>
    <w:lvl w:ilvl="4" w:tplc="7E841936" w:tentative="1">
      <w:start w:val="1"/>
      <w:numFmt w:val="bullet"/>
      <w:lvlText w:val="•"/>
      <w:lvlJc w:val="left"/>
      <w:pPr>
        <w:tabs>
          <w:tab w:val="num" w:pos="3600"/>
        </w:tabs>
        <w:ind w:left="3600" w:hanging="360"/>
      </w:pPr>
      <w:rPr>
        <w:rFonts w:ascii="Arial" w:hAnsi="Arial" w:hint="default"/>
      </w:rPr>
    </w:lvl>
    <w:lvl w:ilvl="5" w:tplc="953CB4FA" w:tentative="1">
      <w:start w:val="1"/>
      <w:numFmt w:val="bullet"/>
      <w:lvlText w:val="•"/>
      <w:lvlJc w:val="left"/>
      <w:pPr>
        <w:tabs>
          <w:tab w:val="num" w:pos="4320"/>
        </w:tabs>
        <w:ind w:left="4320" w:hanging="360"/>
      </w:pPr>
      <w:rPr>
        <w:rFonts w:ascii="Arial" w:hAnsi="Arial" w:hint="default"/>
      </w:rPr>
    </w:lvl>
    <w:lvl w:ilvl="6" w:tplc="7D883A5E" w:tentative="1">
      <w:start w:val="1"/>
      <w:numFmt w:val="bullet"/>
      <w:lvlText w:val="•"/>
      <w:lvlJc w:val="left"/>
      <w:pPr>
        <w:tabs>
          <w:tab w:val="num" w:pos="5040"/>
        </w:tabs>
        <w:ind w:left="5040" w:hanging="360"/>
      </w:pPr>
      <w:rPr>
        <w:rFonts w:ascii="Arial" w:hAnsi="Arial" w:hint="default"/>
      </w:rPr>
    </w:lvl>
    <w:lvl w:ilvl="7" w:tplc="867A5B56" w:tentative="1">
      <w:start w:val="1"/>
      <w:numFmt w:val="bullet"/>
      <w:lvlText w:val="•"/>
      <w:lvlJc w:val="left"/>
      <w:pPr>
        <w:tabs>
          <w:tab w:val="num" w:pos="5760"/>
        </w:tabs>
        <w:ind w:left="5760" w:hanging="360"/>
      </w:pPr>
      <w:rPr>
        <w:rFonts w:ascii="Arial" w:hAnsi="Arial" w:hint="default"/>
      </w:rPr>
    </w:lvl>
    <w:lvl w:ilvl="8" w:tplc="8124E2B0" w:tentative="1">
      <w:start w:val="1"/>
      <w:numFmt w:val="bullet"/>
      <w:lvlText w:val="•"/>
      <w:lvlJc w:val="left"/>
      <w:pPr>
        <w:tabs>
          <w:tab w:val="num" w:pos="6480"/>
        </w:tabs>
        <w:ind w:left="6480" w:hanging="360"/>
      </w:pPr>
      <w:rPr>
        <w:rFonts w:ascii="Arial" w:hAnsi="Arial" w:hint="default"/>
      </w:rPr>
    </w:lvl>
  </w:abstractNum>
  <w:abstractNum w:abstractNumId="23">
    <w:nsid w:val="650C3EE9"/>
    <w:multiLevelType w:val="hybridMultilevel"/>
    <w:tmpl w:val="B2F4B978"/>
    <w:lvl w:ilvl="0" w:tplc="B3E04F76">
      <w:start w:val="1"/>
      <w:numFmt w:val="bullet"/>
      <w:lvlText w:val=""/>
      <w:lvlJc w:val="left"/>
      <w:pPr>
        <w:ind w:left="357" w:hanging="35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A04C5B"/>
    <w:multiLevelType w:val="hybridMultilevel"/>
    <w:tmpl w:val="0C66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BAF60AB"/>
    <w:multiLevelType w:val="hybridMultilevel"/>
    <w:tmpl w:val="C8C83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C816C5C"/>
    <w:multiLevelType w:val="hybridMultilevel"/>
    <w:tmpl w:val="B3066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E93577A"/>
    <w:multiLevelType w:val="multilevel"/>
    <w:tmpl w:val="40929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A073948"/>
    <w:multiLevelType w:val="hybridMultilevel"/>
    <w:tmpl w:val="686A0C7C"/>
    <w:lvl w:ilvl="0" w:tplc="FB720E24">
      <w:start w:val="1"/>
      <w:numFmt w:val="bullet"/>
      <w:pStyle w:val="TableBullet-H55"/>
      <w:lvlText w:val=""/>
      <w:lvlJc w:val="left"/>
      <w:pPr>
        <w:ind w:left="378" w:hanging="360"/>
      </w:pPr>
      <w:rPr>
        <w:rFonts w:ascii="Symbol" w:hAnsi="Symbol" w:hint="default"/>
        <w:color w:val="44546A" w:themeColor="text2"/>
      </w:rPr>
    </w:lvl>
    <w:lvl w:ilvl="1" w:tplc="08090003">
      <w:start w:val="1"/>
      <w:numFmt w:val="bullet"/>
      <w:lvlText w:val="o"/>
      <w:lvlJc w:val="left"/>
      <w:pPr>
        <w:ind w:left="2646" w:hanging="360"/>
      </w:pPr>
      <w:rPr>
        <w:rFonts w:ascii="Courier New" w:hAnsi="Courier New" w:cs="Courier New" w:hint="default"/>
      </w:rPr>
    </w:lvl>
    <w:lvl w:ilvl="2" w:tplc="08090005" w:tentative="1">
      <w:start w:val="1"/>
      <w:numFmt w:val="bullet"/>
      <w:lvlText w:val=""/>
      <w:lvlJc w:val="left"/>
      <w:pPr>
        <w:ind w:left="3366" w:hanging="360"/>
      </w:pPr>
      <w:rPr>
        <w:rFonts w:ascii="Wingdings" w:hAnsi="Wingdings" w:hint="default"/>
      </w:rPr>
    </w:lvl>
    <w:lvl w:ilvl="3" w:tplc="08090001" w:tentative="1">
      <w:start w:val="1"/>
      <w:numFmt w:val="bullet"/>
      <w:lvlText w:val=""/>
      <w:lvlJc w:val="left"/>
      <w:pPr>
        <w:ind w:left="4086" w:hanging="360"/>
      </w:pPr>
      <w:rPr>
        <w:rFonts w:ascii="Symbol" w:hAnsi="Symbol" w:hint="default"/>
      </w:rPr>
    </w:lvl>
    <w:lvl w:ilvl="4" w:tplc="08090003" w:tentative="1">
      <w:start w:val="1"/>
      <w:numFmt w:val="bullet"/>
      <w:lvlText w:val="o"/>
      <w:lvlJc w:val="left"/>
      <w:pPr>
        <w:ind w:left="4806" w:hanging="360"/>
      </w:pPr>
      <w:rPr>
        <w:rFonts w:ascii="Courier New" w:hAnsi="Courier New" w:cs="Courier New" w:hint="default"/>
      </w:rPr>
    </w:lvl>
    <w:lvl w:ilvl="5" w:tplc="08090005" w:tentative="1">
      <w:start w:val="1"/>
      <w:numFmt w:val="bullet"/>
      <w:lvlText w:val=""/>
      <w:lvlJc w:val="left"/>
      <w:pPr>
        <w:ind w:left="5526" w:hanging="360"/>
      </w:pPr>
      <w:rPr>
        <w:rFonts w:ascii="Wingdings" w:hAnsi="Wingdings" w:hint="default"/>
      </w:rPr>
    </w:lvl>
    <w:lvl w:ilvl="6" w:tplc="08090001" w:tentative="1">
      <w:start w:val="1"/>
      <w:numFmt w:val="bullet"/>
      <w:lvlText w:val=""/>
      <w:lvlJc w:val="left"/>
      <w:pPr>
        <w:ind w:left="6246" w:hanging="360"/>
      </w:pPr>
      <w:rPr>
        <w:rFonts w:ascii="Symbol" w:hAnsi="Symbol" w:hint="default"/>
      </w:rPr>
    </w:lvl>
    <w:lvl w:ilvl="7" w:tplc="08090003" w:tentative="1">
      <w:start w:val="1"/>
      <w:numFmt w:val="bullet"/>
      <w:lvlText w:val="o"/>
      <w:lvlJc w:val="left"/>
      <w:pPr>
        <w:ind w:left="6966" w:hanging="360"/>
      </w:pPr>
      <w:rPr>
        <w:rFonts w:ascii="Courier New" w:hAnsi="Courier New" w:cs="Courier New" w:hint="default"/>
      </w:rPr>
    </w:lvl>
    <w:lvl w:ilvl="8" w:tplc="08090005" w:tentative="1">
      <w:start w:val="1"/>
      <w:numFmt w:val="bullet"/>
      <w:lvlText w:val=""/>
      <w:lvlJc w:val="left"/>
      <w:pPr>
        <w:ind w:left="7686" w:hanging="360"/>
      </w:pPr>
      <w:rPr>
        <w:rFonts w:ascii="Wingdings" w:hAnsi="Wingdings" w:hint="default"/>
      </w:rPr>
    </w:lvl>
  </w:abstractNum>
  <w:abstractNum w:abstractNumId="29">
    <w:nsid w:val="7BB401A9"/>
    <w:multiLevelType w:val="hybridMultilevel"/>
    <w:tmpl w:val="E4067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C2B3F87"/>
    <w:multiLevelType w:val="hybridMultilevel"/>
    <w:tmpl w:val="A3404080"/>
    <w:lvl w:ilvl="0" w:tplc="08090003">
      <w:start w:val="1"/>
      <w:numFmt w:val="bullet"/>
      <w:lvlText w:val="o"/>
      <w:lvlJc w:val="left"/>
      <w:pPr>
        <w:ind w:left="738" w:hanging="360"/>
      </w:pPr>
      <w:rPr>
        <w:rFonts w:ascii="Courier New" w:hAnsi="Courier New" w:cs="Courier New" w:hint="default"/>
      </w:rPr>
    </w:lvl>
    <w:lvl w:ilvl="1" w:tplc="08090003" w:tentative="1">
      <w:start w:val="1"/>
      <w:numFmt w:val="bullet"/>
      <w:lvlText w:val="o"/>
      <w:lvlJc w:val="left"/>
      <w:pPr>
        <w:ind w:left="1458" w:hanging="360"/>
      </w:pPr>
      <w:rPr>
        <w:rFonts w:ascii="Courier New" w:hAnsi="Courier New" w:cs="Courier New" w:hint="default"/>
      </w:rPr>
    </w:lvl>
    <w:lvl w:ilvl="2" w:tplc="08090005" w:tentative="1">
      <w:start w:val="1"/>
      <w:numFmt w:val="bullet"/>
      <w:lvlText w:val=""/>
      <w:lvlJc w:val="left"/>
      <w:pPr>
        <w:ind w:left="2178" w:hanging="360"/>
      </w:pPr>
      <w:rPr>
        <w:rFonts w:ascii="Wingdings" w:hAnsi="Wingdings" w:hint="default"/>
      </w:rPr>
    </w:lvl>
    <w:lvl w:ilvl="3" w:tplc="08090001" w:tentative="1">
      <w:start w:val="1"/>
      <w:numFmt w:val="bullet"/>
      <w:lvlText w:val=""/>
      <w:lvlJc w:val="left"/>
      <w:pPr>
        <w:ind w:left="2898" w:hanging="360"/>
      </w:pPr>
      <w:rPr>
        <w:rFonts w:ascii="Symbol" w:hAnsi="Symbol" w:hint="default"/>
      </w:rPr>
    </w:lvl>
    <w:lvl w:ilvl="4" w:tplc="08090003" w:tentative="1">
      <w:start w:val="1"/>
      <w:numFmt w:val="bullet"/>
      <w:lvlText w:val="o"/>
      <w:lvlJc w:val="left"/>
      <w:pPr>
        <w:ind w:left="3618" w:hanging="360"/>
      </w:pPr>
      <w:rPr>
        <w:rFonts w:ascii="Courier New" w:hAnsi="Courier New" w:cs="Courier New" w:hint="default"/>
      </w:rPr>
    </w:lvl>
    <w:lvl w:ilvl="5" w:tplc="08090005" w:tentative="1">
      <w:start w:val="1"/>
      <w:numFmt w:val="bullet"/>
      <w:lvlText w:val=""/>
      <w:lvlJc w:val="left"/>
      <w:pPr>
        <w:ind w:left="4338" w:hanging="360"/>
      </w:pPr>
      <w:rPr>
        <w:rFonts w:ascii="Wingdings" w:hAnsi="Wingdings" w:hint="default"/>
      </w:rPr>
    </w:lvl>
    <w:lvl w:ilvl="6" w:tplc="08090001" w:tentative="1">
      <w:start w:val="1"/>
      <w:numFmt w:val="bullet"/>
      <w:lvlText w:val=""/>
      <w:lvlJc w:val="left"/>
      <w:pPr>
        <w:ind w:left="5058" w:hanging="360"/>
      </w:pPr>
      <w:rPr>
        <w:rFonts w:ascii="Symbol" w:hAnsi="Symbol" w:hint="default"/>
      </w:rPr>
    </w:lvl>
    <w:lvl w:ilvl="7" w:tplc="08090003" w:tentative="1">
      <w:start w:val="1"/>
      <w:numFmt w:val="bullet"/>
      <w:lvlText w:val="o"/>
      <w:lvlJc w:val="left"/>
      <w:pPr>
        <w:ind w:left="5778" w:hanging="360"/>
      </w:pPr>
      <w:rPr>
        <w:rFonts w:ascii="Courier New" w:hAnsi="Courier New" w:cs="Courier New" w:hint="default"/>
      </w:rPr>
    </w:lvl>
    <w:lvl w:ilvl="8" w:tplc="08090005" w:tentative="1">
      <w:start w:val="1"/>
      <w:numFmt w:val="bullet"/>
      <w:lvlText w:val=""/>
      <w:lvlJc w:val="left"/>
      <w:pPr>
        <w:ind w:left="6498" w:hanging="360"/>
      </w:pPr>
      <w:rPr>
        <w:rFonts w:ascii="Wingdings" w:hAnsi="Wingdings" w:hint="default"/>
      </w:rPr>
    </w:lvl>
  </w:abstractNum>
  <w:abstractNum w:abstractNumId="31">
    <w:nsid w:val="7EDF0077"/>
    <w:multiLevelType w:val="hybridMultilevel"/>
    <w:tmpl w:val="199A70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11"/>
  </w:num>
  <w:num w:numId="4">
    <w:abstractNumId w:val="18"/>
  </w:num>
  <w:num w:numId="5">
    <w:abstractNumId w:val="10"/>
  </w:num>
  <w:num w:numId="6">
    <w:abstractNumId w:val="28"/>
  </w:num>
  <w:num w:numId="7">
    <w:abstractNumId w:val="29"/>
  </w:num>
  <w:num w:numId="8">
    <w:abstractNumId w:val="21"/>
  </w:num>
  <w:num w:numId="9">
    <w:abstractNumId w:val="2"/>
  </w:num>
  <w:num w:numId="10">
    <w:abstractNumId w:val="30"/>
  </w:num>
  <w:num w:numId="11">
    <w:abstractNumId w:val="17"/>
  </w:num>
  <w:num w:numId="12">
    <w:abstractNumId w:val="1"/>
  </w:num>
  <w:num w:numId="13">
    <w:abstractNumId w:val="20"/>
  </w:num>
  <w:num w:numId="14">
    <w:abstractNumId w:val="26"/>
  </w:num>
  <w:num w:numId="15">
    <w:abstractNumId w:val="24"/>
  </w:num>
  <w:num w:numId="16">
    <w:abstractNumId w:val="3"/>
  </w:num>
  <w:num w:numId="17">
    <w:abstractNumId w:val="19"/>
  </w:num>
  <w:num w:numId="18">
    <w:abstractNumId w:val="9"/>
  </w:num>
  <w:num w:numId="19">
    <w:abstractNumId w:val="15"/>
  </w:num>
  <w:num w:numId="20">
    <w:abstractNumId w:val="14"/>
  </w:num>
  <w:num w:numId="21">
    <w:abstractNumId w:val="31"/>
  </w:num>
  <w:num w:numId="22">
    <w:abstractNumId w:val="5"/>
  </w:num>
  <w:num w:numId="23">
    <w:abstractNumId w:val="16"/>
  </w:num>
  <w:num w:numId="24">
    <w:abstractNumId w:val="22"/>
  </w:num>
  <w:num w:numId="25">
    <w:abstractNumId w:val="6"/>
  </w:num>
  <w:num w:numId="26">
    <w:abstractNumId w:val="12"/>
  </w:num>
  <w:num w:numId="27">
    <w:abstractNumId w:val="0"/>
  </w:num>
  <w:num w:numId="28">
    <w:abstractNumId w:val="13"/>
  </w:num>
  <w:num w:numId="29">
    <w:abstractNumId w:val="27"/>
  </w:num>
  <w:num w:numId="30">
    <w:abstractNumId w:val="8"/>
  </w:num>
  <w:num w:numId="31">
    <w:abstractNumId w:val="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dvances in Thera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2&lt;/LineSpacing&gt;&lt;SpaceAfter&gt;1&lt;/SpaceAfter&gt;&lt;HyperlinksEnabled&gt;0&lt;/HyperlinksEnabled&gt;&lt;HyperlinksVisible&gt;0&lt;/HyperlinksVisible&gt;&lt;EnableBibliographyCategories&gt;0&lt;/EnableBibliographyCategories&gt;&lt;/ENLayout&gt;"/>
    <w:docVar w:name="EN.Libraries" w:val="&lt;Libraries&gt;&lt;item db-id=&quot;w5t29002o00p5zewev7pseexprwp0xrs00dt&quot;&gt;AZ.Pearl@complete-mc.com&lt;record-ids&gt;&lt;item&gt;51&lt;/item&gt;&lt;item&gt;207&lt;/item&gt;&lt;item&gt;433&lt;/item&gt;&lt;item&gt;606&lt;/item&gt;&lt;item&gt;675&lt;/item&gt;&lt;item&gt;695&lt;/item&gt;&lt;item&gt;799&lt;/item&gt;&lt;item&gt;864&lt;/item&gt;&lt;item&gt;1034&lt;/item&gt;&lt;item&gt;1051&lt;/item&gt;&lt;item&gt;1114&lt;/item&gt;&lt;item&gt;1128&lt;/item&gt;&lt;item&gt;1350&lt;/item&gt;&lt;item&gt;1452&lt;/item&gt;&lt;item&gt;1454&lt;/item&gt;&lt;item&gt;1455&lt;/item&gt;&lt;/record-ids&gt;&lt;/item&gt;&lt;/Libraries&gt;"/>
  </w:docVars>
  <w:rsids>
    <w:rsidRoot w:val="00B8029E"/>
    <w:rsid w:val="005038D6"/>
    <w:rsid w:val="00880033"/>
    <w:rsid w:val="00B8029E"/>
    <w:rsid w:val="00F95A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1413C-F259-4A35-A32D-0FC3ADAF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29E"/>
    <w:pPr>
      <w:spacing w:line="360" w:lineRule="auto"/>
    </w:pPr>
    <w:rPr>
      <w:rFonts w:ascii="Times New Roman" w:hAnsi="Times New Roman"/>
    </w:rPr>
  </w:style>
  <w:style w:type="paragraph" w:styleId="Heading1">
    <w:name w:val="heading 1"/>
    <w:basedOn w:val="Normal"/>
    <w:next w:val="Normal"/>
    <w:link w:val="Heading1Char"/>
    <w:uiPriority w:val="9"/>
    <w:qFormat/>
    <w:rsid w:val="00B8029E"/>
    <w:pPr>
      <w:keepNext/>
      <w:spacing w:before="160"/>
      <w:outlineLvl w:val="0"/>
    </w:pPr>
    <w:rPr>
      <w:b/>
    </w:rPr>
  </w:style>
  <w:style w:type="paragraph" w:styleId="Heading2">
    <w:name w:val="heading 2"/>
    <w:basedOn w:val="Heading1"/>
    <w:next w:val="Normal"/>
    <w:link w:val="Heading2Char"/>
    <w:uiPriority w:val="9"/>
    <w:unhideWhenUsed/>
    <w:qFormat/>
    <w:rsid w:val="00B8029E"/>
    <w:pPr>
      <w:outlineLvl w:val="1"/>
    </w:pPr>
    <w:rPr>
      <w:i/>
    </w:rPr>
  </w:style>
  <w:style w:type="paragraph" w:styleId="Heading3">
    <w:name w:val="heading 3"/>
    <w:basedOn w:val="EndNoteBibliography"/>
    <w:next w:val="Normal"/>
    <w:link w:val="Heading3Char"/>
    <w:uiPriority w:val="9"/>
    <w:unhideWhenUsed/>
    <w:qFormat/>
    <w:rsid w:val="00B8029E"/>
    <w:pPr>
      <w:keepNext/>
      <w:outlineLvl w:val="2"/>
    </w:pPr>
    <w:rPr>
      <w:i/>
    </w:rPr>
  </w:style>
  <w:style w:type="paragraph" w:styleId="Heading4">
    <w:name w:val="heading 4"/>
    <w:basedOn w:val="Normal"/>
    <w:next w:val="Normal"/>
    <w:link w:val="Heading4Char"/>
    <w:uiPriority w:val="9"/>
    <w:semiHidden/>
    <w:unhideWhenUsed/>
    <w:qFormat/>
    <w:rsid w:val="00B8029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29E"/>
    <w:rPr>
      <w:rFonts w:ascii="Times New Roman" w:hAnsi="Times New Roman"/>
      <w:b/>
    </w:rPr>
  </w:style>
  <w:style w:type="character" w:customStyle="1" w:styleId="Heading2Char">
    <w:name w:val="Heading 2 Char"/>
    <w:basedOn w:val="DefaultParagraphFont"/>
    <w:link w:val="Heading2"/>
    <w:uiPriority w:val="9"/>
    <w:rsid w:val="00B8029E"/>
    <w:rPr>
      <w:rFonts w:ascii="Times New Roman" w:hAnsi="Times New Roman"/>
      <w:b/>
      <w:i/>
    </w:rPr>
  </w:style>
  <w:style w:type="character" w:customStyle="1" w:styleId="Heading3Char">
    <w:name w:val="Heading 3 Char"/>
    <w:basedOn w:val="DefaultParagraphFont"/>
    <w:link w:val="Heading3"/>
    <w:uiPriority w:val="9"/>
    <w:rsid w:val="00B8029E"/>
    <w:rPr>
      <w:rFonts w:ascii="Times New Roman" w:hAnsi="Times New Roman" w:cs="Times New Roman"/>
      <w:i/>
      <w:noProof/>
      <w:lang w:val="en-US"/>
    </w:rPr>
  </w:style>
  <w:style w:type="character" w:customStyle="1" w:styleId="Heading4Char">
    <w:name w:val="Heading 4 Char"/>
    <w:basedOn w:val="DefaultParagraphFont"/>
    <w:link w:val="Heading4"/>
    <w:uiPriority w:val="9"/>
    <w:semiHidden/>
    <w:rsid w:val="00B8029E"/>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B802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29E"/>
    <w:rPr>
      <w:rFonts w:ascii="Times New Roman" w:hAnsi="Times New Roman"/>
    </w:rPr>
  </w:style>
  <w:style w:type="paragraph" w:styleId="Footer">
    <w:name w:val="footer"/>
    <w:basedOn w:val="Normal"/>
    <w:link w:val="FooterChar"/>
    <w:uiPriority w:val="99"/>
    <w:unhideWhenUsed/>
    <w:rsid w:val="00B802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29E"/>
    <w:rPr>
      <w:rFonts w:ascii="Times New Roman" w:hAnsi="Times New Roman"/>
    </w:rPr>
  </w:style>
  <w:style w:type="table" w:customStyle="1" w:styleId="TableGrid2">
    <w:name w:val="Table Grid2"/>
    <w:basedOn w:val="TableNormal"/>
    <w:next w:val="TableGrid"/>
    <w:uiPriority w:val="39"/>
    <w:rsid w:val="00B80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B80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B8029E"/>
    <w:rPr>
      <w:color w:val="0563C1" w:themeColor="hyperlink"/>
      <w:u w:val="single"/>
    </w:rPr>
  </w:style>
  <w:style w:type="paragraph" w:styleId="Title">
    <w:name w:val="Title"/>
    <w:basedOn w:val="Normal"/>
    <w:next w:val="Normal"/>
    <w:link w:val="TitleChar"/>
    <w:uiPriority w:val="10"/>
    <w:qFormat/>
    <w:rsid w:val="00B8029E"/>
    <w:rPr>
      <w:b/>
    </w:rPr>
  </w:style>
  <w:style w:type="character" w:customStyle="1" w:styleId="TitleChar">
    <w:name w:val="Title Char"/>
    <w:basedOn w:val="DefaultParagraphFont"/>
    <w:link w:val="Title"/>
    <w:uiPriority w:val="10"/>
    <w:rsid w:val="00B8029E"/>
    <w:rPr>
      <w:rFonts w:ascii="Times New Roman" w:hAnsi="Times New Roman"/>
      <w:b/>
    </w:rPr>
  </w:style>
  <w:style w:type="paragraph" w:styleId="ListParagraph">
    <w:name w:val="List Paragraph"/>
    <w:aliases w:val="Bullet1,Bullet 1,Bullet List,Section 5"/>
    <w:basedOn w:val="Normal"/>
    <w:link w:val="ListParagraphChar"/>
    <w:uiPriority w:val="34"/>
    <w:qFormat/>
    <w:rsid w:val="00B8029E"/>
    <w:pPr>
      <w:ind w:left="720"/>
      <w:contextualSpacing/>
    </w:pPr>
  </w:style>
  <w:style w:type="character" w:customStyle="1" w:styleId="nlmarticle-title">
    <w:name w:val="nlm_article-title"/>
    <w:basedOn w:val="DefaultParagraphFont"/>
    <w:rsid w:val="00B8029E"/>
  </w:style>
  <w:style w:type="paragraph" w:styleId="BalloonText">
    <w:name w:val="Balloon Text"/>
    <w:basedOn w:val="Normal"/>
    <w:link w:val="BalloonTextChar"/>
    <w:uiPriority w:val="99"/>
    <w:semiHidden/>
    <w:unhideWhenUsed/>
    <w:rsid w:val="00B802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29E"/>
    <w:rPr>
      <w:rFonts w:ascii="Segoe UI" w:hAnsi="Segoe UI" w:cs="Segoe UI"/>
      <w:sz w:val="18"/>
      <w:szCs w:val="18"/>
    </w:rPr>
  </w:style>
  <w:style w:type="character" w:styleId="FollowedHyperlink">
    <w:name w:val="FollowedHyperlink"/>
    <w:basedOn w:val="DefaultParagraphFont"/>
    <w:uiPriority w:val="99"/>
    <w:semiHidden/>
    <w:unhideWhenUsed/>
    <w:rsid w:val="00B8029E"/>
    <w:rPr>
      <w:color w:val="954F72" w:themeColor="followedHyperlink"/>
      <w:u w:val="single"/>
    </w:rPr>
  </w:style>
  <w:style w:type="character" w:styleId="CommentReference">
    <w:name w:val="annotation reference"/>
    <w:basedOn w:val="DefaultParagraphFont"/>
    <w:uiPriority w:val="99"/>
    <w:semiHidden/>
    <w:unhideWhenUsed/>
    <w:rsid w:val="00B8029E"/>
    <w:rPr>
      <w:sz w:val="16"/>
      <w:szCs w:val="16"/>
    </w:rPr>
  </w:style>
  <w:style w:type="paragraph" w:styleId="CommentText">
    <w:name w:val="annotation text"/>
    <w:aliases w:val="- H19"/>
    <w:basedOn w:val="Normal"/>
    <w:link w:val="CommentTextChar"/>
    <w:unhideWhenUsed/>
    <w:qFormat/>
    <w:rsid w:val="00B8029E"/>
    <w:pPr>
      <w:spacing w:line="240" w:lineRule="auto"/>
    </w:pPr>
    <w:rPr>
      <w:sz w:val="20"/>
      <w:szCs w:val="20"/>
    </w:rPr>
  </w:style>
  <w:style w:type="character" w:customStyle="1" w:styleId="CommentTextChar">
    <w:name w:val="Comment Text Char"/>
    <w:aliases w:val="- H19 Char"/>
    <w:basedOn w:val="DefaultParagraphFont"/>
    <w:link w:val="CommentText"/>
    <w:rsid w:val="00B8029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8029E"/>
    <w:rPr>
      <w:b/>
      <w:bCs/>
    </w:rPr>
  </w:style>
  <w:style w:type="character" w:customStyle="1" w:styleId="CommentSubjectChar">
    <w:name w:val="Comment Subject Char"/>
    <w:basedOn w:val="CommentTextChar"/>
    <w:link w:val="CommentSubject"/>
    <w:uiPriority w:val="99"/>
    <w:semiHidden/>
    <w:rsid w:val="00B8029E"/>
    <w:rPr>
      <w:rFonts w:ascii="Times New Roman" w:hAnsi="Times New Roman"/>
      <w:b/>
      <w:bCs/>
      <w:sz w:val="20"/>
      <w:szCs w:val="20"/>
    </w:rPr>
  </w:style>
  <w:style w:type="paragraph" w:customStyle="1" w:styleId="TableBodyText-H54">
    <w:name w:val="Table Body Text - H54"/>
    <w:basedOn w:val="BodyText"/>
    <w:link w:val="TableBodyText-H54Char"/>
    <w:qFormat/>
    <w:rsid w:val="00B8029E"/>
    <w:pPr>
      <w:keepLines/>
      <w:widowControl w:val="0"/>
      <w:spacing w:before="40" w:after="40" w:line="240" w:lineRule="auto"/>
    </w:pPr>
    <w:rPr>
      <w:rFonts w:ascii="Arial" w:eastAsia="Times New Roman" w:hAnsi="Arial" w:cs="Times New Roman"/>
      <w:color w:val="000000" w:themeColor="text1"/>
      <w:sz w:val="16"/>
      <w:szCs w:val="20"/>
    </w:rPr>
  </w:style>
  <w:style w:type="character" w:customStyle="1" w:styleId="TableBodyText-H54Char">
    <w:name w:val="Table Body Text - H54 Char"/>
    <w:basedOn w:val="DefaultParagraphFont"/>
    <w:link w:val="TableBodyText-H54"/>
    <w:rsid w:val="00B8029E"/>
    <w:rPr>
      <w:rFonts w:ascii="Arial" w:eastAsia="Times New Roman" w:hAnsi="Arial" w:cs="Times New Roman"/>
      <w:color w:val="000000" w:themeColor="text1"/>
      <w:sz w:val="16"/>
      <w:szCs w:val="20"/>
    </w:rPr>
  </w:style>
  <w:style w:type="paragraph" w:customStyle="1" w:styleId="TableBullet-H55">
    <w:name w:val="Table Bullet - H55"/>
    <w:basedOn w:val="Normal"/>
    <w:qFormat/>
    <w:rsid w:val="00B8029E"/>
    <w:pPr>
      <w:keepLines/>
      <w:widowControl w:val="0"/>
      <w:numPr>
        <w:numId w:val="6"/>
      </w:numPr>
      <w:spacing w:after="0" w:line="240" w:lineRule="auto"/>
    </w:pPr>
    <w:rPr>
      <w:rFonts w:ascii="Arial" w:eastAsia="Times New Roman" w:hAnsi="Arial" w:cs="Times New Roman"/>
      <w:bCs/>
      <w:color w:val="000000" w:themeColor="text1"/>
      <w:sz w:val="16"/>
      <w:szCs w:val="16"/>
      <w:lang w:val="en-US" w:eastAsia="en-GB"/>
    </w:rPr>
  </w:style>
  <w:style w:type="paragraph" w:customStyle="1" w:styleId="TableHeading-H56">
    <w:name w:val="Table Heading - H56"/>
    <w:basedOn w:val="Heading4"/>
    <w:qFormat/>
    <w:rsid w:val="00B8029E"/>
    <w:pPr>
      <w:keepLines w:val="0"/>
      <w:tabs>
        <w:tab w:val="left" w:pos="1440"/>
      </w:tabs>
      <w:spacing w:before="80" w:after="40" w:line="240" w:lineRule="auto"/>
      <w:outlineLvl w:val="9"/>
    </w:pPr>
    <w:rPr>
      <w:rFonts w:ascii="Arial" w:eastAsia="Arial Unicode MS" w:hAnsi="Arial" w:cs="Times New Roman"/>
      <w:b/>
      <w:i w:val="0"/>
      <w:iCs w:val="0"/>
      <w:color w:val="44546A" w:themeColor="text2"/>
      <w:sz w:val="16"/>
      <w:szCs w:val="44"/>
    </w:rPr>
  </w:style>
  <w:style w:type="paragraph" w:styleId="BodyText">
    <w:name w:val="Body Text"/>
    <w:basedOn w:val="Normal"/>
    <w:link w:val="BodyTextChar"/>
    <w:uiPriority w:val="99"/>
    <w:unhideWhenUsed/>
    <w:rsid w:val="00B8029E"/>
    <w:pPr>
      <w:spacing w:after="120"/>
    </w:pPr>
  </w:style>
  <w:style w:type="character" w:customStyle="1" w:styleId="BodyTextChar">
    <w:name w:val="Body Text Char"/>
    <w:basedOn w:val="DefaultParagraphFont"/>
    <w:link w:val="BodyText"/>
    <w:uiPriority w:val="99"/>
    <w:rsid w:val="00B8029E"/>
    <w:rPr>
      <w:rFonts w:ascii="Times New Roman" w:hAnsi="Times New Roman"/>
    </w:rPr>
  </w:style>
  <w:style w:type="paragraph" w:customStyle="1" w:styleId="EndNoteBibliographyTitle">
    <w:name w:val="EndNote Bibliography Title"/>
    <w:basedOn w:val="Normal"/>
    <w:link w:val="EndNoteBibliographyTitleChar"/>
    <w:rsid w:val="00B8029E"/>
    <w:pPr>
      <w:spacing w:after="0"/>
      <w:jc w:val="center"/>
    </w:pPr>
    <w:rPr>
      <w:rFonts w:cs="Times New Roman"/>
      <w:noProof/>
      <w:lang w:val="en-US"/>
    </w:rPr>
  </w:style>
  <w:style w:type="character" w:customStyle="1" w:styleId="ListParagraphChar">
    <w:name w:val="List Paragraph Char"/>
    <w:aliases w:val="Bullet1 Char,Bullet 1 Char,Bullet List Char,Section 5 Char"/>
    <w:basedOn w:val="DefaultParagraphFont"/>
    <w:link w:val="ListParagraph"/>
    <w:uiPriority w:val="34"/>
    <w:rsid w:val="00B8029E"/>
    <w:rPr>
      <w:rFonts w:ascii="Times New Roman" w:hAnsi="Times New Roman"/>
    </w:rPr>
  </w:style>
  <w:style w:type="character" w:customStyle="1" w:styleId="EndNoteBibliographyTitleChar">
    <w:name w:val="EndNote Bibliography Title Char"/>
    <w:basedOn w:val="ListParagraphChar"/>
    <w:link w:val="EndNoteBibliographyTitle"/>
    <w:rsid w:val="00B8029E"/>
    <w:rPr>
      <w:rFonts w:ascii="Times New Roman" w:hAnsi="Times New Roman" w:cs="Times New Roman"/>
      <w:noProof/>
      <w:lang w:val="en-US"/>
    </w:rPr>
  </w:style>
  <w:style w:type="paragraph" w:customStyle="1" w:styleId="EndNoteBibliography">
    <w:name w:val="EndNote Bibliography"/>
    <w:basedOn w:val="Normal"/>
    <w:link w:val="EndNoteBibliographyChar"/>
    <w:rsid w:val="00B8029E"/>
    <w:pPr>
      <w:spacing w:line="480" w:lineRule="auto"/>
    </w:pPr>
    <w:rPr>
      <w:rFonts w:cs="Times New Roman"/>
      <w:noProof/>
      <w:lang w:val="en-US"/>
    </w:rPr>
  </w:style>
  <w:style w:type="character" w:customStyle="1" w:styleId="EndNoteBibliographyChar">
    <w:name w:val="EndNote Bibliography Char"/>
    <w:basedOn w:val="ListParagraphChar"/>
    <w:link w:val="EndNoteBibliography"/>
    <w:rsid w:val="00B8029E"/>
    <w:rPr>
      <w:rFonts w:ascii="Times New Roman" w:hAnsi="Times New Roman" w:cs="Times New Roman"/>
      <w:noProof/>
      <w:lang w:val="en-US"/>
    </w:rPr>
  </w:style>
  <w:style w:type="paragraph" w:styleId="BodyTextIndent">
    <w:name w:val="Body Text Indent"/>
    <w:basedOn w:val="Normal"/>
    <w:link w:val="BodyTextIndentChar"/>
    <w:uiPriority w:val="99"/>
    <w:unhideWhenUsed/>
    <w:rsid w:val="00B8029E"/>
    <w:pPr>
      <w:spacing w:after="120"/>
      <w:ind w:left="283"/>
    </w:pPr>
  </w:style>
  <w:style w:type="character" w:customStyle="1" w:styleId="BodyTextIndentChar">
    <w:name w:val="Body Text Indent Char"/>
    <w:basedOn w:val="DefaultParagraphFont"/>
    <w:link w:val="BodyTextIndent"/>
    <w:uiPriority w:val="99"/>
    <w:rsid w:val="00B8029E"/>
    <w:rPr>
      <w:rFonts w:ascii="Times New Roman" w:hAnsi="Times New Roman"/>
    </w:rPr>
  </w:style>
  <w:style w:type="table" w:customStyle="1" w:styleId="Style1">
    <w:name w:val="Style1"/>
    <w:basedOn w:val="TableGrid8"/>
    <w:uiPriority w:val="99"/>
    <w:qFormat/>
    <w:rsid w:val="00B8029E"/>
    <w:pPr>
      <w:keepLines/>
      <w:widowControl w:val="0"/>
      <w:spacing w:after="0" w:line="240" w:lineRule="auto"/>
    </w:pPr>
    <w:rPr>
      <w:rFonts w:ascii="Tahoma" w:eastAsia="Tahoma" w:hAnsi="Tahoma" w:cs="Times New Roman"/>
      <w:sz w:val="20"/>
      <w:szCs w:val="20"/>
      <w:lang w:val="en-US" w:eastAsia="en-GB"/>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uiPriority w:val="99"/>
    <w:semiHidden/>
    <w:unhideWhenUsed/>
    <w:rsid w:val="00B8029E"/>
    <w:pPr>
      <w:spacing w:line="36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BodyText-SuperScript-H14">
    <w:name w:val="Body Text - SuperScript - H14"/>
    <w:basedOn w:val="DefaultParagraphFont"/>
    <w:uiPriority w:val="1"/>
    <w:qFormat/>
    <w:rsid w:val="00B8029E"/>
    <w:rPr>
      <w:rFonts w:ascii="Arial" w:hAnsi="Arial" w:cs="Times New Roman"/>
      <w:color w:val="000000" w:themeColor="text1"/>
      <w:vertAlign w:val="superscript"/>
    </w:rPr>
  </w:style>
  <w:style w:type="character" w:customStyle="1" w:styleId="highlight">
    <w:name w:val="highlight"/>
    <w:basedOn w:val="DefaultParagraphFont"/>
    <w:rsid w:val="00B8029E"/>
  </w:style>
  <w:style w:type="character" w:customStyle="1" w:styleId="ui-ncbitoggler-master-text">
    <w:name w:val="ui-ncbitoggler-master-text"/>
    <w:basedOn w:val="DefaultParagraphFont"/>
    <w:rsid w:val="00B8029E"/>
  </w:style>
  <w:style w:type="paragraph" w:customStyle="1" w:styleId="ui-ncbi-toggler-slave">
    <w:name w:val="ui-ncbi-toggler-slave"/>
    <w:basedOn w:val="Normal"/>
    <w:rsid w:val="00B8029E"/>
    <w:pPr>
      <w:spacing w:before="100" w:beforeAutospacing="1" w:after="100" w:afterAutospacing="1" w:line="240" w:lineRule="auto"/>
    </w:pPr>
    <w:rPr>
      <w:rFonts w:eastAsia="Times New Roman" w:cs="Times New Roman"/>
      <w:sz w:val="24"/>
      <w:szCs w:val="24"/>
      <w:lang w:eastAsia="en-GB"/>
    </w:rPr>
  </w:style>
  <w:style w:type="paragraph" w:styleId="Caption">
    <w:name w:val="caption"/>
    <w:aliases w:val="- H17,Bayer Caption,IB Caption,Medical Caption,! Q,B Caption,Caption - H17,Table,figure,Caption-FUSA"/>
    <w:basedOn w:val="BodyText"/>
    <w:next w:val="BodyText"/>
    <w:link w:val="CaptionChar"/>
    <w:qFormat/>
    <w:rsid w:val="00B8029E"/>
    <w:pPr>
      <w:keepNext/>
      <w:keepLines/>
      <w:widowControl w:val="0"/>
      <w:spacing w:before="360" w:line="240" w:lineRule="auto"/>
      <w:jc w:val="both"/>
    </w:pPr>
    <w:rPr>
      <w:rFonts w:ascii="Arial" w:eastAsia="Times New Roman" w:hAnsi="Arial" w:cs="Times New Roman"/>
      <w:b/>
      <w:bCs/>
      <w:color w:val="000000" w:themeColor="text1"/>
      <w:sz w:val="16"/>
      <w:szCs w:val="20"/>
    </w:rPr>
  </w:style>
  <w:style w:type="paragraph" w:customStyle="1" w:styleId="TableBodyCentered-H52">
    <w:name w:val="Table Body Centered - H52"/>
    <w:basedOn w:val="TableBodyText-H54"/>
    <w:qFormat/>
    <w:rsid w:val="00B8029E"/>
    <w:pPr>
      <w:jc w:val="center"/>
    </w:pPr>
  </w:style>
  <w:style w:type="table" w:customStyle="1" w:styleId="Table-HERONplain">
    <w:name w:val="Table - HERON plain"/>
    <w:basedOn w:val="TableNormal"/>
    <w:uiPriority w:val="99"/>
    <w:qFormat/>
    <w:rsid w:val="00B8029E"/>
    <w:pPr>
      <w:spacing w:after="0" w:line="240" w:lineRule="auto"/>
    </w:pPr>
    <w:rPr>
      <w:rFonts w:ascii="Tahoma" w:eastAsia="Tahoma" w:hAnsi="Tahoma" w:cs="Times New Roman"/>
      <w:sz w:val="16"/>
      <w:szCs w:val="20"/>
      <w:lang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CellMar>
        <w:top w:w="0" w:type="dxa"/>
        <w:left w:w="108" w:type="dxa"/>
        <w:bottom w:w="0" w:type="dxa"/>
        <w:right w:w="108" w:type="dxa"/>
      </w:tblCellMar>
    </w:tblPr>
    <w:trPr>
      <w:cantSplit/>
    </w:trPr>
    <w:tcPr>
      <w:shd w:val="clear" w:color="auto" w:fill="auto"/>
      <w:vAlign w:val="center"/>
    </w:tcPr>
    <w:tblStylePr w:type="firstRow">
      <w:rPr>
        <w:rFonts w:ascii="Gilroy Light Italic" w:hAnsi="Gilroy Light Italic"/>
        <w:b w:val="0"/>
        <w:sz w:val="16"/>
      </w:rPr>
      <w:tblPr/>
      <w:trPr>
        <w:cantSplit/>
        <w:tblHeader/>
      </w:trPr>
      <w:tcPr>
        <w:shd w:val="clear" w:color="auto" w:fill="C7C7C7"/>
      </w:tcPr>
    </w:tblStylePr>
    <w:tblStylePr w:type="lastRow">
      <w:rPr>
        <w:rFonts w:ascii="Gilroy Light Italic" w:hAnsi="Gilroy Light Italic"/>
        <w:sz w:val="16"/>
      </w:rPr>
      <w:tblPr/>
      <w:tcPr>
        <w:shd w:val="clear" w:color="auto" w:fill="DEDEDE"/>
      </w:tcPr>
    </w:tblStylePr>
    <w:tblStylePr w:type="firstCol">
      <w:rPr>
        <w:b/>
      </w:rPr>
      <w:tblPr/>
      <w:tcPr>
        <w:shd w:val="clear" w:color="auto" w:fill="BFBFBF" w:themeFill="background1" w:themeFillShade="BF"/>
      </w:tcPr>
    </w:tblStylePr>
    <w:tblStylePr w:type="band2Horz">
      <w:rPr>
        <w:rFonts w:ascii="Gilroy Light Italic" w:hAnsi="Gilroy Light Italic"/>
        <w:sz w:val="16"/>
      </w:rPr>
    </w:tblStylePr>
  </w:style>
  <w:style w:type="character" w:customStyle="1" w:styleId="CaptionChar">
    <w:name w:val="Caption Char"/>
    <w:aliases w:val="- H17 Char,Bayer Caption Char,IB Caption Char,Medical Caption Char,! Q Char,B Caption Char,Caption - H17 Char,Table Char,figure Char,Caption-FUSA Char"/>
    <w:link w:val="Caption"/>
    <w:locked/>
    <w:rsid w:val="00B8029E"/>
    <w:rPr>
      <w:rFonts w:ascii="Arial" w:eastAsia="Times New Roman" w:hAnsi="Arial" w:cs="Times New Roman"/>
      <w:b/>
      <w:bCs/>
      <w:color w:val="000000" w:themeColor="text1"/>
      <w:sz w:val="16"/>
      <w:szCs w:val="20"/>
    </w:rPr>
  </w:style>
  <w:style w:type="paragraph" w:customStyle="1" w:styleId="Default">
    <w:name w:val="Default"/>
    <w:rsid w:val="00B8029E"/>
    <w:pPr>
      <w:autoSpaceDE w:val="0"/>
      <w:autoSpaceDN w:val="0"/>
      <w:adjustRightInd w:val="0"/>
      <w:spacing w:after="0" w:line="240" w:lineRule="auto"/>
    </w:pPr>
    <w:rPr>
      <w:rFonts w:ascii="Symbol" w:hAnsi="Symbol" w:cs="Symbol"/>
      <w:color w:val="000000"/>
      <w:sz w:val="24"/>
      <w:szCs w:val="24"/>
    </w:rPr>
  </w:style>
  <w:style w:type="paragraph" w:customStyle="1" w:styleId="p">
    <w:name w:val="p"/>
    <w:basedOn w:val="Normal"/>
    <w:rsid w:val="00B8029E"/>
    <w:pPr>
      <w:spacing w:before="100" w:beforeAutospacing="1" w:after="100" w:afterAutospacing="1" w:line="240" w:lineRule="auto"/>
    </w:pPr>
    <w:rPr>
      <w:rFonts w:eastAsia="Times New Roman" w:cs="Times New Roman"/>
      <w:sz w:val="24"/>
      <w:szCs w:val="24"/>
      <w:lang w:eastAsia="en-GB"/>
    </w:rPr>
  </w:style>
  <w:style w:type="paragraph" w:styleId="Revision">
    <w:name w:val="Revision"/>
    <w:hidden/>
    <w:uiPriority w:val="99"/>
    <w:semiHidden/>
    <w:rsid w:val="00B8029E"/>
    <w:pPr>
      <w:spacing w:after="0" w:line="240" w:lineRule="auto"/>
    </w:pPr>
    <w:rPr>
      <w:rFonts w:ascii="Times New Roman" w:hAnsi="Times New Roman"/>
    </w:rPr>
  </w:style>
  <w:style w:type="paragraph" w:customStyle="1" w:styleId="SummaryKVM">
    <w:name w:val="Summary KVM"/>
    <w:aliases w:val="- H51"/>
    <w:basedOn w:val="BodyText"/>
    <w:qFormat/>
    <w:rsid w:val="00B8029E"/>
    <w:pPr>
      <w:keepLines/>
      <w:widowControl w:val="0"/>
      <w:pBdr>
        <w:left w:val="single" w:sz="48" w:space="13" w:color="44546A" w:themeColor="text2"/>
      </w:pBdr>
      <w:spacing w:before="120" w:line="240" w:lineRule="auto"/>
      <w:ind w:left="425"/>
      <w:jc w:val="both"/>
    </w:pPr>
    <w:rPr>
      <w:rFonts w:ascii="Arial" w:eastAsia="Times New Roman" w:hAnsi="Arial" w:cs="Times New Roman"/>
      <w:bCs/>
      <w:color w:val="44546A" w:themeColor="text2"/>
      <w:sz w:val="20"/>
      <w:szCs w:val="20"/>
    </w:rPr>
  </w:style>
  <w:style w:type="paragraph" w:styleId="NormalWeb">
    <w:name w:val="Normal (Web)"/>
    <w:basedOn w:val="Normal"/>
    <w:uiPriority w:val="99"/>
    <w:unhideWhenUsed/>
    <w:rsid w:val="00B8029E"/>
    <w:pPr>
      <w:spacing w:after="360" w:line="240" w:lineRule="auto"/>
    </w:pPr>
    <w:rPr>
      <w:rFonts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Word" ma:contentTypeID="0x010100FA0963FA69A646AA916D2E41284FC10000E4265730A8DA314ABB3D035F0BDEC967" ma:contentTypeVersion="0" ma:contentTypeDescription="Create a new document." ma:contentTypeScope="" ma:versionID="5210414d0dbab3f1c24180db15d7c414">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264356-EF66-423C-9893-7287A429BA6D}">
  <ds:schemaRefs>
    <ds:schemaRef ds:uri="http://schemas.microsoft.com/sharepoint/v3/contenttype/forms"/>
  </ds:schemaRefs>
</ds:datastoreItem>
</file>

<file path=customXml/itemProps2.xml><?xml version="1.0" encoding="utf-8"?>
<ds:datastoreItem xmlns:ds="http://schemas.openxmlformats.org/officeDocument/2006/customXml" ds:itemID="{1D6CEE91-FC8C-4DD7-9C0F-9DAB19DE610E}">
  <ds:schemaRefs>
    <ds:schemaRef ds:uri="http://schemas.microsoft.com/office/2006/documentManagement/types"/>
    <ds:schemaRef ds:uri="http://purl.org/dc/elements/1.1/"/>
    <ds:schemaRef ds:uri="http://schemas.openxmlformats.org/package/2006/metadata/core-properties"/>
    <ds:schemaRef ds:uri="http://purl.org/dc/dcmitype/"/>
    <ds:schemaRef ds:uri="http://purl.org/dc/term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CCEC341-7B63-4189-8AFE-8C97A0B3D0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5749</Words>
  <Characters>32773</Characters>
  <Application>Microsoft Office Word</Application>
  <DocSecurity>0</DocSecurity>
  <Lines>273</Lines>
  <Paragraphs>76</Paragraphs>
  <ScaleCrop>false</ScaleCrop>
  <Company/>
  <LinksUpToDate>false</LinksUpToDate>
  <CharactersWithSpaces>38446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Watkins, Bernadette (MAN-CMC)</dc:creator>
  <cp:keywords/>
  <dc:description/>
  <cp:lastModifiedBy>Vanitha M.</cp:lastModifiedBy>
  <cp:revision>3</cp:revision>
  <dcterms:created xsi:type="dcterms:W3CDTF">2020-03-13T16:42:00Z</dcterms:created>
  <dcterms:modified xsi:type="dcterms:W3CDTF">2020-03-27T14:43:00Z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0x010100FA0963FA69A646AA916D2E41284FC10000E4265730A8DA314ABB3D035F0BDEC967</vt:lpwstr>
  </property>
</Properties>
</file>