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5665"/>
        <w:gridCol w:w="1276"/>
        <w:gridCol w:w="2268"/>
      </w:tblGrid>
      <w:tr w:rsidR="00181872" w:rsidRPr="00DA33DD" w14:paraId="6A5D03A4" w14:textId="77777777" w:rsidTr="005C5404">
        <w:tc>
          <w:tcPr>
            <w:tcW w:w="5665" w:type="dxa"/>
          </w:tcPr>
          <w:p w14:paraId="5948F5E5" w14:textId="77777777" w:rsidR="00181872" w:rsidRPr="00DA33DD" w:rsidRDefault="00181872">
            <w:pPr>
              <w:rPr>
                <w:rFonts w:ascii="Times New Roman" w:hAnsi="Times New Roman" w:cs="Times New Roman"/>
                <w:b/>
                <w:bCs/>
              </w:rPr>
            </w:pPr>
            <w:r w:rsidRPr="00DA33DD">
              <w:rPr>
                <w:rFonts w:ascii="Times New Roman" w:hAnsi="Times New Roman" w:cs="Times New Roman"/>
                <w:b/>
                <w:bCs/>
              </w:rPr>
              <w:t>Model input</w:t>
            </w:r>
          </w:p>
        </w:tc>
        <w:tc>
          <w:tcPr>
            <w:tcW w:w="1276" w:type="dxa"/>
          </w:tcPr>
          <w:p w14:paraId="5F0E328C" w14:textId="77777777" w:rsidR="00181872" w:rsidRPr="00DA33DD" w:rsidRDefault="00181872">
            <w:pPr>
              <w:rPr>
                <w:rFonts w:ascii="Times New Roman" w:hAnsi="Times New Roman" w:cs="Times New Roman"/>
                <w:b/>
                <w:bCs/>
              </w:rPr>
            </w:pPr>
            <w:r w:rsidRPr="00DA33DD">
              <w:rPr>
                <w:rFonts w:ascii="Times New Roman" w:hAnsi="Times New Roman" w:cs="Times New Roman"/>
                <w:b/>
                <w:bCs/>
              </w:rPr>
              <w:t>Checkbox</w:t>
            </w:r>
          </w:p>
        </w:tc>
        <w:tc>
          <w:tcPr>
            <w:tcW w:w="2268" w:type="dxa"/>
          </w:tcPr>
          <w:p w14:paraId="3EB61554" w14:textId="77777777" w:rsidR="00181872" w:rsidRPr="00DA33DD" w:rsidRDefault="00181872">
            <w:pPr>
              <w:rPr>
                <w:rFonts w:ascii="Times New Roman" w:hAnsi="Times New Roman" w:cs="Times New Roman"/>
                <w:b/>
                <w:bCs/>
              </w:rPr>
            </w:pPr>
            <w:r w:rsidRPr="00DA33DD">
              <w:rPr>
                <w:rFonts w:ascii="Times New Roman" w:hAnsi="Times New Roman" w:cs="Times New Roman"/>
                <w:b/>
                <w:bCs/>
              </w:rPr>
              <w:t>Comments (e.g. justification if not reported)</w:t>
            </w:r>
          </w:p>
        </w:tc>
      </w:tr>
      <w:tr w:rsidR="00181872" w:rsidRPr="00DA33DD" w14:paraId="0C31228B" w14:textId="77777777" w:rsidTr="005C5404">
        <w:tc>
          <w:tcPr>
            <w:tcW w:w="5665" w:type="dxa"/>
          </w:tcPr>
          <w:p w14:paraId="0D619967" w14:textId="77777777" w:rsidR="00181872" w:rsidRPr="00DA33DD" w:rsidRDefault="00181872">
            <w:pPr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Simulation cohort</w:t>
            </w:r>
          </w:p>
        </w:tc>
        <w:tc>
          <w:tcPr>
            <w:tcW w:w="1276" w:type="dxa"/>
          </w:tcPr>
          <w:p w14:paraId="7446AA54" w14:textId="77777777" w:rsidR="00181872" w:rsidRPr="00DA33DD" w:rsidRDefault="001818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56015545" w14:textId="77777777" w:rsidR="00181872" w:rsidRPr="00DA33DD" w:rsidRDefault="00181872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03130906" w14:textId="77777777" w:rsidTr="005C5404">
        <w:tc>
          <w:tcPr>
            <w:tcW w:w="5665" w:type="dxa"/>
          </w:tcPr>
          <w:p w14:paraId="5406E63E" w14:textId="77777777" w:rsidR="00006D57" w:rsidRPr="00DA33DD" w:rsidRDefault="00006D57" w:rsidP="00006D57">
            <w:pPr>
              <w:ind w:firstLine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Baseline age</w:t>
            </w:r>
          </w:p>
        </w:tc>
        <w:tc>
          <w:tcPr>
            <w:tcW w:w="1276" w:type="dxa"/>
          </w:tcPr>
          <w:p w14:paraId="27BBB7C2" w14:textId="57E17E06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6A676A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67856225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75AC2AC5" w14:textId="77777777" w:rsidTr="005C5404">
        <w:tc>
          <w:tcPr>
            <w:tcW w:w="5665" w:type="dxa"/>
          </w:tcPr>
          <w:p w14:paraId="0C4DEE05" w14:textId="77777777" w:rsidR="00006D57" w:rsidRPr="00DA33DD" w:rsidRDefault="00006D57" w:rsidP="00006D57">
            <w:pPr>
              <w:ind w:firstLine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Ethnicity/race</w:t>
            </w:r>
          </w:p>
        </w:tc>
        <w:tc>
          <w:tcPr>
            <w:tcW w:w="1276" w:type="dxa"/>
          </w:tcPr>
          <w:p w14:paraId="24B0EA32" w14:textId="79B49069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6A676A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3215495C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7D238633" w14:textId="77777777" w:rsidTr="005C5404">
        <w:tc>
          <w:tcPr>
            <w:tcW w:w="5665" w:type="dxa"/>
          </w:tcPr>
          <w:p w14:paraId="68F1AFAD" w14:textId="77777777" w:rsidR="00006D57" w:rsidRPr="00DA33DD" w:rsidRDefault="00006D57" w:rsidP="00006D57">
            <w:pPr>
              <w:ind w:firstLine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BMI/weight</w:t>
            </w:r>
          </w:p>
        </w:tc>
        <w:tc>
          <w:tcPr>
            <w:tcW w:w="1276" w:type="dxa"/>
          </w:tcPr>
          <w:p w14:paraId="1AED7BDB" w14:textId="04E0D71F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6A676A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23B54BA4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3B461104" w14:textId="77777777" w:rsidTr="005C5404">
        <w:tc>
          <w:tcPr>
            <w:tcW w:w="5665" w:type="dxa"/>
          </w:tcPr>
          <w:p w14:paraId="56E05880" w14:textId="77777777" w:rsidR="00006D57" w:rsidRPr="00DA33DD" w:rsidRDefault="00006D57" w:rsidP="00006D57">
            <w:pPr>
              <w:ind w:firstLine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Duration of diabetes</w:t>
            </w:r>
          </w:p>
        </w:tc>
        <w:tc>
          <w:tcPr>
            <w:tcW w:w="1276" w:type="dxa"/>
          </w:tcPr>
          <w:p w14:paraId="77AFF7A5" w14:textId="41EEF2A2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6A676A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34BC6A48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25575D91" w14:textId="77777777" w:rsidTr="005C5404">
        <w:tc>
          <w:tcPr>
            <w:tcW w:w="5665" w:type="dxa"/>
          </w:tcPr>
          <w:p w14:paraId="0A079D86" w14:textId="77777777" w:rsidR="00006D57" w:rsidRPr="00DA33DD" w:rsidRDefault="00006D57" w:rsidP="00006D57">
            <w:pPr>
              <w:ind w:firstLine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Baseline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33DD">
              <w:rPr>
                <w:rFonts w:ascii="Times New Roman" w:hAnsi="Times New Roman" w:cs="Times New Roman"/>
              </w:rPr>
              <w:t>HbA1c, lipids, and blood pressure</w:t>
            </w:r>
          </w:p>
        </w:tc>
        <w:tc>
          <w:tcPr>
            <w:tcW w:w="1276" w:type="dxa"/>
          </w:tcPr>
          <w:p w14:paraId="6132D3B4" w14:textId="329EFD05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6A676A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75F078CE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598FCA9B" w14:textId="77777777" w:rsidTr="005C5404">
        <w:tc>
          <w:tcPr>
            <w:tcW w:w="5665" w:type="dxa"/>
          </w:tcPr>
          <w:p w14:paraId="23AD385A" w14:textId="77777777" w:rsidR="00006D57" w:rsidRPr="00DA33DD" w:rsidRDefault="00006D57" w:rsidP="00006D57">
            <w:pPr>
              <w:ind w:firstLine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Smoking status</w:t>
            </w:r>
          </w:p>
        </w:tc>
        <w:tc>
          <w:tcPr>
            <w:tcW w:w="1276" w:type="dxa"/>
          </w:tcPr>
          <w:p w14:paraId="4757A2C5" w14:textId="56FCD21B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6A676A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080C43C0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3EAB4B1E" w14:textId="77777777" w:rsidTr="005C5404">
        <w:tc>
          <w:tcPr>
            <w:tcW w:w="5665" w:type="dxa"/>
          </w:tcPr>
          <w:p w14:paraId="7C5C7C70" w14:textId="77777777" w:rsidR="00006D57" w:rsidRPr="00DA33DD" w:rsidRDefault="00006D57" w:rsidP="00006D57">
            <w:pPr>
              <w:ind w:firstLine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Comorbidities</w:t>
            </w:r>
          </w:p>
        </w:tc>
        <w:tc>
          <w:tcPr>
            <w:tcW w:w="1276" w:type="dxa"/>
          </w:tcPr>
          <w:p w14:paraId="031ED69E" w14:textId="16C0033A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6A676A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511C1DAD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181872" w:rsidRPr="00DA33DD" w14:paraId="65710A20" w14:textId="77777777" w:rsidTr="005C5404">
        <w:tc>
          <w:tcPr>
            <w:tcW w:w="5665" w:type="dxa"/>
          </w:tcPr>
          <w:p w14:paraId="4C6DA380" w14:textId="77777777" w:rsidR="00181872" w:rsidRPr="008715DC" w:rsidRDefault="00181872" w:rsidP="00542EA5">
            <w:pPr>
              <w:ind w:firstLine="313"/>
              <w:rPr>
                <w:rFonts w:ascii="Times New Roman" w:hAnsi="Times New Roman" w:cs="Times New Roman"/>
                <w:highlight w:val="yellow"/>
              </w:rPr>
            </w:pPr>
            <w:r w:rsidRPr="00491229">
              <w:rPr>
                <w:rFonts w:ascii="Times New Roman" w:hAnsi="Times New Roman" w:cs="Times New Roman"/>
              </w:rPr>
              <w:t>Physical activity</w:t>
            </w:r>
          </w:p>
        </w:tc>
        <w:tc>
          <w:tcPr>
            <w:tcW w:w="1276" w:type="dxa"/>
          </w:tcPr>
          <w:p w14:paraId="25264B08" w14:textId="42C4C570" w:rsidR="00181872" w:rsidRPr="00DA33DD" w:rsidRDefault="00006D57" w:rsidP="00181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14:paraId="49192A1A" w14:textId="08D49167" w:rsidR="00181872" w:rsidRPr="00DA33DD" w:rsidRDefault="00006D57" w:rsidP="00181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N/A</w:t>
            </w:r>
          </w:p>
        </w:tc>
      </w:tr>
      <w:tr w:rsidR="00181872" w:rsidRPr="00DA33DD" w14:paraId="1CDDFFD7" w14:textId="77777777" w:rsidTr="005C5404">
        <w:tc>
          <w:tcPr>
            <w:tcW w:w="5665" w:type="dxa"/>
          </w:tcPr>
          <w:p w14:paraId="3C9E4FEE" w14:textId="77777777" w:rsidR="00181872" w:rsidRPr="00DA33DD" w:rsidRDefault="00181872" w:rsidP="00542EA5">
            <w:pPr>
              <w:ind w:firstLine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Baseline treatment</w:t>
            </w:r>
          </w:p>
        </w:tc>
        <w:tc>
          <w:tcPr>
            <w:tcW w:w="1276" w:type="dxa"/>
          </w:tcPr>
          <w:p w14:paraId="206D434A" w14:textId="51CA43EF" w:rsidR="00181872" w:rsidRPr="00DA33DD" w:rsidRDefault="005C5404" w:rsidP="00181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14:paraId="1ABB41F4" w14:textId="0F799B96" w:rsidR="00181872" w:rsidRPr="00DA33DD" w:rsidRDefault="00006D57" w:rsidP="00181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N/A: the model simulation starts when the treatment intervention is initiated</w:t>
            </w:r>
          </w:p>
        </w:tc>
      </w:tr>
      <w:tr w:rsidR="00181872" w:rsidRPr="00DA33DD" w14:paraId="176517A2" w14:textId="77777777" w:rsidTr="005C5404">
        <w:tc>
          <w:tcPr>
            <w:tcW w:w="5665" w:type="dxa"/>
          </w:tcPr>
          <w:p w14:paraId="0BAC988D" w14:textId="77777777" w:rsidR="00181872" w:rsidRPr="00DA33DD" w:rsidRDefault="00181872" w:rsidP="00181872">
            <w:pPr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Treatment intervention</w:t>
            </w:r>
          </w:p>
        </w:tc>
        <w:tc>
          <w:tcPr>
            <w:tcW w:w="1276" w:type="dxa"/>
          </w:tcPr>
          <w:p w14:paraId="77650A99" w14:textId="08311019" w:rsidR="00181872" w:rsidRPr="00DA33DD" w:rsidRDefault="00181872" w:rsidP="001818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A548451" w14:textId="77777777" w:rsidR="00181872" w:rsidRPr="00DA33DD" w:rsidRDefault="00181872" w:rsidP="00181872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464AB058" w14:textId="77777777" w:rsidTr="005C5404">
        <w:tc>
          <w:tcPr>
            <w:tcW w:w="5665" w:type="dxa"/>
          </w:tcPr>
          <w:p w14:paraId="1C484D3D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Type of treatment</w:t>
            </w:r>
          </w:p>
        </w:tc>
        <w:tc>
          <w:tcPr>
            <w:tcW w:w="1276" w:type="dxa"/>
          </w:tcPr>
          <w:p w14:paraId="1CC7D728" w14:textId="74A6E002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FA7ABB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3995E3A3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719725AC" w14:textId="77777777" w:rsidTr="005C5404">
        <w:tc>
          <w:tcPr>
            <w:tcW w:w="5665" w:type="dxa"/>
          </w:tcPr>
          <w:p w14:paraId="3A5BE86D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Treatment algorithm for HbA1c evolution over time</w:t>
            </w:r>
          </w:p>
        </w:tc>
        <w:tc>
          <w:tcPr>
            <w:tcW w:w="1276" w:type="dxa"/>
          </w:tcPr>
          <w:p w14:paraId="72F069DF" w14:textId="4FBC1A59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FA7ABB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0C1A8CC5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181872" w:rsidRPr="00DA33DD" w14:paraId="147EAD99" w14:textId="77777777" w:rsidTr="005C5404">
        <w:tc>
          <w:tcPr>
            <w:tcW w:w="5665" w:type="dxa"/>
          </w:tcPr>
          <w:p w14:paraId="4E8D3BF5" w14:textId="77777777" w:rsidR="00181872" w:rsidRPr="00491229" w:rsidRDefault="00181872" w:rsidP="00542EA5">
            <w:pPr>
              <w:ind w:left="313"/>
              <w:rPr>
                <w:rFonts w:ascii="Times New Roman" w:hAnsi="Times New Roman" w:cs="Times New Roman"/>
              </w:rPr>
            </w:pPr>
            <w:r w:rsidRPr="00491229">
              <w:rPr>
                <w:rFonts w:ascii="Times New Roman" w:hAnsi="Times New Roman" w:cs="Times New Roman"/>
              </w:rPr>
              <w:t>Treatment algorithm for other conditions (e.g</w:t>
            </w:r>
            <w:r w:rsidR="008715DC" w:rsidRPr="00491229">
              <w:rPr>
                <w:rFonts w:ascii="Times New Roman" w:hAnsi="Times New Roman" w:cs="Times New Roman"/>
              </w:rPr>
              <w:t>.</w:t>
            </w:r>
            <w:r w:rsidRPr="00491229">
              <w:rPr>
                <w:rFonts w:ascii="Times New Roman" w:hAnsi="Times New Roman" w:cs="Times New Roman"/>
              </w:rPr>
              <w:t xml:space="preserve"> hypertension, dyslipidemia, and excess weight)</w:t>
            </w:r>
          </w:p>
        </w:tc>
        <w:tc>
          <w:tcPr>
            <w:tcW w:w="1276" w:type="dxa"/>
          </w:tcPr>
          <w:p w14:paraId="1B42053E" w14:textId="5D4341CF" w:rsidR="00181872" w:rsidRPr="00DA33DD" w:rsidRDefault="00006D57" w:rsidP="00181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14:paraId="4ECFC9D4" w14:textId="235F1E71" w:rsidR="00181872" w:rsidRPr="00DA33DD" w:rsidRDefault="00006D57" w:rsidP="001818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N/A</w:t>
            </w:r>
          </w:p>
        </w:tc>
      </w:tr>
      <w:tr w:rsidR="00006D57" w:rsidRPr="00DA33DD" w14:paraId="1E328F9D" w14:textId="77777777" w:rsidTr="005C5404">
        <w:tc>
          <w:tcPr>
            <w:tcW w:w="5665" w:type="dxa"/>
          </w:tcPr>
          <w:p w14:paraId="5AD6896B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Treatment initial effects on baseline biomarkers</w:t>
            </w:r>
          </w:p>
        </w:tc>
        <w:tc>
          <w:tcPr>
            <w:tcW w:w="1276" w:type="dxa"/>
          </w:tcPr>
          <w:p w14:paraId="7362A89B" w14:textId="677A6735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2AEB413D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1481F99D" w14:textId="77777777" w:rsidTr="005C5404">
        <w:tc>
          <w:tcPr>
            <w:tcW w:w="5665" w:type="dxa"/>
          </w:tcPr>
          <w:p w14:paraId="14BC3455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Rules for treatment intensification (e.g.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33DD">
              <w:rPr>
                <w:rFonts w:ascii="Times New Roman" w:hAnsi="Times New Roman" w:cs="Times New Roman"/>
              </w:rPr>
              <w:t>the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33DD">
              <w:rPr>
                <w:rFonts w:ascii="Times New Roman" w:hAnsi="Times New Roman" w:cs="Times New Roman"/>
              </w:rPr>
              <w:t>cut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33DD">
              <w:rPr>
                <w:rFonts w:ascii="Times New Roman" w:hAnsi="Times New Roman" w:cs="Times New Roman"/>
              </w:rPr>
              <w:t>off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A33DD">
              <w:rPr>
                <w:rFonts w:ascii="Times New Roman" w:hAnsi="Times New Roman" w:cs="Times New Roman"/>
              </w:rPr>
              <w:t>HbA1c level to switch the treatment, the type of new treatment, and whether the rescue treatment is an addition or substitution to the standard treatment)</w:t>
            </w:r>
          </w:p>
        </w:tc>
        <w:tc>
          <w:tcPr>
            <w:tcW w:w="1276" w:type="dxa"/>
          </w:tcPr>
          <w:p w14:paraId="1330607F" w14:textId="7EC63E4D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41F2A3C8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0A7DCE28" w14:textId="77777777" w:rsidTr="005C5404">
        <w:tc>
          <w:tcPr>
            <w:tcW w:w="5665" w:type="dxa"/>
          </w:tcPr>
          <w:p w14:paraId="5951BA39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Long-term effects, adverse effects, treatment adherence and persistence, and residual effects after the discontinuation of the treatment</w:t>
            </w:r>
          </w:p>
        </w:tc>
        <w:tc>
          <w:tcPr>
            <w:tcW w:w="1276" w:type="dxa"/>
          </w:tcPr>
          <w:p w14:paraId="2F6213C5" w14:textId="3CA779F6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609D3818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0D0E9829" w14:textId="77777777" w:rsidTr="005C5404">
        <w:tc>
          <w:tcPr>
            <w:tcW w:w="5665" w:type="dxa"/>
          </w:tcPr>
          <w:p w14:paraId="175A9B6B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Trajectory of biomarkers, BMI, smoking, and any other factors that are affected by treatment</w:t>
            </w:r>
          </w:p>
        </w:tc>
        <w:tc>
          <w:tcPr>
            <w:tcW w:w="1276" w:type="dxa"/>
          </w:tcPr>
          <w:p w14:paraId="0A0904E8" w14:textId="662475D0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170DF221" w14:textId="4D528FD9" w:rsidR="00006D57" w:rsidRPr="00DA33DD" w:rsidRDefault="005C5404" w:rsidP="00006D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N/A for smoking because this does not change over time</w:t>
            </w:r>
          </w:p>
        </w:tc>
      </w:tr>
      <w:tr w:rsidR="00006D57" w:rsidRPr="00DA33DD" w14:paraId="7831E6A7" w14:textId="77777777" w:rsidTr="005C5404">
        <w:tc>
          <w:tcPr>
            <w:tcW w:w="5665" w:type="dxa"/>
          </w:tcPr>
          <w:p w14:paraId="03F00AE8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Cost</w:t>
            </w:r>
          </w:p>
        </w:tc>
        <w:tc>
          <w:tcPr>
            <w:tcW w:w="1276" w:type="dxa"/>
          </w:tcPr>
          <w:p w14:paraId="2ADF07A0" w14:textId="5806810F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49345872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1D435A99" w14:textId="77777777" w:rsidTr="005C5404">
        <w:tc>
          <w:tcPr>
            <w:tcW w:w="5665" w:type="dxa"/>
          </w:tcPr>
          <w:p w14:paraId="2D6A7B52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Differentiated by acute event in first year and subsequent years</w:t>
            </w:r>
          </w:p>
        </w:tc>
        <w:tc>
          <w:tcPr>
            <w:tcW w:w="1276" w:type="dxa"/>
          </w:tcPr>
          <w:p w14:paraId="6909CCEE" w14:textId="08B9BA8D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3807C5FD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18675E3B" w14:textId="77777777" w:rsidTr="005C5404">
        <w:tc>
          <w:tcPr>
            <w:tcW w:w="5665" w:type="dxa"/>
          </w:tcPr>
          <w:p w14:paraId="3BF75156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Cost of intervention and other costs (e.g. managing complications, adverse events, and diagnostics)</w:t>
            </w:r>
          </w:p>
        </w:tc>
        <w:tc>
          <w:tcPr>
            <w:tcW w:w="1276" w:type="dxa"/>
          </w:tcPr>
          <w:p w14:paraId="19F81B19" w14:textId="3870C553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5E34532A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47F31568" w14:textId="77777777" w:rsidTr="005C5404">
        <w:tc>
          <w:tcPr>
            <w:tcW w:w="5665" w:type="dxa"/>
          </w:tcPr>
          <w:p w14:paraId="5096CD75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Please report unit prices and resource use separately and give information on discount rates applied</w:t>
            </w:r>
          </w:p>
        </w:tc>
        <w:tc>
          <w:tcPr>
            <w:tcW w:w="1276" w:type="dxa"/>
          </w:tcPr>
          <w:p w14:paraId="4454DB0B" w14:textId="3E14F7E6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06641129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72B8F338" w14:textId="77777777" w:rsidTr="005C5404">
        <w:tc>
          <w:tcPr>
            <w:tcW w:w="5665" w:type="dxa"/>
          </w:tcPr>
          <w:p w14:paraId="53890382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Health state utilities</w:t>
            </w:r>
          </w:p>
        </w:tc>
        <w:tc>
          <w:tcPr>
            <w:tcW w:w="1276" w:type="dxa"/>
          </w:tcPr>
          <w:p w14:paraId="4A586C11" w14:textId="12C2D8DE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3D3699D9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771865E7" w14:textId="77777777" w:rsidTr="005C5404">
        <w:tc>
          <w:tcPr>
            <w:tcW w:w="5665" w:type="dxa"/>
          </w:tcPr>
          <w:p w14:paraId="3C579FEF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Operational mechanics of the assignment of utility values (i.e. utility- or disutility-oriented)</w:t>
            </w:r>
          </w:p>
        </w:tc>
        <w:tc>
          <w:tcPr>
            <w:tcW w:w="1276" w:type="dxa"/>
          </w:tcPr>
          <w:p w14:paraId="089F5F95" w14:textId="3FE7697C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65227CBE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1A96A0C2" w14:textId="77777777" w:rsidTr="005C5404">
        <w:tc>
          <w:tcPr>
            <w:tcW w:w="5665" w:type="dxa"/>
          </w:tcPr>
          <w:p w14:paraId="7E0A49CC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Management of multi-health conditions</w:t>
            </w:r>
          </w:p>
        </w:tc>
        <w:tc>
          <w:tcPr>
            <w:tcW w:w="1276" w:type="dxa"/>
          </w:tcPr>
          <w:p w14:paraId="6BBE131D" w14:textId="02E7FFA9" w:rsidR="00006D57" w:rsidRPr="00DA33DD" w:rsidRDefault="0051298A" w:rsidP="00006D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268" w:type="dxa"/>
          </w:tcPr>
          <w:p w14:paraId="75F0310C" w14:textId="55B0537C" w:rsidR="00006D57" w:rsidRPr="00DA33DD" w:rsidRDefault="0051298A" w:rsidP="00006D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N/A</w:t>
            </w:r>
          </w:p>
        </w:tc>
      </w:tr>
      <w:tr w:rsidR="00006D57" w:rsidRPr="00DA33DD" w14:paraId="66ADB0E2" w14:textId="77777777" w:rsidTr="005C5404">
        <w:tc>
          <w:tcPr>
            <w:tcW w:w="5665" w:type="dxa"/>
          </w:tcPr>
          <w:p w14:paraId="1FA1EEA5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General model characteristics</w:t>
            </w:r>
          </w:p>
        </w:tc>
        <w:tc>
          <w:tcPr>
            <w:tcW w:w="1276" w:type="dxa"/>
          </w:tcPr>
          <w:p w14:paraId="224D0450" w14:textId="487D8778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14:paraId="7FAB38C4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7948B180" w14:textId="77777777" w:rsidTr="005C5404">
        <w:tc>
          <w:tcPr>
            <w:tcW w:w="5665" w:type="dxa"/>
          </w:tcPr>
          <w:p w14:paraId="3067CDB5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Choice of mortality table and any specific event-related mortality</w:t>
            </w:r>
          </w:p>
        </w:tc>
        <w:tc>
          <w:tcPr>
            <w:tcW w:w="1276" w:type="dxa"/>
          </w:tcPr>
          <w:p w14:paraId="194B590C" w14:textId="54E714A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7AA3CEFD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15EA0E2F" w14:textId="77777777" w:rsidTr="005C5404">
        <w:tc>
          <w:tcPr>
            <w:tcW w:w="5665" w:type="dxa"/>
          </w:tcPr>
          <w:p w14:paraId="74CE636C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Choice and source of risk equations</w:t>
            </w:r>
          </w:p>
        </w:tc>
        <w:tc>
          <w:tcPr>
            <w:tcW w:w="1276" w:type="dxa"/>
          </w:tcPr>
          <w:p w14:paraId="2CC9240A" w14:textId="4A60325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3B786C93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18B10726" w14:textId="77777777" w:rsidTr="005C5404">
        <w:tc>
          <w:tcPr>
            <w:tcW w:w="5665" w:type="dxa"/>
          </w:tcPr>
          <w:p w14:paraId="4F2EDF30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If microsimulation: number of Monte-Carlo simulations conducted and justification</w:t>
            </w:r>
          </w:p>
        </w:tc>
        <w:tc>
          <w:tcPr>
            <w:tcW w:w="1276" w:type="dxa"/>
          </w:tcPr>
          <w:p w14:paraId="54352488" w14:textId="057A4B24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15C7450F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  <w:tr w:rsidR="00006D57" w:rsidRPr="00DA33DD" w14:paraId="4A910B21" w14:textId="77777777" w:rsidTr="005C5404">
        <w:tc>
          <w:tcPr>
            <w:tcW w:w="5665" w:type="dxa"/>
          </w:tcPr>
          <w:p w14:paraId="5A6C0735" w14:textId="77777777" w:rsidR="00006D57" w:rsidRPr="00DA33DD" w:rsidRDefault="00006D57" w:rsidP="00006D57">
            <w:pPr>
              <w:ind w:left="313"/>
              <w:rPr>
                <w:rFonts w:ascii="Times New Roman" w:hAnsi="Times New Roman" w:cs="Times New Roman"/>
              </w:rPr>
            </w:pPr>
            <w:r w:rsidRPr="00DA33DD">
              <w:rPr>
                <w:rFonts w:ascii="Times New Roman" w:hAnsi="Times New Roman" w:cs="Times New Roman"/>
              </w:rPr>
              <w:t>Components of model uncertainty being simulated (e.g. risk equations, risk factor trajectories, costs, and treatment effect); number of simulations and justification</w:t>
            </w:r>
          </w:p>
        </w:tc>
        <w:tc>
          <w:tcPr>
            <w:tcW w:w="1276" w:type="dxa"/>
          </w:tcPr>
          <w:p w14:paraId="7D5D6440" w14:textId="29474FAD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  <w:r w:rsidRPr="004E1C69">
              <w:rPr>
                <w:rFonts w:ascii="Times New Roman" w:hAnsi="Times New Roman" w:cs="Times New Roman"/>
              </w:rPr>
              <w:sym w:font="Wingdings 2" w:char="F050"/>
            </w:r>
          </w:p>
        </w:tc>
        <w:tc>
          <w:tcPr>
            <w:tcW w:w="2268" w:type="dxa"/>
          </w:tcPr>
          <w:p w14:paraId="02DBEFF4" w14:textId="77777777" w:rsidR="00006D57" w:rsidRPr="00DA33DD" w:rsidRDefault="00006D57" w:rsidP="00006D57">
            <w:pPr>
              <w:rPr>
                <w:rFonts w:ascii="Times New Roman" w:hAnsi="Times New Roman" w:cs="Times New Roman"/>
              </w:rPr>
            </w:pPr>
          </w:p>
        </w:tc>
      </w:tr>
    </w:tbl>
    <w:p w14:paraId="3964C044" w14:textId="77777777" w:rsidR="007B6241" w:rsidRDefault="007B6241"/>
    <w:sectPr w:rsidR="007B62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E4ED7" w14:textId="77777777" w:rsidR="009011A4" w:rsidRDefault="009011A4" w:rsidP="009011A4">
      <w:pPr>
        <w:spacing w:after="0" w:line="240" w:lineRule="auto"/>
      </w:pPr>
      <w:r>
        <w:separator/>
      </w:r>
    </w:p>
  </w:endnote>
  <w:endnote w:type="continuationSeparator" w:id="0">
    <w:p w14:paraId="39D4BFE6" w14:textId="77777777" w:rsidR="009011A4" w:rsidRDefault="009011A4" w:rsidP="00901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AF3A8" w14:textId="77777777" w:rsidR="00CE44EB" w:rsidRDefault="00CE44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94F9C" w14:textId="77777777" w:rsidR="00CE44EB" w:rsidRDefault="00CE44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6190F" w14:textId="77777777" w:rsidR="00CE44EB" w:rsidRDefault="00CE44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D5EEB" w14:textId="77777777" w:rsidR="009011A4" w:rsidRDefault="009011A4" w:rsidP="009011A4">
      <w:pPr>
        <w:spacing w:after="0" w:line="240" w:lineRule="auto"/>
      </w:pPr>
      <w:r>
        <w:separator/>
      </w:r>
    </w:p>
  </w:footnote>
  <w:footnote w:type="continuationSeparator" w:id="0">
    <w:p w14:paraId="12CE8490" w14:textId="77777777" w:rsidR="009011A4" w:rsidRDefault="009011A4" w:rsidP="00901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493D4" w14:textId="77777777" w:rsidR="00CE44EB" w:rsidRDefault="00CE44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9ADED" w14:textId="350A4D0F" w:rsidR="005C5404" w:rsidRPr="005C5404" w:rsidRDefault="00862E82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2</w:t>
    </w:r>
    <w:r w:rsidR="00CE44EB">
      <w:rPr>
        <w:rFonts w:ascii="Times New Roman" w:hAnsi="Times New Roman" w:cs="Times New Roman"/>
      </w:rPr>
      <w:t>0</w:t>
    </w:r>
    <w:bookmarkStart w:id="0" w:name="_GoBack"/>
    <w:bookmarkEnd w:id="0"/>
    <w:r>
      <w:rPr>
        <w:rFonts w:ascii="Times New Roman" w:hAnsi="Times New Roman" w:cs="Times New Roman"/>
      </w:rPr>
      <w:t xml:space="preserve"> February 2020</w:t>
    </w:r>
    <w:r w:rsidR="005C5404" w:rsidRPr="005C5404">
      <w:rPr>
        <w:rFonts w:ascii="Times New Roman" w:hAnsi="Times New Roman" w:cs="Times New Roman"/>
      </w:rPr>
      <w:ptab w:relativeTo="margin" w:alignment="center" w:leader="none"/>
    </w:r>
    <w:r w:rsidR="005C5404" w:rsidRPr="005C5404">
      <w:rPr>
        <w:rFonts w:ascii="Times New Roman" w:hAnsi="Times New Roman" w:cs="Times New Roman"/>
      </w:rPr>
      <w:t>Confidential</w:t>
    </w:r>
    <w:r w:rsidR="005C5404" w:rsidRPr="005C5404">
      <w:rPr>
        <w:rFonts w:ascii="Times New Roman" w:hAnsi="Times New Roman" w:cs="Times New Roman"/>
      </w:rPr>
      <w:ptab w:relativeTo="margin" w:alignment="right" w:leader="none"/>
    </w:r>
    <w:r w:rsidR="005C5404">
      <w:rPr>
        <w:rFonts w:ascii="Times New Roman" w:hAnsi="Times New Roman" w:cs="Times New Roman"/>
      </w:rPr>
      <w:t>Eighth Mount Hood checklist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EB27C" w14:textId="77777777" w:rsidR="00CE44EB" w:rsidRDefault="00CE44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72"/>
    <w:rsid w:val="00006D57"/>
    <w:rsid w:val="00065069"/>
    <w:rsid w:val="00107370"/>
    <w:rsid w:val="00181872"/>
    <w:rsid w:val="00491229"/>
    <w:rsid w:val="004D20CE"/>
    <w:rsid w:val="0051298A"/>
    <w:rsid w:val="00542EA5"/>
    <w:rsid w:val="005C5404"/>
    <w:rsid w:val="0065309D"/>
    <w:rsid w:val="007B6241"/>
    <w:rsid w:val="00844E17"/>
    <w:rsid w:val="00862E82"/>
    <w:rsid w:val="008715DC"/>
    <w:rsid w:val="009011A4"/>
    <w:rsid w:val="00B567F5"/>
    <w:rsid w:val="00CE44EB"/>
    <w:rsid w:val="00DA1B0C"/>
    <w:rsid w:val="00DA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E8C770B"/>
  <w15:chartTrackingRefBased/>
  <w15:docId w15:val="{0417AFE0-4E5D-417D-97C5-54E24B48A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1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20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0C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912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12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12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12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122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01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1A4"/>
  </w:style>
  <w:style w:type="paragraph" w:styleId="Footer">
    <w:name w:val="footer"/>
    <w:basedOn w:val="Normal"/>
    <w:link w:val="FooterChar"/>
    <w:uiPriority w:val="99"/>
    <w:unhideWhenUsed/>
    <w:rsid w:val="009011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Schofield</dc:creator>
  <cp:keywords/>
  <dc:description/>
  <cp:lastModifiedBy>Helen Schofield</cp:lastModifiedBy>
  <cp:revision>3</cp:revision>
  <dcterms:created xsi:type="dcterms:W3CDTF">2020-02-20T16:47:00Z</dcterms:created>
  <dcterms:modified xsi:type="dcterms:W3CDTF">2020-02-20T17:07:00Z</dcterms:modified>
</cp:coreProperties>
</file>