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C5D" w:rsidRPr="009C5A74" w:rsidRDefault="009C5A74" w:rsidP="00F86C5D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Additional file </w:t>
      </w:r>
      <w:r w:rsidR="00020546">
        <w:rPr>
          <w:rFonts w:ascii="Times New Roman" w:hAnsi="Times New Roman" w:cs="Times New Roman"/>
          <w:b/>
          <w:bCs/>
          <w:sz w:val="20"/>
        </w:rPr>
        <w:t>3</w:t>
      </w:r>
      <w:r w:rsidR="00F86C5D" w:rsidRPr="00E826F6">
        <w:rPr>
          <w:rFonts w:ascii="Times New Roman" w:hAnsi="Times New Roman" w:cs="Times New Roman"/>
          <w:b/>
          <w:bCs/>
          <w:sz w:val="20"/>
        </w:rPr>
        <w:t>.</w:t>
      </w:r>
      <w:r w:rsidR="00F86C5D" w:rsidRPr="00E826F6">
        <w:rPr>
          <w:rFonts w:ascii="Times New Roman" w:hAnsi="Times New Roman" w:cs="Times New Roman"/>
          <w:sz w:val="20"/>
        </w:rPr>
        <w:t xml:space="preserve"> </w:t>
      </w:r>
      <w:r w:rsidR="00F86C5D">
        <w:rPr>
          <w:rFonts w:ascii="Times New Roman" w:hAnsi="Times New Roman" w:cs="Times New Roman"/>
          <w:sz w:val="20"/>
        </w:rPr>
        <w:t xml:space="preserve">Time to clinical resolution definition among different studies included in the </w:t>
      </w:r>
      <w:r w:rsidR="00020546">
        <w:rPr>
          <w:rFonts w:ascii="Times New Roman" w:hAnsi="Times New Roman" w:cs="Times New Roman"/>
          <w:sz w:val="20"/>
        </w:rPr>
        <w:t>systematic review</w:t>
      </w:r>
    </w:p>
    <w:tbl>
      <w:tblPr>
        <w:tblStyle w:val="Tablaconcuadrcula"/>
        <w:tblW w:w="3534" w:type="pct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4396"/>
      </w:tblGrid>
      <w:tr w:rsidR="00F86C5D" w:rsidRPr="001F602E" w:rsidTr="009C5A74">
        <w:trPr>
          <w:trHeight w:val="20"/>
          <w:jc w:val="center"/>
        </w:trPr>
        <w:tc>
          <w:tcPr>
            <w:tcW w:w="1770" w:type="pct"/>
            <w:shd w:val="clear" w:color="auto" w:fill="auto"/>
            <w:vAlign w:val="center"/>
          </w:tcPr>
          <w:p w:rsidR="00F86C5D" w:rsidRPr="009C5A74" w:rsidRDefault="00F86C5D" w:rsidP="009C5A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C5A74">
              <w:rPr>
                <w:rFonts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3230" w:type="pct"/>
            <w:shd w:val="clear" w:color="auto" w:fill="auto"/>
            <w:vAlign w:val="center"/>
          </w:tcPr>
          <w:p w:rsidR="00F86C5D" w:rsidRPr="009C5A74" w:rsidRDefault="00F86C5D" w:rsidP="009C5A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C5A74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  <w:t>TTCR definition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F86C5D" w:rsidRPr="001F602E" w:rsidRDefault="00F86C5D" w:rsidP="00A73D51">
            <w:pPr>
              <w:spacing w:before="120" w:after="1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C5A74">
              <w:rPr>
                <w:rFonts w:cs="Times New Roman"/>
                <w:b/>
                <w:sz w:val="20"/>
                <w:szCs w:val="20"/>
              </w:rPr>
              <w:t>Oseltamivir trials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1770" w:type="pct"/>
            <w:shd w:val="clear" w:color="auto" w:fill="auto"/>
          </w:tcPr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r w:rsidRPr="001F602E">
              <w:rPr>
                <w:rFonts w:cs="Times New Roman"/>
                <w:sz w:val="16"/>
                <w:szCs w:val="18"/>
              </w:rPr>
              <w:t xml:space="preserve">Lee et al. 2013 </w:t>
            </w:r>
          </w:p>
        </w:tc>
        <w:tc>
          <w:tcPr>
            <w:tcW w:w="3230" w:type="pct"/>
            <w:shd w:val="clear" w:color="auto" w:fill="auto"/>
          </w:tcPr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Fever resolution </w:t>
            </w:r>
          </w:p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OR </w:t>
            </w:r>
          </w:p>
          <w:p w:rsidR="00F86C5D" w:rsidRPr="001F602E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No additional O2 requirement 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1770" w:type="pct"/>
            <w:shd w:val="clear" w:color="auto" w:fill="auto"/>
          </w:tcPr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r w:rsidRPr="001F602E">
              <w:rPr>
                <w:rFonts w:cs="Times New Roman"/>
                <w:sz w:val="16"/>
                <w:szCs w:val="18"/>
              </w:rPr>
              <w:t>South East Asia infectious Disease Clinical Research Network et al. 2013</w:t>
            </w:r>
          </w:p>
        </w:tc>
        <w:tc>
          <w:tcPr>
            <w:tcW w:w="3230" w:type="pct"/>
            <w:shd w:val="clear" w:color="auto" w:fill="auto"/>
          </w:tcPr>
          <w:p w:rsidR="00F86C5D" w:rsidRPr="001F602E" w:rsidRDefault="00F86C5D" w:rsidP="00A73D51">
            <w:pPr>
              <w:spacing w:line="720" w:lineRule="auto"/>
              <w:rPr>
                <w:rFonts w:cs="Times New Roman"/>
                <w:sz w:val="16"/>
                <w:szCs w:val="18"/>
              </w:rPr>
            </w:pPr>
            <w:r w:rsidRPr="001F602E">
              <w:rPr>
                <w:rFonts w:cs="Times New Roman"/>
                <w:sz w:val="16"/>
                <w:szCs w:val="18"/>
              </w:rPr>
              <w:t xml:space="preserve">NR 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F86C5D" w:rsidRPr="001F602E" w:rsidRDefault="00F86C5D" w:rsidP="00A73D51">
            <w:pPr>
              <w:spacing w:before="120" w:after="1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C5A74">
              <w:rPr>
                <w:rFonts w:cs="Times New Roman"/>
                <w:b/>
                <w:sz w:val="20"/>
                <w:szCs w:val="20"/>
              </w:rPr>
              <w:t>Zanamivir trials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1770" w:type="pct"/>
            <w:shd w:val="clear" w:color="auto" w:fill="auto"/>
          </w:tcPr>
          <w:p w:rsidR="00F86C5D" w:rsidRPr="001F602E" w:rsidRDefault="00F86C5D" w:rsidP="00A73D51">
            <w:pPr>
              <w:rPr>
                <w:rFonts w:cs="Times New Roman"/>
                <w:sz w:val="18"/>
                <w:szCs w:val="18"/>
              </w:rPr>
            </w:pPr>
            <w:r w:rsidRPr="001F602E">
              <w:rPr>
                <w:rFonts w:cs="Times New Roman"/>
                <w:sz w:val="18"/>
                <w:szCs w:val="18"/>
              </w:rPr>
              <w:t xml:space="preserve">Marty et al. 2017 </w:t>
            </w:r>
          </w:p>
        </w:tc>
        <w:tc>
          <w:tcPr>
            <w:tcW w:w="3230" w:type="pct"/>
            <w:shd w:val="clear" w:color="auto" w:fill="auto"/>
          </w:tcPr>
          <w:p w:rsidR="00F86C5D" w:rsidRPr="009C5A74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 w:rsidRPr="009C5A74">
              <w:rPr>
                <w:rFonts w:cs="Times New Roman"/>
                <w:sz w:val="16"/>
                <w:szCs w:val="18"/>
              </w:rPr>
              <w:t xml:space="preserve">Fever resolution </w:t>
            </w:r>
          </w:p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AND </w:t>
            </w:r>
          </w:p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O2 saturation &gt; 95% on room air </w:t>
            </w:r>
          </w:p>
          <w:p w:rsidR="00F86C5D" w:rsidRDefault="00F86C5D" w:rsidP="00A73D51">
            <w:pPr>
              <w:spacing w:after="0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AND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eastAsia="ca-ES"/>
              </w:rPr>
              <w:t>≥</w:t>
            </w:r>
            <w:r>
              <w:rPr>
                <w:rFonts w:cs="Times New Roman"/>
                <w:sz w:val="16"/>
                <w:szCs w:val="18"/>
              </w:rPr>
              <w:t>2 among</w:t>
            </w:r>
          </w:p>
          <w:p w:rsidR="00F86C5D" w:rsidRPr="0085702A" w:rsidRDefault="00F86C5D" w:rsidP="00A73D51">
            <w:pPr>
              <w:pStyle w:val="Prrafodelista"/>
              <w:numPr>
                <w:ilvl w:val="0"/>
                <w:numId w:val="1"/>
              </w:numPr>
              <w:spacing w:after="0"/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RR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 xml:space="preserve"> </w:t>
            </w:r>
            <w:r w:rsidRPr="0085702A">
              <w:rPr>
                <w:rFonts w:cs="Times New Roman"/>
                <w:sz w:val="16"/>
                <w:szCs w:val="18"/>
              </w:rPr>
              <w:t>24 breaths per min</w:t>
            </w:r>
          </w:p>
          <w:p w:rsidR="00F86C5D" w:rsidRPr="0085702A" w:rsidRDefault="00F86C5D" w:rsidP="00A73D51">
            <w:pPr>
              <w:pStyle w:val="Prrafodelista"/>
              <w:numPr>
                <w:ilvl w:val="0"/>
                <w:numId w:val="1"/>
              </w:numPr>
              <w:spacing w:after="0"/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HR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≤</w:t>
            </w:r>
            <w:r w:rsidRPr="0085702A">
              <w:rPr>
                <w:rFonts w:cs="Times New Roman"/>
                <w:sz w:val="16"/>
                <w:szCs w:val="18"/>
              </w:rPr>
              <w:t xml:space="preserve"> 100 beats per min</w:t>
            </w:r>
          </w:p>
          <w:p w:rsidR="00F86C5D" w:rsidRPr="0085702A" w:rsidRDefault="00F86C5D" w:rsidP="00A73D51">
            <w:pPr>
              <w:pStyle w:val="Prrafodelista"/>
              <w:numPr>
                <w:ilvl w:val="0"/>
                <w:numId w:val="1"/>
              </w:numPr>
              <w:spacing w:after="0"/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SBP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eastAsia="ca-ES"/>
              </w:rPr>
              <w:t>≥</w:t>
            </w:r>
            <w:r w:rsidRPr="0085702A">
              <w:rPr>
                <w:rFonts w:cs="Times New Roman"/>
                <w:sz w:val="16"/>
                <w:szCs w:val="18"/>
              </w:rPr>
              <w:t xml:space="preserve"> 90 mmHg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F86C5D" w:rsidRPr="001F602E" w:rsidRDefault="00F86C5D" w:rsidP="00A73D51">
            <w:pPr>
              <w:spacing w:before="120" w:after="1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C5A74">
              <w:rPr>
                <w:rFonts w:cs="Times New Roman"/>
                <w:b/>
                <w:sz w:val="20"/>
                <w:szCs w:val="20"/>
              </w:rPr>
              <w:t>Peramivir trials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1770" w:type="pct"/>
            <w:shd w:val="clear" w:color="auto" w:fill="auto"/>
          </w:tcPr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proofErr w:type="spellStart"/>
            <w:r w:rsidRPr="001F602E">
              <w:rPr>
                <w:rFonts w:cs="Times New Roman"/>
                <w:sz w:val="16"/>
                <w:szCs w:val="18"/>
              </w:rPr>
              <w:t>Ison</w:t>
            </w:r>
            <w:proofErr w:type="spellEnd"/>
            <w:r w:rsidRPr="001F602E">
              <w:rPr>
                <w:rFonts w:cs="Times New Roman"/>
                <w:sz w:val="16"/>
                <w:szCs w:val="18"/>
              </w:rPr>
              <w:t xml:space="preserve"> et al. 2013 </w:t>
            </w:r>
          </w:p>
        </w:tc>
        <w:tc>
          <w:tcPr>
            <w:tcW w:w="3230" w:type="pct"/>
            <w:shd w:val="clear" w:color="auto" w:fill="auto"/>
          </w:tcPr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  <w:lang w:val="es-ES"/>
              </w:rPr>
            </w:pPr>
            <w:r>
              <w:rPr>
                <w:rFonts w:cs="Times New Roman"/>
                <w:sz w:val="16"/>
                <w:szCs w:val="18"/>
                <w:lang w:val="es-ES"/>
              </w:rPr>
              <w:t xml:space="preserve">Fever resolution </w:t>
            </w:r>
          </w:p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AND </w:t>
            </w:r>
          </w:p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O2 saturation &gt; 92% on room air </w:t>
            </w:r>
          </w:p>
          <w:p w:rsidR="00F86C5D" w:rsidRDefault="00F86C5D" w:rsidP="00A73D51">
            <w:pPr>
              <w:spacing w:after="0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AND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eastAsia="ca-ES"/>
              </w:rPr>
              <w:t>≥</w:t>
            </w:r>
            <w:r>
              <w:rPr>
                <w:rFonts w:cs="Times New Roman"/>
                <w:sz w:val="16"/>
                <w:szCs w:val="18"/>
              </w:rPr>
              <w:t>2 among</w:t>
            </w:r>
          </w:p>
          <w:p w:rsidR="00F86C5D" w:rsidRPr="0085702A" w:rsidRDefault="00F86C5D" w:rsidP="00A73D51">
            <w:pPr>
              <w:pStyle w:val="Prrafodelista"/>
              <w:numPr>
                <w:ilvl w:val="0"/>
                <w:numId w:val="1"/>
              </w:numPr>
              <w:spacing w:after="0"/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RR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 xml:space="preserve"> </w:t>
            </w:r>
            <w:r w:rsidRPr="0085702A">
              <w:rPr>
                <w:rFonts w:cs="Times New Roman"/>
                <w:sz w:val="16"/>
                <w:szCs w:val="18"/>
              </w:rPr>
              <w:t>24 breaths per min</w:t>
            </w:r>
          </w:p>
          <w:p w:rsidR="00F86C5D" w:rsidRPr="0085702A" w:rsidRDefault="00F86C5D" w:rsidP="00A73D51">
            <w:pPr>
              <w:pStyle w:val="Prrafodelista"/>
              <w:numPr>
                <w:ilvl w:val="0"/>
                <w:numId w:val="1"/>
              </w:numPr>
              <w:spacing w:after="0"/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HR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≤</w:t>
            </w:r>
            <w:r w:rsidRPr="0085702A">
              <w:rPr>
                <w:rFonts w:cs="Times New Roman"/>
                <w:sz w:val="16"/>
                <w:szCs w:val="18"/>
              </w:rPr>
              <w:t xml:space="preserve"> 100 beats per min</w:t>
            </w:r>
          </w:p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SBP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eastAsia="ca-ES"/>
              </w:rPr>
              <w:t>≥</w:t>
            </w:r>
            <w:r w:rsidRPr="0085702A">
              <w:rPr>
                <w:rFonts w:cs="Times New Roman"/>
                <w:sz w:val="16"/>
                <w:szCs w:val="18"/>
              </w:rPr>
              <w:t xml:space="preserve"> 90 mmHg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1770" w:type="pct"/>
            <w:shd w:val="clear" w:color="auto" w:fill="auto"/>
          </w:tcPr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r w:rsidRPr="001F602E">
              <w:rPr>
                <w:rFonts w:cs="Times New Roman"/>
                <w:sz w:val="16"/>
                <w:szCs w:val="18"/>
              </w:rPr>
              <w:t>Lee et al. 2016</w:t>
            </w:r>
          </w:p>
        </w:tc>
        <w:tc>
          <w:tcPr>
            <w:tcW w:w="3230" w:type="pct"/>
            <w:shd w:val="clear" w:color="auto" w:fill="auto"/>
          </w:tcPr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r w:rsidRPr="001F602E">
              <w:rPr>
                <w:rFonts w:cs="Times New Roman"/>
                <w:sz w:val="16"/>
                <w:szCs w:val="18"/>
              </w:rPr>
              <w:t xml:space="preserve">NR 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1770" w:type="pct"/>
            <w:shd w:val="clear" w:color="auto" w:fill="auto"/>
          </w:tcPr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r w:rsidRPr="001F602E">
              <w:rPr>
                <w:rFonts w:cs="Times New Roman"/>
                <w:sz w:val="16"/>
                <w:szCs w:val="18"/>
              </w:rPr>
              <w:t xml:space="preserve">Kohno et al. 2011 </w:t>
            </w:r>
          </w:p>
        </w:tc>
        <w:tc>
          <w:tcPr>
            <w:tcW w:w="3230" w:type="pct"/>
            <w:shd w:val="clear" w:color="auto" w:fill="auto"/>
          </w:tcPr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Fever resolution AND </w:t>
            </w:r>
          </w:p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>Resolution of headache, muscle/joint pain, fatigue, cough, sore throat and nasal congestion</w:t>
            </w:r>
          </w:p>
        </w:tc>
      </w:tr>
      <w:tr w:rsidR="00F86C5D" w:rsidRPr="001F602E" w:rsidTr="009C5A74">
        <w:trPr>
          <w:trHeight w:val="20"/>
          <w:jc w:val="center"/>
        </w:trPr>
        <w:tc>
          <w:tcPr>
            <w:tcW w:w="1770" w:type="pct"/>
            <w:shd w:val="clear" w:color="auto" w:fill="auto"/>
          </w:tcPr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proofErr w:type="spellStart"/>
            <w:r w:rsidRPr="001F602E">
              <w:rPr>
                <w:rFonts w:cs="Times New Roman"/>
                <w:sz w:val="16"/>
                <w:szCs w:val="18"/>
              </w:rPr>
              <w:t>Ison</w:t>
            </w:r>
            <w:proofErr w:type="spellEnd"/>
            <w:r w:rsidRPr="001F602E">
              <w:rPr>
                <w:rFonts w:cs="Times New Roman"/>
                <w:sz w:val="16"/>
                <w:szCs w:val="18"/>
              </w:rPr>
              <w:t xml:space="preserve"> et al. 2014 </w:t>
            </w:r>
          </w:p>
        </w:tc>
        <w:tc>
          <w:tcPr>
            <w:tcW w:w="3230" w:type="pct"/>
            <w:shd w:val="clear" w:color="auto" w:fill="auto"/>
          </w:tcPr>
          <w:p w:rsidR="00F86C5D" w:rsidRPr="009C5A74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 w:rsidRPr="009C5A74">
              <w:rPr>
                <w:rFonts w:cs="Times New Roman"/>
                <w:sz w:val="16"/>
                <w:szCs w:val="18"/>
              </w:rPr>
              <w:t>Fever resolution</w:t>
            </w:r>
          </w:p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AND </w:t>
            </w:r>
          </w:p>
          <w:p w:rsidR="00F86C5D" w:rsidRDefault="00F86C5D" w:rsidP="00A73D51">
            <w:pPr>
              <w:spacing w:after="120" w:line="240" w:lineRule="auto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O2 saturation &gt; 92% on room air </w:t>
            </w:r>
          </w:p>
          <w:p w:rsidR="00F86C5D" w:rsidRDefault="00F86C5D" w:rsidP="00A73D51">
            <w:pPr>
              <w:spacing w:after="0"/>
              <w:rPr>
                <w:rFonts w:cs="Times New Roman"/>
                <w:sz w:val="16"/>
                <w:szCs w:val="18"/>
              </w:rPr>
            </w:pPr>
            <w:r>
              <w:rPr>
                <w:rFonts w:cs="Times New Roman"/>
                <w:sz w:val="16"/>
                <w:szCs w:val="18"/>
              </w:rPr>
              <w:t xml:space="preserve">AND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eastAsia="ca-ES"/>
              </w:rPr>
              <w:t>≥</w:t>
            </w:r>
            <w:r>
              <w:rPr>
                <w:rFonts w:cs="Times New Roman"/>
                <w:sz w:val="16"/>
                <w:szCs w:val="18"/>
              </w:rPr>
              <w:t>2 among</w:t>
            </w:r>
          </w:p>
          <w:p w:rsidR="00F86C5D" w:rsidRPr="0085702A" w:rsidRDefault="00F86C5D" w:rsidP="00A73D51">
            <w:pPr>
              <w:pStyle w:val="Prrafodelista"/>
              <w:numPr>
                <w:ilvl w:val="0"/>
                <w:numId w:val="1"/>
              </w:numPr>
              <w:spacing w:after="0"/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RR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≤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 xml:space="preserve"> </w:t>
            </w:r>
            <w:r w:rsidRPr="0085702A">
              <w:rPr>
                <w:rFonts w:cs="Times New Roman"/>
                <w:sz w:val="16"/>
                <w:szCs w:val="18"/>
              </w:rPr>
              <w:t>24 breaths per min</w:t>
            </w:r>
          </w:p>
          <w:p w:rsidR="00F86C5D" w:rsidRPr="0085702A" w:rsidRDefault="00F86C5D" w:rsidP="00A73D51">
            <w:pPr>
              <w:pStyle w:val="Prrafodelista"/>
              <w:numPr>
                <w:ilvl w:val="0"/>
                <w:numId w:val="1"/>
              </w:numPr>
              <w:spacing w:after="0"/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HR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val="ca-ES" w:eastAsia="ca-ES"/>
              </w:rPr>
              <w:t>≤</w:t>
            </w:r>
            <w:r w:rsidRPr="0085702A">
              <w:rPr>
                <w:rFonts w:cs="Times New Roman"/>
                <w:sz w:val="16"/>
                <w:szCs w:val="18"/>
              </w:rPr>
              <w:t xml:space="preserve"> 100 beats per min</w:t>
            </w:r>
          </w:p>
          <w:p w:rsidR="00F86C5D" w:rsidRPr="001F602E" w:rsidRDefault="00F86C5D" w:rsidP="00A73D51">
            <w:pPr>
              <w:rPr>
                <w:rFonts w:cs="Times New Roman"/>
                <w:sz w:val="16"/>
                <w:szCs w:val="18"/>
              </w:rPr>
            </w:pPr>
            <w:r w:rsidRPr="0085702A">
              <w:rPr>
                <w:rFonts w:cs="Times New Roman"/>
                <w:sz w:val="16"/>
                <w:szCs w:val="18"/>
              </w:rPr>
              <w:t xml:space="preserve">SBP </w:t>
            </w:r>
            <w:r w:rsidRPr="006A0A89">
              <w:rPr>
                <w:rFonts w:ascii="Times New Roman" w:eastAsia="Times New Roman" w:hAnsi="Times New Roman" w:cs="Times New Roman"/>
                <w:sz w:val="16"/>
                <w:szCs w:val="16"/>
                <w:lang w:eastAsia="ca-ES"/>
              </w:rPr>
              <w:t>≥</w:t>
            </w:r>
            <w:r w:rsidRPr="0085702A">
              <w:rPr>
                <w:rFonts w:cs="Times New Roman"/>
                <w:sz w:val="16"/>
                <w:szCs w:val="18"/>
              </w:rPr>
              <w:t xml:space="preserve"> 90 mmHg</w:t>
            </w:r>
          </w:p>
        </w:tc>
      </w:tr>
    </w:tbl>
    <w:p w:rsidR="00F86C5D" w:rsidRPr="009C5A74" w:rsidRDefault="00B57AEB" w:rsidP="009C5A74">
      <w:pPr>
        <w:jc w:val="both"/>
        <w:rPr>
          <w:sz w:val="16"/>
          <w:szCs w:val="16"/>
        </w:rPr>
      </w:pPr>
      <w:r w:rsidRPr="009C5A74">
        <w:rPr>
          <w:sz w:val="16"/>
          <w:szCs w:val="16"/>
        </w:rPr>
        <w:t xml:space="preserve">                                           HR: heart rate;</w:t>
      </w:r>
      <w:r w:rsidR="00020546">
        <w:rPr>
          <w:sz w:val="16"/>
          <w:szCs w:val="16"/>
        </w:rPr>
        <w:t xml:space="preserve"> NR: not reported;</w:t>
      </w:r>
      <w:bookmarkStart w:id="0" w:name="_GoBack"/>
      <w:bookmarkEnd w:id="0"/>
      <w:r w:rsidRPr="009C5A74">
        <w:rPr>
          <w:sz w:val="16"/>
          <w:szCs w:val="16"/>
        </w:rPr>
        <w:t xml:space="preserve"> RR: respiratory rate, SBP: systolic blood pressure</w:t>
      </w:r>
      <w:r w:rsidR="00020546">
        <w:rPr>
          <w:sz w:val="16"/>
          <w:szCs w:val="16"/>
        </w:rPr>
        <w:t>; TTCR: time to clinical resolution</w:t>
      </w:r>
    </w:p>
    <w:sectPr w:rsidR="00F86C5D" w:rsidRPr="009C5A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40C14"/>
    <w:multiLevelType w:val="hybridMultilevel"/>
    <w:tmpl w:val="F710D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871C9"/>
    <w:multiLevelType w:val="hybridMultilevel"/>
    <w:tmpl w:val="FF4CB0E0"/>
    <w:lvl w:ilvl="0" w:tplc="B706E0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2A"/>
    <w:rsid w:val="00020546"/>
    <w:rsid w:val="0085702A"/>
    <w:rsid w:val="009C5A74"/>
    <w:rsid w:val="00B57AEB"/>
    <w:rsid w:val="00C725CA"/>
    <w:rsid w:val="00F8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33C6"/>
  <w15:chartTrackingRefBased/>
  <w15:docId w15:val="{B9B78E58-6A6B-410F-824A-30E51EEE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A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570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70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702A"/>
    <w:rPr>
      <w:sz w:val="20"/>
      <w:szCs w:val="20"/>
      <w:lang w:val="en-US"/>
    </w:rPr>
  </w:style>
  <w:style w:type="table" w:styleId="Tablaconcuadrcula">
    <w:name w:val="Table Grid"/>
    <w:basedOn w:val="Tablanormal"/>
    <w:uiPriority w:val="59"/>
    <w:rsid w:val="0085702A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02A"/>
    <w:rPr>
      <w:rFonts w:ascii="Segoe UI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857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Campogiani</dc:creator>
  <cp:keywords/>
  <dc:description/>
  <cp:lastModifiedBy>Sofía Tejada</cp:lastModifiedBy>
  <cp:revision>2</cp:revision>
  <dcterms:created xsi:type="dcterms:W3CDTF">2020-04-04T16:08:00Z</dcterms:created>
  <dcterms:modified xsi:type="dcterms:W3CDTF">2020-04-04T16:08:00Z</dcterms:modified>
</cp:coreProperties>
</file>