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CE6A0" w14:textId="58AC79D0" w:rsidR="00E04A25" w:rsidRPr="00375B25" w:rsidRDefault="00751A61" w:rsidP="00E04A25">
      <w:pPr>
        <w:spacing w:line="276" w:lineRule="auto"/>
        <w:rPr>
          <w:rFonts w:eastAsia="CalibriLight"/>
        </w:rPr>
      </w:pPr>
      <w:bookmarkStart w:id="0" w:name="_GoBack"/>
      <w:r w:rsidRPr="00375B25">
        <w:rPr>
          <w:rFonts w:eastAsia="CalibriLight"/>
        </w:rPr>
        <w:t>Supplementary Material</w:t>
      </w:r>
    </w:p>
    <w:p w14:paraId="21A0DAC7" w14:textId="77777777" w:rsidR="002C0546" w:rsidRPr="00375B25" w:rsidRDefault="002C0546" w:rsidP="00E04A25">
      <w:pPr>
        <w:spacing w:line="276" w:lineRule="auto"/>
        <w:rPr>
          <w:rFonts w:eastAsia="CalibriLight"/>
        </w:rPr>
      </w:pPr>
    </w:p>
    <w:p w14:paraId="79E6ADA7" w14:textId="77777777" w:rsidR="002C0546" w:rsidRPr="00375B25" w:rsidRDefault="002C0546" w:rsidP="002C0546">
      <w:pPr>
        <w:spacing w:line="276" w:lineRule="auto"/>
        <w:rPr>
          <w:rFonts w:eastAsia="CalibriLight"/>
        </w:rPr>
      </w:pPr>
      <w:r w:rsidRPr="00375B25">
        <w:rPr>
          <w:rFonts w:eastAsia="CalibriLight"/>
          <w:b/>
          <w:bCs/>
        </w:rPr>
        <w:t xml:space="preserve">Table S1. </w:t>
      </w:r>
      <w:r w:rsidRPr="00375B25">
        <w:rPr>
          <w:rFonts w:eastAsia="CalibriLight"/>
        </w:rPr>
        <w:t xml:space="preserve">Patient characteristics and concomitant treatments at baseline in unmatched cohorts </w:t>
      </w:r>
    </w:p>
    <w:p w14:paraId="6BCA0BA2" w14:textId="77777777" w:rsidR="00751A61" w:rsidRPr="00375B25" w:rsidRDefault="00751A61" w:rsidP="00E04A25">
      <w:pPr>
        <w:spacing w:line="276" w:lineRule="auto"/>
        <w:rPr>
          <w:rFonts w:eastAsia="CalibriLight"/>
        </w:rPr>
      </w:pPr>
    </w:p>
    <w:tbl>
      <w:tblPr>
        <w:tblStyle w:val="TableGrid"/>
        <w:tblW w:w="0" w:type="auto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4"/>
        <w:gridCol w:w="1697"/>
        <w:gridCol w:w="1443"/>
        <w:gridCol w:w="2052"/>
      </w:tblGrid>
      <w:tr w:rsidR="00E04A25" w:rsidRPr="00375B25" w14:paraId="1DE3EEA2" w14:textId="77777777" w:rsidTr="00672ECC">
        <w:tc>
          <w:tcPr>
            <w:tcW w:w="465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184D22" w14:textId="77777777" w:rsidR="00E04A25" w:rsidRPr="00375B25" w:rsidRDefault="00E04A25" w:rsidP="00672ECC">
            <w:pPr>
              <w:spacing w:line="276" w:lineRule="auto"/>
              <w:rPr>
                <w:rFonts w:eastAsia="CalibriLight"/>
                <w:b/>
                <w:bCs/>
              </w:rPr>
            </w:pPr>
            <w:r w:rsidRPr="00375B25">
              <w:rPr>
                <w:rFonts w:eastAsia="CalibriLight"/>
                <w:b/>
                <w:bCs/>
              </w:rPr>
              <w:t>Patient characteristic/treatment</w:t>
            </w:r>
          </w:p>
        </w:tc>
        <w:tc>
          <w:tcPr>
            <w:tcW w:w="214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53F65A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IGlar U100</w:t>
            </w:r>
          </w:p>
          <w:p w14:paraId="5F1ED534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N=1,109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E60521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IGlar U300</w:t>
            </w:r>
          </w:p>
          <w:p w14:paraId="5F5FA9A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N=559</w:t>
            </w:r>
          </w:p>
        </w:tc>
        <w:tc>
          <w:tcPr>
            <w:tcW w:w="29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FBCC92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SMD</w:t>
            </w:r>
            <w:r w:rsidRPr="00375B25">
              <w:rPr>
                <w:vertAlign w:val="superscript"/>
              </w:rPr>
              <w:t>a</w:t>
            </w:r>
          </w:p>
        </w:tc>
      </w:tr>
      <w:tr w:rsidR="00E04A25" w:rsidRPr="00375B25" w14:paraId="2FA5F8A6" w14:textId="77777777" w:rsidTr="00672ECC">
        <w:tc>
          <w:tcPr>
            <w:tcW w:w="4650" w:type="dxa"/>
            <w:tcBorders>
              <w:top w:val="single" w:sz="4" w:space="0" w:color="000000" w:themeColor="text1"/>
            </w:tcBorders>
          </w:tcPr>
          <w:p w14:paraId="4C467E6A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Age, years</w:t>
            </w:r>
          </w:p>
        </w:tc>
        <w:tc>
          <w:tcPr>
            <w:tcW w:w="2149" w:type="dxa"/>
            <w:tcBorders>
              <w:top w:val="single" w:sz="4" w:space="0" w:color="000000" w:themeColor="text1"/>
            </w:tcBorders>
          </w:tcPr>
          <w:p w14:paraId="476C7FE0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63.4 (12.6)</w:t>
            </w: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14:paraId="28728646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63.6 (11.9)</w:t>
            </w:r>
          </w:p>
        </w:tc>
        <w:tc>
          <w:tcPr>
            <w:tcW w:w="2943" w:type="dxa"/>
            <w:tcBorders>
              <w:top w:val="single" w:sz="4" w:space="0" w:color="000000" w:themeColor="text1"/>
            </w:tcBorders>
          </w:tcPr>
          <w:p w14:paraId="4C95F35C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0.019</w:t>
            </w:r>
          </w:p>
        </w:tc>
      </w:tr>
      <w:tr w:rsidR="00E04A25" w:rsidRPr="00375B25" w14:paraId="5B3B3711" w14:textId="77777777" w:rsidTr="00672ECC">
        <w:tc>
          <w:tcPr>
            <w:tcW w:w="4650" w:type="dxa"/>
          </w:tcPr>
          <w:p w14:paraId="0D40C52F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Female sex (%)</w:t>
            </w:r>
          </w:p>
        </w:tc>
        <w:tc>
          <w:tcPr>
            <w:tcW w:w="2149" w:type="dxa"/>
          </w:tcPr>
          <w:p w14:paraId="08D95D7E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52.5</w:t>
            </w:r>
          </w:p>
        </w:tc>
        <w:tc>
          <w:tcPr>
            <w:tcW w:w="1843" w:type="dxa"/>
          </w:tcPr>
          <w:p w14:paraId="15E44DD8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52.8</w:t>
            </w:r>
          </w:p>
        </w:tc>
        <w:tc>
          <w:tcPr>
            <w:tcW w:w="2943" w:type="dxa"/>
          </w:tcPr>
          <w:p w14:paraId="728B0B3E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0.006</w:t>
            </w:r>
          </w:p>
        </w:tc>
      </w:tr>
      <w:tr w:rsidR="00E04A25" w:rsidRPr="00375B25" w14:paraId="559A693C" w14:textId="77777777" w:rsidTr="00672ECC">
        <w:tc>
          <w:tcPr>
            <w:tcW w:w="4650" w:type="dxa"/>
          </w:tcPr>
          <w:p w14:paraId="09BC7699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Time from diagnosis, years</w:t>
            </w:r>
          </w:p>
        </w:tc>
        <w:tc>
          <w:tcPr>
            <w:tcW w:w="2149" w:type="dxa"/>
          </w:tcPr>
          <w:p w14:paraId="1E1E82E2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9.4 (1.6)</w:t>
            </w:r>
          </w:p>
        </w:tc>
        <w:tc>
          <w:tcPr>
            <w:tcW w:w="1843" w:type="dxa"/>
          </w:tcPr>
          <w:p w14:paraId="138FCD87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9.5 (1.3)</w:t>
            </w:r>
          </w:p>
        </w:tc>
        <w:tc>
          <w:tcPr>
            <w:tcW w:w="2943" w:type="dxa"/>
          </w:tcPr>
          <w:p w14:paraId="0ECC7B14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0.122</w:t>
            </w:r>
          </w:p>
        </w:tc>
      </w:tr>
      <w:tr w:rsidR="00E04A25" w:rsidRPr="00375B25" w14:paraId="72261C8B" w14:textId="77777777" w:rsidTr="00672ECC">
        <w:tc>
          <w:tcPr>
            <w:tcW w:w="4650" w:type="dxa"/>
          </w:tcPr>
          <w:p w14:paraId="1FC3FAC4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HbA1c, %</w:t>
            </w:r>
          </w:p>
        </w:tc>
        <w:tc>
          <w:tcPr>
            <w:tcW w:w="2149" w:type="dxa"/>
          </w:tcPr>
          <w:p w14:paraId="3C77EE1F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8.6 (1.4)</w:t>
            </w:r>
          </w:p>
        </w:tc>
        <w:tc>
          <w:tcPr>
            <w:tcW w:w="1843" w:type="dxa"/>
          </w:tcPr>
          <w:p w14:paraId="5FF6E896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8.8 (1.6)</w:t>
            </w:r>
          </w:p>
        </w:tc>
        <w:tc>
          <w:tcPr>
            <w:tcW w:w="2943" w:type="dxa"/>
          </w:tcPr>
          <w:p w14:paraId="1E45ADB8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0.085</w:t>
            </w:r>
          </w:p>
        </w:tc>
      </w:tr>
      <w:tr w:rsidR="00E04A25" w:rsidRPr="00375B25" w14:paraId="31E7D096" w14:textId="77777777" w:rsidTr="00672ECC">
        <w:tc>
          <w:tcPr>
            <w:tcW w:w="4650" w:type="dxa"/>
          </w:tcPr>
          <w:p w14:paraId="3B22033F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FPG, mmol/L</w:t>
            </w:r>
          </w:p>
        </w:tc>
        <w:tc>
          <w:tcPr>
            <w:tcW w:w="2149" w:type="dxa"/>
          </w:tcPr>
          <w:p w14:paraId="22E36061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10.6 (2.2)</w:t>
            </w:r>
          </w:p>
        </w:tc>
        <w:tc>
          <w:tcPr>
            <w:tcW w:w="1843" w:type="dxa"/>
          </w:tcPr>
          <w:p w14:paraId="07F5309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10.9 (2.5)</w:t>
            </w:r>
          </w:p>
        </w:tc>
        <w:tc>
          <w:tcPr>
            <w:tcW w:w="2943" w:type="dxa"/>
          </w:tcPr>
          <w:p w14:paraId="645527E1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  <w:highlight w:val="yellow"/>
              </w:rPr>
            </w:pPr>
            <w:r w:rsidRPr="00375B25">
              <w:rPr>
                <w:rFonts w:eastAsia="CalibriLight"/>
              </w:rPr>
              <w:t>0.170</w:t>
            </w:r>
          </w:p>
        </w:tc>
      </w:tr>
      <w:tr w:rsidR="00E04A25" w:rsidRPr="00375B25" w14:paraId="02A2020B" w14:textId="77777777" w:rsidTr="00672ECC">
        <w:tc>
          <w:tcPr>
            <w:tcW w:w="4650" w:type="dxa"/>
          </w:tcPr>
          <w:p w14:paraId="2539C8E9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Body weight, kg</w:t>
            </w:r>
          </w:p>
        </w:tc>
        <w:tc>
          <w:tcPr>
            <w:tcW w:w="2149" w:type="dxa"/>
          </w:tcPr>
          <w:p w14:paraId="34DD51E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84.3 (17.8)</w:t>
            </w:r>
          </w:p>
        </w:tc>
        <w:tc>
          <w:tcPr>
            <w:tcW w:w="1843" w:type="dxa"/>
          </w:tcPr>
          <w:p w14:paraId="299B30A2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84.7 (17.1)</w:t>
            </w:r>
          </w:p>
        </w:tc>
        <w:tc>
          <w:tcPr>
            <w:tcW w:w="2943" w:type="dxa"/>
          </w:tcPr>
          <w:p w14:paraId="41A56F0C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0.022</w:t>
            </w:r>
          </w:p>
        </w:tc>
      </w:tr>
      <w:tr w:rsidR="00E04A25" w:rsidRPr="00375B25" w14:paraId="318EF09D" w14:textId="77777777" w:rsidTr="00672ECC">
        <w:tc>
          <w:tcPr>
            <w:tcW w:w="4650" w:type="dxa"/>
          </w:tcPr>
          <w:p w14:paraId="1C351BF1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Charlson comorbidity index</w:t>
            </w:r>
          </w:p>
        </w:tc>
        <w:tc>
          <w:tcPr>
            <w:tcW w:w="2149" w:type="dxa"/>
          </w:tcPr>
          <w:p w14:paraId="3C7DAC05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2.2 (1.6)</w:t>
            </w:r>
          </w:p>
        </w:tc>
        <w:tc>
          <w:tcPr>
            <w:tcW w:w="1843" w:type="dxa"/>
          </w:tcPr>
          <w:p w14:paraId="3C3D0087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2.1 (1.5)</w:t>
            </w:r>
          </w:p>
        </w:tc>
        <w:tc>
          <w:tcPr>
            <w:tcW w:w="2943" w:type="dxa"/>
          </w:tcPr>
          <w:p w14:paraId="0B4A042D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0.072</w:t>
            </w:r>
          </w:p>
        </w:tc>
      </w:tr>
      <w:tr w:rsidR="00E04A25" w:rsidRPr="00375B25" w14:paraId="315D4FE0" w14:textId="77777777" w:rsidTr="00672ECC">
        <w:tc>
          <w:tcPr>
            <w:tcW w:w="4650" w:type="dxa"/>
          </w:tcPr>
          <w:p w14:paraId="53B18EB3" w14:textId="77777777" w:rsidR="00E04A25" w:rsidRPr="00375B25" w:rsidRDefault="00E04A25" w:rsidP="00672ECC">
            <w:pPr>
              <w:spacing w:line="276" w:lineRule="auto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Antidiabetic treatment</w:t>
            </w:r>
            <w:r w:rsidRPr="00375B25">
              <w:rPr>
                <w:rFonts w:eastAsia="CalibriLight"/>
                <w:vertAlign w:val="superscript"/>
              </w:rPr>
              <w:t>b</w:t>
            </w:r>
            <w:r w:rsidRPr="00375B25">
              <w:rPr>
                <w:rFonts w:eastAsia="CalibriLight"/>
              </w:rPr>
              <w:t xml:space="preserve"> (%)</w:t>
            </w:r>
          </w:p>
        </w:tc>
        <w:tc>
          <w:tcPr>
            <w:tcW w:w="2149" w:type="dxa"/>
          </w:tcPr>
          <w:p w14:paraId="5DBC56CC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</w:p>
        </w:tc>
        <w:tc>
          <w:tcPr>
            <w:tcW w:w="1843" w:type="dxa"/>
          </w:tcPr>
          <w:p w14:paraId="1D5AADEC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</w:p>
        </w:tc>
        <w:tc>
          <w:tcPr>
            <w:tcW w:w="2943" w:type="dxa"/>
          </w:tcPr>
          <w:p w14:paraId="3ACEFA18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</w:p>
        </w:tc>
      </w:tr>
      <w:tr w:rsidR="00E04A25" w:rsidRPr="00375B25" w14:paraId="2B93C823" w14:textId="77777777" w:rsidTr="00672ECC">
        <w:tc>
          <w:tcPr>
            <w:tcW w:w="4650" w:type="dxa"/>
          </w:tcPr>
          <w:p w14:paraId="63CE0017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Oral combination therapy</w:t>
            </w:r>
          </w:p>
        </w:tc>
        <w:tc>
          <w:tcPr>
            <w:tcW w:w="2149" w:type="dxa"/>
          </w:tcPr>
          <w:p w14:paraId="70E669A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42.2</w:t>
            </w:r>
          </w:p>
        </w:tc>
        <w:tc>
          <w:tcPr>
            <w:tcW w:w="1843" w:type="dxa"/>
          </w:tcPr>
          <w:p w14:paraId="526F990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39.4</w:t>
            </w:r>
          </w:p>
        </w:tc>
        <w:tc>
          <w:tcPr>
            <w:tcW w:w="2943" w:type="dxa"/>
          </w:tcPr>
          <w:p w14:paraId="1E4DD93D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0.057</w:t>
            </w:r>
          </w:p>
        </w:tc>
      </w:tr>
      <w:tr w:rsidR="00E04A25" w:rsidRPr="00375B25" w14:paraId="2C3E6692" w14:textId="77777777" w:rsidTr="00672ECC">
        <w:tc>
          <w:tcPr>
            <w:tcW w:w="4650" w:type="dxa"/>
          </w:tcPr>
          <w:p w14:paraId="5F71AB6C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Metformin</w:t>
            </w:r>
          </w:p>
        </w:tc>
        <w:tc>
          <w:tcPr>
            <w:tcW w:w="2149" w:type="dxa"/>
          </w:tcPr>
          <w:p w14:paraId="26CA3DBB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34.1</w:t>
            </w:r>
          </w:p>
        </w:tc>
        <w:tc>
          <w:tcPr>
            <w:tcW w:w="1843" w:type="dxa"/>
          </w:tcPr>
          <w:p w14:paraId="37AEED3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36.3</w:t>
            </w:r>
          </w:p>
        </w:tc>
        <w:tc>
          <w:tcPr>
            <w:tcW w:w="2943" w:type="dxa"/>
          </w:tcPr>
          <w:p w14:paraId="4CCE9531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0.046</w:t>
            </w:r>
          </w:p>
        </w:tc>
      </w:tr>
      <w:tr w:rsidR="00E04A25" w:rsidRPr="00375B25" w14:paraId="0FBED5D7" w14:textId="77777777" w:rsidTr="00672ECC">
        <w:tc>
          <w:tcPr>
            <w:tcW w:w="4650" w:type="dxa"/>
          </w:tcPr>
          <w:p w14:paraId="70F1CCD9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Sulfonylurea</w:t>
            </w:r>
          </w:p>
        </w:tc>
        <w:tc>
          <w:tcPr>
            <w:tcW w:w="2149" w:type="dxa"/>
          </w:tcPr>
          <w:p w14:paraId="074C8A8F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26.9</w:t>
            </w:r>
          </w:p>
        </w:tc>
        <w:tc>
          <w:tcPr>
            <w:tcW w:w="1843" w:type="dxa"/>
          </w:tcPr>
          <w:p w14:paraId="1E6C4ED1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29.5</w:t>
            </w:r>
          </w:p>
        </w:tc>
        <w:tc>
          <w:tcPr>
            <w:tcW w:w="2943" w:type="dxa"/>
          </w:tcPr>
          <w:p w14:paraId="3C186A9D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0.058</w:t>
            </w:r>
          </w:p>
        </w:tc>
      </w:tr>
      <w:tr w:rsidR="00E04A25" w:rsidRPr="00375B25" w14:paraId="7E6F04A8" w14:textId="77777777" w:rsidTr="00672ECC">
        <w:tc>
          <w:tcPr>
            <w:tcW w:w="4650" w:type="dxa"/>
          </w:tcPr>
          <w:p w14:paraId="271E538D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DPP-4 inhibitor</w:t>
            </w:r>
          </w:p>
        </w:tc>
        <w:tc>
          <w:tcPr>
            <w:tcW w:w="2149" w:type="dxa"/>
          </w:tcPr>
          <w:p w14:paraId="517815C6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25.0</w:t>
            </w:r>
          </w:p>
        </w:tc>
        <w:tc>
          <w:tcPr>
            <w:tcW w:w="1843" w:type="dxa"/>
          </w:tcPr>
          <w:p w14:paraId="06E826B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24.2</w:t>
            </w:r>
          </w:p>
        </w:tc>
        <w:tc>
          <w:tcPr>
            <w:tcW w:w="2943" w:type="dxa"/>
          </w:tcPr>
          <w:p w14:paraId="1321455F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0.019</w:t>
            </w:r>
          </w:p>
        </w:tc>
      </w:tr>
      <w:tr w:rsidR="00E04A25" w:rsidRPr="00375B25" w14:paraId="36AEC9D9" w14:textId="77777777" w:rsidTr="00672ECC">
        <w:tc>
          <w:tcPr>
            <w:tcW w:w="4650" w:type="dxa"/>
          </w:tcPr>
          <w:p w14:paraId="04129540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SGLT-2 inhibitor</w:t>
            </w:r>
          </w:p>
        </w:tc>
        <w:tc>
          <w:tcPr>
            <w:tcW w:w="2149" w:type="dxa"/>
          </w:tcPr>
          <w:p w14:paraId="57F4613C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10.7</w:t>
            </w:r>
          </w:p>
        </w:tc>
        <w:tc>
          <w:tcPr>
            <w:tcW w:w="1843" w:type="dxa"/>
          </w:tcPr>
          <w:p w14:paraId="55432259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11.1</w:t>
            </w:r>
          </w:p>
        </w:tc>
        <w:tc>
          <w:tcPr>
            <w:tcW w:w="2943" w:type="dxa"/>
          </w:tcPr>
          <w:p w14:paraId="0B898B39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0.013</w:t>
            </w:r>
          </w:p>
        </w:tc>
      </w:tr>
      <w:tr w:rsidR="00E04A25" w:rsidRPr="00375B25" w14:paraId="2083C8B5" w14:textId="77777777" w:rsidTr="00672ECC">
        <w:tc>
          <w:tcPr>
            <w:tcW w:w="4650" w:type="dxa"/>
          </w:tcPr>
          <w:p w14:paraId="6A824FE3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Glinide</w:t>
            </w:r>
          </w:p>
        </w:tc>
        <w:tc>
          <w:tcPr>
            <w:tcW w:w="2149" w:type="dxa"/>
          </w:tcPr>
          <w:p w14:paraId="243FB14D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9.5</w:t>
            </w:r>
          </w:p>
        </w:tc>
        <w:tc>
          <w:tcPr>
            <w:tcW w:w="1843" w:type="dxa"/>
          </w:tcPr>
          <w:p w14:paraId="3A8197C9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9.8</w:t>
            </w:r>
          </w:p>
        </w:tc>
        <w:tc>
          <w:tcPr>
            <w:tcW w:w="2943" w:type="dxa"/>
          </w:tcPr>
          <w:p w14:paraId="18A8D86F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0.010</w:t>
            </w:r>
          </w:p>
        </w:tc>
      </w:tr>
      <w:tr w:rsidR="00E04A25" w:rsidRPr="00375B25" w14:paraId="63F98BE9" w14:textId="77777777" w:rsidTr="00672ECC">
        <w:tc>
          <w:tcPr>
            <w:tcW w:w="4650" w:type="dxa"/>
          </w:tcPr>
          <w:p w14:paraId="7AB78BEF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alpha-glucosidase inhibitor</w:t>
            </w:r>
          </w:p>
        </w:tc>
        <w:tc>
          <w:tcPr>
            <w:tcW w:w="2149" w:type="dxa"/>
          </w:tcPr>
          <w:p w14:paraId="6E805B43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0.6</w:t>
            </w:r>
          </w:p>
        </w:tc>
        <w:tc>
          <w:tcPr>
            <w:tcW w:w="1843" w:type="dxa"/>
          </w:tcPr>
          <w:p w14:paraId="4D3A1AE4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0.4</w:t>
            </w:r>
          </w:p>
        </w:tc>
        <w:tc>
          <w:tcPr>
            <w:tcW w:w="2943" w:type="dxa"/>
          </w:tcPr>
          <w:p w14:paraId="492678EA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0.028</w:t>
            </w:r>
          </w:p>
        </w:tc>
      </w:tr>
      <w:tr w:rsidR="00E04A25" w:rsidRPr="00375B25" w14:paraId="44D1E75C" w14:textId="77777777" w:rsidTr="00672ECC">
        <w:tc>
          <w:tcPr>
            <w:tcW w:w="4650" w:type="dxa"/>
          </w:tcPr>
          <w:p w14:paraId="777960DA" w14:textId="77777777" w:rsidR="00E04A25" w:rsidRPr="00375B25" w:rsidRDefault="00E04A25" w:rsidP="00672ECC">
            <w:pPr>
              <w:spacing w:line="276" w:lineRule="auto"/>
              <w:ind w:left="173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Glitazone</w:t>
            </w:r>
          </w:p>
        </w:tc>
        <w:tc>
          <w:tcPr>
            <w:tcW w:w="2149" w:type="dxa"/>
          </w:tcPr>
          <w:p w14:paraId="06858B07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0.2</w:t>
            </w:r>
          </w:p>
        </w:tc>
        <w:tc>
          <w:tcPr>
            <w:tcW w:w="1843" w:type="dxa"/>
          </w:tcPr>
          <w:p w14:paraId="4C333A86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0.7</w:t>
            </w:r>
          </w:p>
        </w:tc>
        <w:tc>
          <w:tcPr>
            <w:tcW w:w="2943" w:type="dxa"/>
          </w:tcPr>
          <w:p w14:paraId="6458FC3F" w14:textId="77777777" w:rsidR="00E04A25" w:rsidRPr="00375B25" w:rsidRDefault="00E04A25" w:rsidP="00672ECC">
            <w:pPr>
              <w:spacing w:line="276" w:lineRule="auto"/>
              <w:jc w:val="center"/>
              <w:rPr>
                <w:rFonts w:eastAsia="CalibriLight"/>
              </w:rPr>
            </w:pPr>
            <w:r w:rsidRPr="00375B25">
              <w:rPr>
                <w:rFonts w:eastAsia="CalibriLight"/>
              </w:rPr>
              <w:t>0.075</w:t>
            </w:r>
          </w:p>
        </w:tc>
      </w:tr>
    </w:tbl>
    <w:p w14:paraId="43A59288" w14:textId="77777777" w:rsidR="00E04A25" w:rsidRPr="00375B25" w:rsidRDefault="00E04A25" w:rsidP="00E04A25">
      <w:pPr>
        <w:spacing w:line="276" w:lineRule="auto"/>
        <w:rPr>
          <w:rFonts w:eastAsia="CalibriLight"/>
        </w:rPr>
      </w:pPr>
    </w:p>
    <w:p w14:paraId="41F34AA4" w14:textId="77777777" w:rsidR="00E04A25" w:rsidRPr="00375B25" w:rsidRDefault="00E04A25" w:rsidP="00E04A25">
      <w:pPr>
        <w:spacing w:line="276" w:lineRule="auto"/>
        <w:rPr>
          <w:rFonts w:eastAsia="CalibriLight"/>
        </w:rPr>
      </w:pPr>
      <w:r w:rsidRPr="00375B25">
        <w:rPr>
          <w:rFonts w:eastAsia="CalibriLight"/>
        </w:rPr>
        <w:t>All values are mean (standard deviation) unless specified otherwise</w:t>
      </w:r>
    </w:p>
    <w:p w14:paraId="2D834A40" w14:textId="77777777" w:rsidR="00E04A25" w:rsidRPr="00375B25" w:rsidRDefault="00E04A25" w:rsidP="00E04A25">
      <w:pPr>
        <w:spacing w:line="276" w:lineRule="auto"/>
        <w:rPr>
          <w:rFonts w:eastAsia="CalibriLight"/>
        </w:rPr>
      </w:pPr>
      <w:r w:rsidRPr="00375B25">
        <w:rPr>
          <w:rFonts w:eastAsia="CalibriLight"/>
        </w:rPr>
        <w:t>DPP, dipeptidyl peptidase; FPG, fasting plasma glucose; HbA1c, glycated haemoglobin; IGlar, insulin glargine; SGLT, sodium-glucose cotransporter; SMD, standardised mean difference</w:t>
      </w:r>
    </w:p>
    <w:p w14:paraId="20C43678" w14:textId="77777777" w:rsidR="00E04A25" w:rsidRPr="00375B25" w:rsidRDefault="00E04A25" w:rsidP="00E04A25">
      <w:pPr>
        <w:spacing w:line="276" w:lineRule="auto"/>
        <w:rPr>
          <w:rFonts w:eastAsia="CalibriLight"/>
        </w:rPr>
      </w:pPr>
      <w:r w:rsidRPr="00375B25">
        <w:rPr>
          <w:rFonts w:eastAsia="CalibriLight"/>
          <w:vertAlign w:val="superscript"/>
        </w:rPr>
        <w:t>a</w:t>
      </w:r>
      <w:r w:rsidRPr="00375B25">
        <w:rPr>
          <w:rFonts w:eastAsia="CalibriLight"/>
        </w:rPr>
        <w:t>SMD &lt;0.10 is commonly considered to signify no residual imbalance</w:t>
      </w:r>
    </w:p>
    <w:p w14:paraId="226A5C6F" w14:textId="77777777" w:rsidR="00E04A25" w:rsidRPr="00375B25" w:rsidRDefault="00E04A25" w:rsidP="00E04A25">
      <w:pPr>
        <w:spacing w:line="276" w:lineRule="auto"/>
        <w:rPr>
          <w:rFonts w:eastAsia="CalibriLight"/>
        </w:rPr>
      </w:pPr>
      <w:r w:rsidRPr="00375B25">
        <w:rPr>
          <w:rFonts w:eastAsia="CalibriLight"/>
          <w:vertAlign w:val="superscript"/>
        </w:rPr>
        <w:t>b</w:t>
      </w:r>
      <w:r w:rsidRPr="00375B25">
        <w:rPr>
          <w:rFonts w:eastAsia="CalibriLight"/>
        </w:rPr>
        <w:t>The treatments that comprise ‘oral combination therapy’ were not recorded; therefore, the percentage of patients shown as receiving metformin represents those receiving metformin as their sole oral treatment and is likely to be lower than the overall percentage receiving metformin</w:t>
      </w:r>
    </w:p>
    <w:bookmarkEnd w:id="0"/>
    <w:p w14:paraId="758B0485" w14:textId="462EB39A" w:rsidR="001F404B" w:rsidRPr="00375B25" w:rsidRDefault="001F404B" w:rsidP="00E04A25"/>
    <w:sectPr w:rsidR="001F404B" w:rsidRPr="00375B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Light">
    <w:altName w:val="Yu Gothic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3D"/>
    <w:rsid w:val="0002403D"/>
    <w:rsid w:val="001F404B"/>
    <w:rsid w:val="002C0546"/>
    <w:rsid w:val="00375B25"/>
    <w:rsid w:val="00547E50"/>
    <w:rsid w:val="00751A61"/>
    <w:rsid w:val="00E0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FCBB5"/>
  <w15:chartTrackingRefBased/>
  <w15:docId w15:val="{CAAAF4DC-468E-4047-B17A-F2DB8CA6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024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240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03D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024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40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03D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1F404B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Foster</dc:creator>
  <cp:keywords/>
  <dc:description/>
  <cp:lastModifiedBy>Chithra M.</cp:lastModifiedBy>
  <cp:revision>4</cp:revision>
  <dcterms:created xsi:type="dcterms:W3CDTF">2021-05-04T16:13:00Z</dcterms:created>
  <dcterms:modified xsi:type="dcterms:W3CDTF">2021-05-06T11:22:00Z</dcterms:modified>
</cp:coreProperties>
</file>