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keepLines w:val="true"/>
        <w:spacing w:before="0" w:after="120" w:line="360"/>
        <w:ind w:right="0" w:left="0" w:firstLine="0"/>
        <w:jc w:val="left"/>
        <w:rPr>
          <w:rFonts w:ascii="Calibri" w:hAnsi="Calibri" w:cs="Calibri" w:eastAsia="Calibri"/>
          <w:b/>
          <w:color w:val="auto"/>
          <w:spacing w:val="0"/>
          <w:position w:val="0"/>
          <w:sz w:val="40"/>
          <w:shd w:fill="auto" w:val="clear"/>
        </w:rPr>
      </w:pPr>
      <w:r>
        <w:rPr>
          <w:rFonts w:ascii="Calibri" w:hAnsi="Calibri" w:cs="Calibri" w:eastAsia="Calibri"/>
          <w:b/>
          <w:color w:val="auto"/>
          <w:spacing w:val="0"/>
          <w:position w:val="0"/>
          <w:sz w:val="40"/>
          <w:shd w:fill="auto" w:val="clear"/>
        </w:rPr>
        <w:t xml:space="preserve">Supplementary materials</w:t>
      </w:r>
    </w:p>
    <w:p>
      <w:pPr>
        <w:spacing w:before="0" w:after="220" w:line="360"/>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Characteristics, treatment patterns, and clinical outcomes of chronic hepatitis B across 3 continents: retrospective claims study</w:t>
      </w:r>
    </w:p>
    <w:p>
      <w:pPr>
        <w:spacing w:before="0" w:after="220" w:line="360"/>
        <w:ind w:right="0" w:left="0" w:firstLine="0"/>
        <w:jc w:val="left"/>
        <w:rPr>
          <w:rFonts w:ascii="Calibri" w:hAnsi="Calibri" w:cs="Calibri" w:eastAsia="Calibri"/>
          <w:color w:val="auto"/>
          <w:spacing w:val="0"/>
          <w:position w:val="0"/>
          <w:sz w:val="22"/>
          <w:shd w:fill="auto" w:val="clear"/>
          <w:vertAlign w:val="superscript"/>
        </w:rPr>
      </w:pPr>
      <w:r>
        <w:rPr>
          <w:rFonts w:ascii="Calibri" w:hAnsi="Calibri" w:cs="Calibri" w:eastAsia="Calibri"/>
          <w:color w:val="auto"/>
          <w:spacing w:val="0"/>
          <w:position w:val="0"/>
          <w:sz w:val="22"/>
          <w:shd w:fill="auto" w:val="clear"/>
        </w:rPr>
        <w:t xml:space="preserve">Iain A. Gillespie</w:t>
      </w:r>
      <w:r>
        <w:rPr>
          <w:rFonts w:ascii="Calibri" w:hAnsi="Calibri" w:cs="Calibri" w:eastAsia="Calibri"/>
          <w:color w:val="auto"/>
          <w:spacing w:val="0"/>
          <w:position w:val="0"/>
          <w:sz w:val="22"/>
          <w:shd w:fill="auto" w:val="clear"/>
          <w:vertAlign w:val="superscript"/>
        </w:rPr>
        <w:t xml:space="preserve">1</w:t>
      </w:r>
      <w:r>
        <w:rPr>
          <w:rFonts w:ascii="Calibri" w:hAnsi="Calibri" w:cs="Calibri" w:eastAsia="Calibri"/>
          <w:color w:val="auto"/>
          <w:spacing w:val="0"/>
          <w:position w:val="0"/>
          <w:sz w:val="22"/>
          <w:shd w:fill="auto" w:val="clear"/>
        </w:rPr>
        <w:t xml:space="preserve">, K. Arnold Chan</w:t>
      </w:r>
      <w:r>
        <w:rPr>
          <w:rFonts w:ascii="Calibri" w:hAnsi="Calibri" w:cs="Calibri" w:eastAsia="Calibri"/>
          <w:color w:val="auto"/>
          <w:spacing w:val="0"/>
          <w:position w:val="0"/>
          <w:sz w:val="22"/>
          <w:shd w:fill="auto" w:val="clear"/>
          <w:vertAlign w:val="superscript"/>
        </w:rPr>
        <w:t xml:space="preserve">2,3</w:t>
      </w:r>
      <w:r>
        <w:rPr>
          <w:rFonts w:ascii="Calibri" w:hAnsi="Calibri" w:cs="Calibri" w:eastAsia="Calibri"/>
          <w:color w:val="auto"/>
          <w:spacing w:val="0"/>
          <w:position w:val="0"/>
          <w:sz w:val="22"/>
          <w:shd w:fill="auto" w:val="clear"/>
        </w:rPr>
        <w:t xml:space="preserve">, Yunhao Liu</w:t>
      </w:r>
      <w:r>
        <w:rPr>
          <w:rFonts w:ascii="Calibri" w:hAnsi="Calibri" w:cs="Calibri" w:eastAsia="Calibri"/>
          <w:color w:val="auto"/>
          <w:spacing w:val="0"/>
          <w:position w:val="0"/>
          <w:sz w:val="22"/>
          <w:shd w:fill="auto" w:val="clear"/>
          <w:vertAlign w:val="superscript"/>
        </w:rPr>
        <w:t xml:space="preserve">4</w:t>
      </w:r>
      <w:r>
        <w:rPr>
          <w:rFonts w:ascii="Calibri" w:hAnsi="Calibri" w:cs="Calibri" w:eastAsia="Calibri"/>
          <w:color w:val="auto"/>
          <w:spacing w:val="0"/>
          <w:position w:val="0"/>
          <w:sz w:val="22"/>
          <w:shd w:fill="auto" w:val="clear"/>
        </w:rPr>
        <w:t xml:space="preserve">, Shu-Feng Hsieh</w:t>
      </w:r>
      <w:r>
        <w:rPr>
          <w:rFonts w:ascii="Calibri" w:hAnsi="Calibri" w:cs="Calibri" w:eastAsia="Calibri"/>
          <w:color w:val="auto"/>
          <w:spacing w:val="0"/>
          <w:position w:val="0"/>
          <w:sz w:val="22"/>
          <w:shd w:fill="auto" w:val="clear"/>
          <w:vertAlign w:val="superscript"/>
        </w:rPr>
        <w:t xml:space="preserve">2</w:t>
      </w:r>
      <w:r>
        <w:rPr>
          <w:rFonts w:ascii="Calibri" w:hAnsi="Calibri" w:cs="Calibri" w:eastAsia="Calibri"/>
          <w:color w:val="auto"/>
          <w:spacing w:val="0"/>
          <w:position w:val="0"/>
          <w:sz w:val="22"/>
          <w:shd w:fill="auto" w:val="clear"/>
        </w:rPr>
        <w:t xml:space="preserve">, Christian Schindler</w:t>
      </w:r>
      <w:r>
        <w:rPr>
          <w:rFonts w:ascii="Calibri" w:hAnsi="Calibri" w:cs="Calibri" w:eastAsia="Calibri"/>
          <w:color w:val="auto"/>
          <w:spacing w:val="0"/>
          <w:position w:val="0"/>
          <w:sz w:val="22"/>
          <w:shd w:fill="auto" w:val="clear"/>
          <w:vertAlign w:val="superscript"/>
        </w:rPr>
        <w:t xml:space="preserve">5</w:t>
      </w:r>
      <w:r>
        <w:rPr>
          <w:rFonts w:ascii="Calibri" w:hAnsi="Calibri" w:cs="Calibri" w:eastAsia="Calibri"/>
          <w:color w:val="auto"/>
          <w:spacing w:val="0"/>
          <w:position w:val="0"/>
          <w:sz w:val="22"/>
          <w:shd w:fill="auto" w:val="clear"/>
        </w:rPr>
        <w:t xml:space="preserve">, Wendy Cheng</w:t>
      </w:r>
      <w:r>
        <w:rPr>
          <w:rFonts w:ascii="Calibri" w:hAnsi="Calibri" w:cs="Calibri" w:eastAsia="Calibri"/>
          <w:color w:val="auto"/>
          <w:spacing w:val="0"/>
          <w:position w:val="0"/>
          <w:sz w:val="22"/>
          <w:shd w:fill="auto" w:val="clear"/>
          <w:vertAlign w:val="superscript"/>
        </w:rPr>
        <w:t xml:space="preserve">6</w:t>
      </w:r>
      <w:r>
        <w:rPr>
          <w:rFonts w:ascii="Calibri" w:hAnsi="Calibri" w:cs="Calibri" w:eastAsia="Calibri"/>
          <w:color w:val="auto"/>
          <w:spacing w:val="0"/>
          <w:position w:val="0"/>
          <w:sz w:val="22"/>
          <w:shd w:fill="auto" w:val="clear"/>
        </w:rPr>
        <w:t xml:space="preserve">, Rose Chang</w:t>
      </w:r>
      <w:r>
        <w:rPr>
          <w:rFonts w:ascii="Calibri" w:hAnsi="Calibri" w:cs="Calibri" w:eastAsia="Calibri"/>
          <w:color w:val="auto"/>
          <w:spacing w:val="0"/>
          <w:position w:val="0"/>
          <w:sz w:val="22"/>
          <w:shd w:fill="auto" w:val="clear"/>
          <w:vertAlign w:val="superscript"/>
        </w:rPr>
        <w:t xml:space="preserve">6</w:t>
      </w:r>
      <w:r>
        <w:rPr>
          <w:rFonts w:ascii="Calibri" w:hAnsi="Calibri" w:cs="Calibri" w:eastAsia="Calibri"/>
          <w:color w:val="auto"/>
          <w:spacing w:val="0"/>
          <w:position w:val="0"/>
          <w:sz w:val="22"/>
          <w:shd w:fill="auto" w:val="clear"/>
        </w:rPr>
        <w:t xml:space="preserve">, Elisabeth Kap</w:t>
      </w:r>
      <w:r>
        <w:rPr>
          <w:rFonts w:ascii="Calibri" w:hAnsi="Calibri" w:cs="Calibri" w:eastAsia="Calibri"/>
          <w:color w:val="auto"/>
          <w:spacing w:val="0"/>
          <w:position w:val="0"/>
          <w:sz w:val="22"/>
          <w:shd w:fill="auto" w:val="clear"/>
          <w:vertAlign w:val="superscript"/>
        </w:rPr>
        <w:t xml:space="preserve">7</w:t>
      </w:r>
      <w:r>
        <w:rPr>
          <w:rFonts w:ascii="Calibri" w:hAnsi="Calibri" w:cs="Calibri" w:eastAsia="Calibri"/>
          <w:color w:val="auto"/>
          <w:spacing w:val="0"/>
          <w:position w:val="0"/>
          <w:sz w:val="22"/>
          <w:shd w:fill="auto" w:val="clear"/>
        </w:rPr>
        <w:t xml:space="preserve">, Eleonora Morais</w:t>
      </w:r>
      <w:r>
        <w:rPr>
          <w:rFonts w:ascii="Calibri" w:hAnsi="Calibri" w:cs="Calibri" w:eastAsia="Calibri"/>
          <w:color w:val="auto"/>
          <w:spacing w:val="0"/>
          <w:position w:val="0"/>
          <w:sz w:val="22"/>
          <w:shd w:fill="auto" w:val="clear"/>
          <w:vertAlign w:val="superscript"/>
        </w:rPr>
        <w:t xml:space="preserve">1</w:t>
      </w:r>
      <w:r>
        <w:rPr>
          <w:rFonts w:ascii="Calibri" w:hAnsi="Calibri" w:cs="Calibri" w:eastAsia="Calibri"/>
          <w:color w:val="auto"/>
          <w:spacing w:val="0"/>
          <w:position w:val="0"/>
          <w:sz w:val="22"/>
          <w:shd w:fill="auto" w:val="clear"/>
        </w:rPr>
        <w:t xml:space="preserve">, Mei Sheng Duh</w:t>
      </w:r>
      <w:r>
        <w:rPr>
          <w:rFonts w:ascii="Calibri" w:hAnsi="Calibri" w:cs="Calibri" w:eastAsia="Calibri"/>
          <w:color w:val="auto"/>
          <w:spacing w:val="0"/>
          <w:position w:val="0"/>
          <w:sz w:val="22"/>
          <w:shd w:fill="auto" w:val="clear"/>
          <w:vertAlign w:val="superscript"/>
        </w:rPr>
        <w:t xml:space="preserve">6</w:t>
      </w:r>
      <w:r>
        <w:rPr>
          <w:rFonts w:ascii="Calibri" w:hAnsi="Calibri" w:cs="Calibri" w:eastAsia="Calibri"/>
          <w:color w:val="auto"/>
          <w:spacing w:val="0"/>
          <w:position w:val="0"/>
          <w:sz w:val="22"/>
          <w:shd w:fill="auto" w:val="clear"/>
        </w:rPr>
        <w:t xml:space="preserve">, Suna Park</w:t>
      </w:r>
      <w:r>
        <w:rPr>
          <w:rFonts w:ascii="Calibri" w:hAnsi="Calibri" w:cs="Calibri" w:eastAsia="Calibri"/>
          <w:color w:val="auto"/>
          <w:spacing w:val="0"/>
          <w:position w:val="0"/>
          <w:sz w:val="22"/>
          <w:shd w:fill="auto" w:val="clear"/>
          <w:vertAlign w:val="superscript"/>
        </w:rPr>
        <w:t xml:space="preserve">6</w:t>
      </w:r>
      <w:r>
        <w:rPr>
          <w:rFonts w:ascii="Calibri" w:hAnsi="Calibri" w:cs="Calibri" w:eastAsia="Calibri"/>
          <w:color w:val="auto"/>
          <w:spacing w:val="0"/>
          <w:position w:val="0"/>
          <w:sz w:val="22"/>
          <w:shd w:fill="auto" w:val="clear"/>
        </w:rPr>
        <w:t xml:space="preserve">, Miriam Ketz</w:t>
      </w:r>
      <w:r>
        <w:rPr>
          <w:rFonts w:ascii="Calibri" w:hAnsi="Calibri" w:cs="Calibri" w:eastAsia="Calibri"/>
          <w:color w:val="auto"/>
          <w:spacing w:val="0"/>
          <w:position w:val="0"/>
          <w:sz w:val="22"/>
          <w:shd w:fill="auto" w:val="clear"/>
          <w:vertAlign w:val="superscript"/>
        </w:rPr>
        <w:t xml:space="preserve">8</w:t>
      </w:r>
      <w:r>
        <w:rPr>
          <w:rFonts w:ascii="Calibri" w:hAnsi="Calibri" w:cs="Calibri" w:eastAsia="Calibri"/>
          <w:color w:val="auto"/>
          <w:spacing w:val="0"/>
          <w:position w:val="0"/>
          <w:sz w:val="22"/>
          <w:shd w:fill="auto" w:val="clear"/>
        </w:rPr>
        <w:t xml:space="preserve">, Sarah Jenner,</w:t>
      </w:r>
      <w:r>
        <w:rPr>
          <w:rFonts w:ascii="Calibri" w:hAnsi="Calibri" w:cs="Calibri" w:eastAsia="Calibri"/>
          <w:color w:val="auto"/>
          <w:spacing w:val="0"/>
          <w:position w:val="0"/>
          <w:sz w:val="22"/>
          <w:shd w:fill="auto" w:val="clear"/>
          <w:vertAlign w:val="superscript"/>
        </w:rPr>
        <w:t xml:space="preserve">9</w:t>
      </w:r>
      <w:r>
        <w:rPr>
          <w:rFonts w:ascii="Calibri" w:hAnsi="Calibri" w:cs="Calibri" w:eastAsia="Calibri"/>
          <w:color w:val="auto"/>
          <w:spacing w:val="0"/>
          <w:position w:val="0"/>
          <w:sz w:val="22"/>
          <w:shd w:fill="auto" w:val="clear"/>
        </w:rPr>
        <w:t xml:space="preserve"> Naomi Boxall</w:t>
      </w:r>
      <w:r>
        <w:rPr>
          <w:rFonts w:ascii="Calibri" w:hAnsi="Calibri" w:cs="Calibri" w:eastAsia="Calibri"/>
          <w:color w:val="auto"/>
          <w:spacing w:val="0"/>
          <w:position w:val="0"/>
          <w:sz w:val="22"/>
          <w:shd w:fill="auto" w:val="clear"/>
          <w:vertAlign w:val="superscript"/>
        </w:rPr>
        <w:t xml:space="preserve">9</w:t>
      </w:r>
      <w:r>
        <w:rPr>
          <w:rFonts w:ascii="Calibri" w:hAnsi="Calibri" w:cs="Calibri" w:eastAsia="Calibri"/>
          <w:color w:val="auto"/>
          <w:spacing w:val="0"/>
          <w:position w:val="0"/>
          <w:sz w:val="22"/>
          <w:shd w:fill="auto" w:val="clear"/>
        </w:rPr>
        <w:t xml:space="preserve">, Stuart Kendrick</w:t>
      </w:r>
      <w:r>
        <w:rPr>
          <w:rFonts w:ascii="Calibri" w:hAnsi="Calibri" w:cs="Calibri" w:eastAsia="Calibri"/>
          <w:color w:val="auto"/>
          <w:spacing w:val="0"/>
          <w:position w:val="0"/>
          <w:sz w:val="22"/>
          <w:shd w:fill="auto" w:val="clear"/>
          <w:vertAlign w:val="superscript"/>
        </w:rPr>
        <w:t xml:space="preserve">10</w:t>
      </w:r>
      <w:r>
        <w:rPr>
          <w:rFonts w:ascii="Calibri" w:hAnsi="Calibri" w:cs="Calibri" w:eastAsia="Calibri"/>
          <w:color w:val="auto"/>
          <w:spacing w:val="0"/>
          <w:position w:val="0"/>
          <w:sz w:val="22"/>
          <w:shd w:fill="auto" w:val="clear"/>
        </w:rPr>
        <w:t xml:space="preserve">, Dickens Theodore</w:t>
      </w:r>
      <w:r>
        <w:rPr>
          <w:rFonts w:ascii="Calibri" w:hAnsi="Calibri" w:cs="Calibri" w:eastAsia="Calibri"/>
          <w:color w:val="auto"/>
          <w:spacing w:val="0"/>
          <w:position w:val="0"/>
          <w:sz w:val="22"/>
          <w:shd w:fill="auto" w:val="clear"/>
          <w:vertAlign w:val="superscript"/>
        </w:rPr>
        <w:t xml:space="preserve">11</w:t>
      </w:r>
    </w:p>
    <w:p>
      <w:pPr>
        <w:spacing w:before="0" w:after="22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Affiliations:</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vertAlign w:val="superscript"/>
        </w:rPr>
        <w:t xml:space="preserve">1</w:t>
      </w:r>
      <w:r>
        <w:rPr>
          <w:rFonts w:ascii="Calibri" w:hAnsi="Calibri" w:cs="Calibri" w:eastAsia="Calibri"/>
          <w:color w:val="auto"/>
          <w:spacing w:val="0"/>
          <w:position w:val="0"/>
          <w:sz w:val="22"/>
          <w:shd w:fill="auto" w:val="clear"/>
        </w:rPr>
        <w:t xml:space="preserve">Epidemiology, Value Evidence &amp; Outcomes, GSK, London, UK; </w:t>
      </w:r>
      <w:r>
        <w:rPr>
          <w:rFonts w:ascii="Calibri" w:hAnsi="Calibri" w:cs="Calibri" w:eastAsia="Calibri"/>
          <w:color w:val="auto"/>
          <w:spacing w:val="0"/>
          <w:position w:val="0"/>
          <w:sz w:val="22"/>
          <w:shd w:fill="auto" w:val="clear"/>
          <w:vertAlign w:val="superscript"/>
        </w:rPr>
        <w:t xml:space="preserve">2</w:t>
      </w:r>
      <w:r>
        <w:rPr>
          <w:rFonts w:ascii="Calibri" w:hAnsi="Calibri" w:cs="Calibri" w:eastAsia="Calibri"/>
          <w:color w:val="auto"/>
          <w:spacing w:val="0"/>
          <w:position w:val="0"/>
          <w:sz w:val="22"/>
          <w:shd w:fill="auto" w:val="clear"/>
        </w:rPr>
        <w:t xml:space="preserve">Health Data Research Center, National Taiwan University, Taipei, Taiwan; </w:t>
      </w:r>
      <w:r>
        <w:rPr>
          <w:rFonts w:ascii="Calibri" w:hAnsi="Calibri" w:cs="Calibri" w:eastAsia="Calibri"/>
          <w:color w:val="auto"/>
          <w:spacing w:val="0"/>
          <w:position w:val="0"/>
          <w:sz w:val="22"/>
          <w:shd w:fill="auto" w:val="clear"/>
          <w:vertAlign w:val="superscript"/>
        </w:rPr>
        <w:t xml:space="preserve">3</w:t>
      </w:r>
      <w:r>
        <w:rPr>
          <w:rFonts w:ascii="Calibri" w:hAnsi="Calibri" w:cs="Calibri" w:eastAsia="Calibri"/>
          <w:color w:val="auto"/>
          <w:spacing w:val="0"/>
          <w:position w:val="0"/>
          <w:sz w:val="22"/>
          <w:shd w:fill="auto" w:val="clear"/>
        </w:rPr>
        <w:t xml:space="preserve">College of Medicine, National Taiwan University, Taipei, Taiwan; </w:t>
      </w:r>
      <w:r>
        <w:rPr>
          <w:rFonts w:ascii="Calibri" w:hAnsi="Calibri" w:cs="Calibri" w:eastAsia="Calibri"/>
          <w:color w:val="auto"/>
          <w:spacing w:val="0"/>
          <w:position w:val="0"/>
          <w:sz w:val="22"/>
          <w:shd w:fill="auto" w:val="clear"/>
          <w:vertAlign w:val="superscript"/>
        </w:rPr>
        <w:t xml:space="preserve">4</w:t>
      </w:r>
      <w:r>
        <w:rPr>
          <w:rFonts w:ascii="Calibri" w:hAnsi="Calibri" w:cs="Calibri" w:eastAsia="Calibri"/>
          <w:color w:val="auto"/>
          <w:spacing w:val="0"/>
          <w:position w:val="0"/>
          <w:sz w:val="22"/>
          <w:shd w:fill="auto" w:val="clear"/>
        </w:rPr>
        <w:t xml:space="preserve">VEO Data, Methods, and Analytics, GlaxoSmithKline, Collegeville, PA, USA; </w:t>
      </w:r>
      <w:r>
        <w:rPr>
          <w:rFonts w:ascii="Calibri" w:hAnsi="Calibri" w:cs="Calibri" w:eastAsia="Calibri"/>
          <w:color w:val="auto"/>
          <w:spacing w:val="0"/>
          <w:position w:val="0"/>
          <w:sz w:val="22"/>
          <w:shd w:fill="auto" w:val="clear"/>
          <w:vertAlign w:val="superscript"/>
        </w:rPr>
        <w:t xml:space="preserve">5</w:t>
      </w:r>
      <w:r>
        <w:rPr>
          <w:rFonts w:ascii="Calibri" w:hAnsi="Calibri" w:cs="Calibri" w:eastAsia="Calibri"/>
          <w:color w:val="auto"/>
          <w:spacing w:val="0"/>
          <w:position w:val="0"/>
          <w:sz w:val="22"/>
          <w:shd w:fill="auto" w:val="clear"/>
        </w:rPr>
        <w:t xml:space="preserve">WIG2 Scientific Institute for Health Economics and Health System Research, Leipzig, Germany; </w:t>
      </w:r>
      <w:r>
        <w:rPr>
          <w:rFonts w:ascii="Calibri" w:hAnsi="Calibri" w:cs="Calibri" w:eastAsia="Calibri"/>
          <w:color w:val="auto"/>
          <w:spacing w:val="0"/>
          <w:position w:val="0"/>
          <w:sz w:val="22"/>
          <w:shd w:fill="auto" w:val="clear"/>
          <w:vertAlign w:val="superscript"/>
        </w:rPr>
        <w:t xml:space="preserve">6</w:t>
      </w:r>
      <w:r>
        <w:rPr>
          <w:rFonts w:ascii="Calibri" w:hAnsi="Calibri" w:cs="Calibri" w:eastAsia="Calibri"/>
          <w:color w:val="auto"/>
          <w:spacing w:val="0"/>
          <w:position w:val="0"/>
          <w:sz w:val="22"/>
          <w:shd w:fill="auto" w:val="clear"/>
        </w:rPr>
        <w:t xml:space="preserve">Analysis Group, Inc., Boston, MA, USA; </w:t>
      </w:r>
      <w:r>
        <w:rPr>
          <w:rFonts w:ascii="Calibri" w:hAnsi="Calibri" w:cs="Calibri" w:eastAsia="Calibri"/>
          <w:color w:val="auto"/>
          <w:spacing w:val="0"/>
          <w:position w:val="0"/>
          <w:sz w:val="22"/>
          <w:shd w:fill="auto" w:val="clear"/>
          <w:vertAlign w:val="superscript"/>
        </w:rPr>
        <w:t xml:space="preserve">7</w:t>
      </w:r>
      <w:r>
        <w:rPr>
          <w:rFonts w:ascii="Calibri" w:hAnsi="Calibri" w:cs="Calibri" w:eastAsia="Calibri"/>
          <w:color w:val="auto"/>
          <w:spacing w:val="0"/>
          <w:position w:val="0"/>
          <w:sz w:val="22"/>
          <w:shd w:fill="auto" w:val="clear"/>
        </w:rPr>
        <w:t xml:space="preserve">IQVIA Commercial GmbH &amp; Co. Frankfurt, Germany; </w:t>
      </w:r>
      <w:r>
        <w:rPr>
          <w:rFonts w:ascii="Calibri" w:hAnsi="Calibri" w:cs="Calibri" w:eastAsia="Calibri"/>
          <w:color w:val="auto"/>
          <w:spacing w:val="0"/>
          <w:position w:val="0"/>
          <w:sz w:val="22"/>
          <w:shd w:fill="auto" w:val="clear"/>
          <w:vertAlign w:val="superscript"/>
        </w:rPr>
        <w:t xml:space="preserve">8</w:t>
      </w:r>
      <w:r>
        <w:rPr>
          <w:rFonts w:ascii="Calibri" w:hAnsi="Calibri" w:cs="Calibri" w:eastAsia="Calibri"/>
          <w:color w:val="auto"/>
          <w:spacing w:val="0"/>
          <w:position w:val="0"/>
          <w:sz w:val="22"/>
          <w:shd w:fill="auto" w:val="clear"/>
        </w:rPr>
        <w:t xml:space="preserve">DtoD - Data to Decision - AG, Hamburg, Germany; </w:t>
      </w:r>
      <w:r>
        <w:rPr>
          <w:rFonts w:ascii="Calibri" w:hAnsi="Calibri" w:cs="Calibri" w:eastAsia="Calibri"/>
          <w:color w:val="auto"/>
          <w:spacing w:val="0"/>
          <w:position w:val="0"/>
          <w:sz w:val="22"/>
          <w:shd w:fill="auto" w:val="clear"/>
          <w:vertAlign w:val="superscript"/>
        </w:rPr>
        <w:t xml:space="preserve"> 9</w:t>
      </w:r>
      <w:r>
        <w:rPr>
          <w:rFonts w:ascii="Calibri" w:hAnsi="Calibri" w:cs="Calibri" w:eastAsia="Calibri"/>
          <w:color w:val="auto"/>
          <w:spacing w:val="0"/>
          <w:position w:val="0"/>
          <w:sz w:val="22"/>
          <w:shd w:fill="auto" w:val="clear"/>
        </w:rPr>
        <w:t xml:space="preserve">Real World Solutions, IQVIA, London, UK;</w:t>
      </w:r>
      <w:r>
        <w:rPr>
          <w:rFonts w:ascii="Calibri" w:hAnsi="Calibri" w:cs="Calibri" w:eastAsia="Calibri"/>
          <w:color w:val="auto"/>
          <w:spacing w:val="0"/>
          <w:position w:val="0"/>
          <w:sz w:val="22"/>
          <w:shd w:fill="auto" w:val="clear"/>
          <w:vertAlign w:val="superscript"/>
        </w:rPr>
        <w:t xml:space="preserve"> 10</w:t>
      </w:r>
      <w:r>
        <w:rPr>
          <w:rFonts w:ascii="Calibri" w:hAnsi="Calibri" w:cs="Calibri" w:eastAsia="Calibri"/>
          <w:color w:val="auto"/>
          <w:spacing w:val="0"/>
          <w:position w:val="0"/>
          <w:sz w:val="22"/>
          <w:shd w:fill="auto" w:val="clear"/>
        </w:rPr>
        <w:t xml:space="preserve">GSK, Stevenage, UK; </w:t>
      </w:r>
      <w:r>
        <w:rPr>
          <w:rFonts w:ascii="Calibri" w:hAnsi="Calibri" w:cs="Calibri" w:eastAsia="Calibri"/>
          <w:color w:val="auto"/>
          <w:spacing w:val="0"/>
          <w:position w:val="0"/>
          <w:sz w:val="22"/>
          <w:shd w:fill="auto" w:val="clear"/>
          <w:vertAlign w:val="superscript"/>
        </w:rPr>
        <w:t xml:space="preserve">11</w:t>
      </w:r>
      <w:r>
        <w:rPr>
          <w:rFonts w:ascii="Calibri" w:hAnsi="Calibri" w:cs="Calibri" w:eastAsia="Calibri"/>
          <w:color w:val="auto"/>
          <w:spacing w:val="0"/>
          <w:position w:val="0"/>
          <w:sz w:val="22"/>
          <w:shd w:fill="auto" w:val="clear"/>
        </w:rPr>
        <w:t xml:space="preserve">GlaxoSmithKline, Research Triangle Park, North Carolina, USA.</w:t>
      </w:r>
    </w:p>
    <w:p>
      <w:pPr>
        <w:spacing w:before="0" w:after="220" w:line="360"/>
        <w:ind w:right="0" w:left="0" w:firstLine="0"/>
        <w:jc w:val="left"/>
        <w:rPr>
          <w:rFonts w:ascii="Calibri" w:hAnsi="Calibri" w:cs="Calibri" w:eastAsia="Calibri"/>
          <w:color w:val="auto"/>
          <w:spacing w:val="0"/>
          <w:position w:val="0"/>
          <w:sz w:val="22"/>
          <w:u w:val="single"/>
          <w:shd w:fill="auto" w:val="clear"/>
        </w:rPr>
      </w:pPr>
      <w:r>
        <w:rPr>
          <w:rFonts w:ascii="Calibri" w:hAnsi="Calibri" w:cs="Calibri" w:eastAsia="Calibri"/>
          <w:b/>
          <w:color w:val="auto"/>
          <w:spacing w:val="0"/>
          <w:position w:val="0"/>
          <w:sz w:val="22"/>
          <w:shd w:fill="auto" w:val="clear"/>
        </w:rPr>
        <w:t xml:space="preserve">Corresponding author:</w:t>
      </w:r>
      <w:r>
        <w:rPr>
          <w:rFonts w:ascii="Calibri" w:hAnsi="Calibri" w:cs="Calibri" w:eastAsia="Calibri"/>
          <w:color w:val="auto"/>
          <w:spacing w:val="0"/>
          <w:position w:val="0"/>
          <w:sz w:val="22"/>
          <w:shd w:fill="auto" w:val="clear"/>
        </w:rPr>
        <w:t xml:space="preserve"> Eleonora Morais; Epidemiology, Value Evidence &amp; Outcomes, GSK, 980 Great West Rd, London TW8 9GS, UK; eleonora.x.morais@gsk.com</w:t>
      </w:r>
    </w:p>
    <w:p>
      <w:pPr>
        <w:spacing w:before="0" w:after="220" w:line="360"/>
        <w:ind w:right="0" w:left="0" w:firstLine="0"/>
        <w:jc w:val="left"/>
        <w:rPr>
          <w:rFonts w:ascii="Calibri" w:hAnsi="Calibri" w:cs="Calibri" w:eastAsia="Calibri"/>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1. Diagnostic codes</w:t>
      </w:r>
      <w:r>
        <w:rPr>
          <w:rFonts w:ascii="Arial" w:hAnsi="Arial" w:cs="Arial" w:eastAsia="Arial"/>
          <w:b/>
          <w:color w:val="auto"/>
          <w:spacing w:val="0"/>
          <w:position w:val="0"/>
          <w:sz w:val="24"/>
          <w:shd w:fill="auto" w:val="clear"/>
        </w:rPr>
        <w:t xml:space="preserve">.</w:t>
      </w:r>
    </w:p>
    <w:tbl>
      <w:tblPr/>
      <w:tblGrid>
        <w:gridCol w:w="1209"/>
        <w:gridCol w:w="912"/>
        <w:gridCol w:w="843"/>
        <w:gridCol w:w="7845"/>
      </w:tblGrid>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Schema</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Chronic</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Code</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Description</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070.2</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Viral Hepatitis B With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070.20</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Viral Hepatitis B With Hepatic Coma Acute Or Unspecified Without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070.21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Viral Hepatitis B With Hepatic Coma Acute Or Unspecified With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070.22</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Chronic Viral Hepatitis B With Hepatic Coma Without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070.23</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Chronic Viral Hepatitis B With Hepatic Coma With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070.3</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Viral Hepatitis B Without Mention Of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070.30</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Viral Hepatitis B Without Hepatic Coma Acute Or Unspecified Without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070.31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Viral Hepatitis B Without Hepatic Coma Acute Or Unspecified With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070.32</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Chronic Viral Hepatitis B Without Hepatic Coma Without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070.33</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Chronic Viral Hepatitis B Without Hepatic Coma With Hepatitis Delta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ICD-9</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V02.61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Hepatitis B Carrier</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B16.0</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Acute Hepatitis B With Delta-Agent With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B16.1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Acute Hepatitis B With Delta-Agent Without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B16.2</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Acute Hepatitis B Without Delta-Agent With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B16.9</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Acute Hepatitis B Without Delta-Agent And Without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B18.0</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Chronic Viral Hepatitis B With Delta-Agent</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B18.1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Chronic Viral Hepatitis B Without Delta-Agent</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B19.10</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Unspecified Viral Hepatitis B Without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B19.11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Unspecified Viral Hepatitis B With Hepatic Coma</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ICD-10-CM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Z22.51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Carrier Of Viral Hepatitis B</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ICD-10-GM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B16</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Akute Virushepatitis B</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ICD-10-GM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B18.0</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Chronische Virushepatitis B Mit Delta-Virus</w:t>
            </w:r>
          </w:p>
        </w:tc>
      </w:tr>
      <w:tr>
        <w:trPr>
          <w:trHeight w:val="300" w:hRule="auto"/>
          <w:jc w:val="left"/>
        </w:trPr>
        <w:tc>
          <w:tcPr>
            <w:tcW w:w="12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ICD-10-GM</w:t>
            </w:r>
          </w:p>
        </w:tc>
        <w:tc>
          <w:tcPr>
            <w:tcW w:w="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w:t>
            </w:r>
          </w:p>
        </w:tc>
        <w:tc>
          <w:tcPr>
            <w:tcW w:w="84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B18.1</w:t>
            </w:r>
          </w:p>
        </w:tc>
        <w:tc>
          <w:tcPr>
            <w:tcW w:w="78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Chronische Virushepatitis B Ohne Delta-Virus</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ICD, International Classification of Diseases.</w:t>
      </w: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2. Feasibility study to inform on Chronic HBV coding strategy</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Three coding definitions…</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57"/>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GSK (clinical coder)</w:t>
      </w:r>
    </w:p>
    <w:p>
      <w:pPr>
        <w:numPr>
          <w:ilvl w:val="0"/>
          <w:numId w:val="57"/>
        </w:numPr>
        <w:spacing w:before="0" w:after="0" w:line="240"/>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070.22, 070.23, 070.32, 070.33</w:t>
      </w:r>
    </w:p>
    <w:p>
      <w:pPr>
        <w:numPr>
          <w:ilvl w:val="0"/>
          <w:numId w:val="57"/>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Chen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Chen CI, </w:t>
        </w:r>
        <w:r>
          <w:rPr>
            <w:rFonts w:ascii="Calibri" w:hAnsi="Calibri" w:cs="Calibri" w:eastAsia="Calibri"/>
            <w:i/>
            <w:color w:val="0000FF"/>
            <w:spacing w:val="0"/>
            <w:position w:val="0"/>
            <w:sz w:val="22"/>
            <w:u w:val="single"/>
            <w:shd w:fill="auto" w:val="clear"/>
          </w:rPr>
          <w:t xml:space="preserve"> HYPERLINK "https://doi.org/10.1097/md.0000000000000462"</w:t>
        </w:r>
        <w:r>
          <w:rPr>
            <w:rFonts w:ascii="Calibri" w:hAnsi="Calibri" w:cs="Calibri" w:eastAsia="Calibri"/>
            <w:i/>
            <w:color w:val="0000FF"/>
            <w:spacing w:val="0"/>
            <w:position w:val="0"/>
            <w:sz w:val="22"/>
            <w:u w:val="single"/>
            <w:shd w:fill="auto" w:val="clear"/>
          </w:rPr>
          <w:t xml:space="preserve">et al</w:t>
        </w:r>
        <w:r>
          <w:rPr>
            <w:rFonts w:ascii="Calibri" w:hAnsi="Calibri" w:cs="Calibri" w:eastAsia="Calibri"/>
            <w:color w:val="0000FF"/>
            <w:spacing w:val="0"/>
            <w:position w:val="0"/>
            <w:sz w:val="22"/>
            <w:u w:val="single"/>
            <w:shd w:fill="auto" w:val="clear"/>
          </w:rPr>
          <w:t xml:space="preserve"> HYPERLINK "https://doi.org/10.1097/md.0000000000000462"</w:t>
        </w:r>
        <w:r>
          <w:rPr>
            <w:rFonts w:ascii="Calibri" w:hAnsi="Calibri" w:cs="Calibri" w:eastAsia="Calibri"/>
            <w:color w:val="0000FF"/>
            <w:spacing w:val="0"/>
            <w:position w:val="0"/>
            <w:sz w:val="22"/>
            <w:u w:val="single"/>
            <w:shd w:fill="auto" w:val="clear"/>
          </w:rPr>
          <w:t xml:space="preserve">. Medicine. 2015</w:t>
        </w:r>
      </w:hyperlink>
      <w:r>
        <w:rPr>
          <w:rFonts w:ascii="Calibri" w:hAnsi="Calibri" w:cs="Calibri" w:eastAsia="Calibri"/>
          <w:color w:val="auto"/>
          <w:spacing w:val="0"/>
          <w:position w:val="0"/>
          <w:sz w:val="22"/>
          <w:shd w:fill="auto" w:val="clear"/>
        </w:rPr>
        <w:t xml:space="preserve">)</w:t>
      </w:r>
    </w:p>
    <w:p>
      <w:pPr>
        <w:numPr>
          <w:ilvl w:val="0"/>
          <w:numId w:val="57"/>
        </w:numPr>
        <w:spacing w:before="0" w:after="0" w:line="240"/>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 least two medical claims (inpatient or outpatient) with a diagnosis code for CHB (ICD-9-CM codes: 070.22, 070.23, 070.32, 070.33, V02.61) within 12 months</w:t>
      </w:r>
    </w:p>
    <w:p>
      <w:pPr>
        <w:numPr>
          <w:ilvl w:val="0"/>
          <w:numId w:val="57"/>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Han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Han SH, </w:t>
        </w:r>
        <w:r>
          <w:rPr>
            <w:rFonts w:ascii="Calibri" w:hAnsi="Calibri" w:cs="Calibri" w:eastAsia="Calibri"/>
            <w:i/>
            <w:color w:val="0000FF"/>
            <w:spacing w:val="0"/>
            <w:position w:val="0"/>
            <w:sz w:val="22"/>
            <w:u w:val="single"/>
            <w:shd w:fill="auto" w:val="clear"/>
          </w:rPr>
          <w:t xml:space="preserve"> HYPERLINK "https://doi.org/10.3111/13696998.2012.710690"</w:t>
        </w:r>
        <w:r>
          <w:rPr>
            <w:rFonts w:ascii="Calibri" w:hAnsi="Calibri" w:cs="Calibri" w:eastAsia="Calibri"/>
            <w:i/>
            <w:color w:val="0000FF"/>
            <w:spacing w:val="0"/>
            <w:position w:val="0"/>
            <w:sz w:val="22"/>
            <w:u w:val="single"/>
            <w:shd w:fill="auto" w:val="clear"/>
          </w:rPr>
          <w:t xml:space="preserve">et al</w:t>
        </w:r>
        <w:r>
          <w:rPr>
            <w:rFonts w:ascii="Calibri" w:hAnsi="Calibri" w:cs="Calibri" w:eastAsia="Calibri"/>
            <w:color w:val="0000FF"/>
            <w:spacing w:val="0"/>
            <w:position w:val="0"/>
            <w:sz w:val="22"/>
            <w:u w:val="single"/>
            <w:shd w:fill="auto" w:val="clear"/>
          </w:rPr>
          <w:t xml:space="preserve"> HYPERLINK "https://doi.org/10.3111/13696998.2012.710690"</w:t>
        </w:r>
        <w:r>
          <w:rPr>
            <w:rFonts w:ascii="Calibri" w:hAnsi="Calibri" w:cs="Calibri" w:eastAsia="Calibri"/>
            <w:color w:val="0000FF"/>
            <w:spacing w:val="0"/>
            <w:position w:val="0"/>
            <w:sz w:val="22"/>
            <w:u w:val="single"/>
            <w:shd w:fill="auto" w:val="clear"/>
          </w:rPr>
          <w:t xml:space="preserve">. J Med Econ. 2012</w:t>
        </w:r>
      </w:hyperlink>
      <w:r>
        <w:rPr>
          <w:rFonts w:ascii="Calibri" w:hAnsi="Calibri" w:cs="Calibri" w:eastAsia="Calibri"/>
          <w:color w:val="auto"/>
          <w:spacing w:val="0"/>
          <w:position w:val="0"/>
          <w:sz w:val="22"/>
          <w:shd w:fill="auto" w:val="clear"/>
        </w:rPr>
        <w:t xml:space="preserve">)</w:t>
      </w:r>
    </w:p>
    <w:p>
      <w:pPr>
        <w:numPr>
          <w:ilvl w:val="0"/>
          <w:numId w:val="57"/>
        </w:numPr>
        <w:spacing w:before="0" w:after="0" w:line="240"/>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 least one CHB diagnosis code (ICD-9-CM: 070.22, 070.23, 070.32, 070.33), or</w:t>
      </w:r>
    </w:p>
    <w:p>
      <w:pPr>
        <w:numPr>
          <w:ilvl w:val="0"/>
          <w:numId w:val="57"/>
        </w:numPr>
        <w:spacing w:before="0" w:after="0" w:line="240"/>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Two or more claims at least 6 months apart with a diagnosis code for non-chronic hepatitis B (ICD-9-CM: 070.2, 070.20, 070.21, 070.3, 070.30, 070.31 and V02.61)</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…were applied to patients, continually registered in 2014 in the Optum Clinformatics Data Mart Database, with laboratory data. The results of these analyses (detailed below) showed that, whilst all three methods were specific, the Han method was more discriminate for identifying HBsAg-positive or HBV medication-treated patients and hence was used. </w:t>
      </w:r>
    </w:p>
    <w:p>
      <w:pPr>
        <w:spacing w:before="0" w:after="0" w:line="240"/>
        <w:ind w:right="0" w:left="0" w:firstLine="0"/>
        <w:jc w:val="left"/>
        <w:rPr>
          <w:rFonts w:ascii="Calibri" w:hAnsi="Calibri" w:cs="Calibri" w:eastAsia="Calibri"/>
          <w:color w:val="auto"/>
          <w:spacing w:val="0"/>
          <w:position w:val="0"/>
          <w:sz w:val="22"/>
          <w:shd w:fill="auto" w:val="clear"/>
        </w:rPr>
      </w:pPr>
    </w:p>
    <w:p>
      <w:pPr>
        <w:keepNext w:val="true"/>
        <w:spacing w:before="0" w:after="240" w:line="240"/>
        <w:ind w:right="0" w:left="1440" w:hanging="1440"/>
        <w:jc w:val="lef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0"/>
          <w:shd w:fill="auto" w:val="clear"/>
        </w:rPr>
        <w:t xml:space="preserve">CHB definitions in relation to HBsAg positivity and/or anti-HBV medication</w:t>
      </w:r>
      <w:r>
        <w:rPr>
          <w:rFonts w:ascii="Arial" w:hAnsi="Arial" w:cs="Arial" w:eastAsia="Arial"/>
          <w:b/>
          <w:color w:val="auto"/>
          <w:spacing w:val="0"/>
          <w:position w:val="0"/>
          <w:sz w:val="22"/>
          <w:shd w:fill="auto" w:val="clear"/>
        </w:rPr>
        <w:tab/>
      </w:r>
    </w:p>
    <w:tbl>
      <w:tblPr/>
      <w:tblGrid>
        <w:gridCol w:w="633"/>
        <w:gridCol w:w="775"/>
        <w:gridCol w:w="657"/>
        <w:gridCol w:w="760"/>
        <w:gridCol w:w="851"/>
        <w:gridCol w:w="1276"/>
        <w:gridCol w:w="3208"/>
      </w:tblGrid>
      <w:tr>
        <w:trPr>
          <w:trHeight w:val="340" w:hRule="auto"/>
          <w:jc w:val="left"/>
        </w:trPr>
        <w:tc>
          <w:tcPr>
            <w:tcW w:w="633" w:type="dxa"/>
            <w:tcBorders>
              <w:top w:val="single" w:color="000000" w:sz="4"/>
              <w:left w:val="single" w:color="000000" w:sz="4"/>
              <w:bottom w:val="single" w:color="000000" w:sz="4"/>
              <w:right w:val="single" w:color="000000" w:sz="4"/>
            </w:tcBorders>
            <w:shd w:color="auto" w:fill="d9e1f2"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GSK</w:t>
            </w:r>
          </w:p>
        </w:tc>
        <w:tc>
          <w:tcPr>
            <w:tcW w:w="775" w:type="dxa"/>
            <w:tcBorders>
              <w:top w:val="single" w:color="000000" w:sz="4"/>
              <w:left w:val="single" w:color="000000" w:sz="4"/>
              <w:bottom w:val="single" w:color="000000" w:sz="4"/>
              <w:right w:val="single" w:color="000000" w:sz="4"/>
            </w:tcBorders>
            <w:shd w:color="auto" w:fill="d9e1f2"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Chen</w:t>
            </w:r>
          </w:p>
        </w:tc>
        <w:tc>
          <w:tcPr>
            <w:tcW w:w="657" w:type="dxa"/>
            <w:tcBorders>
              <w:top w:val="single" w:color="000000" w:sz="4"/>
              <w:left w:val="single" w:color="000000" w:sz="4"/>
              <w:bottom w:val="single" w:color="000000" w:sz="4"/>
              <w:right w:val="single" w:color="000000" w:sz="4"/>
            </w:tcBorders>
            <w:shd w:color="auto" w:fill="d9e1f2"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Han</w:t>
            </w:r>
          </w:p>
        </w:tc>
        <w:tc>
          <w:tcPr>
            <w:tcW w:w="760" w:type="dxa"/>
            <w:tcBorders>
              <w:top w:val="single" w:color="000000" w:sz="4"/>
              <w:left w:val="single" w:color="000000" w:sz="4"/>
              <w:bottom w:val="single" w:color="000000" w:sz="4"/>
              <w:right w:val="single" w:color="000000" w:sz="4"/>
            </w:tcBorders>
            <w:shd w:color="auto" w:fill="d9e1f2"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Meds</w:t>
            </w:r>
          </w:p>
        </w:tc>
        <w:tc>
          <w:tcPr>
            <w:tcW w:w="851" w:type="dxa"/>
            <w:tcBorders>
              <w:top w:val="single" w:color="000000" w:sz="4"/>
              <w:left w:val="single" w:color="000000" w:sz="4"/>
              <w:bottom w:val="single" w:color="000000" w:sz="4"/>
              <w:right w:val="single" w:color="000000" w:sz="4"/>
            </w:tcBorders>
            <w:shd w:color="auto" w:fill="d9e1f2"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HBsAg</w:t>
            </w:r>
          </w:p>
        </w:tc>
        <w:tc>
          <w:tcPr>
            <w:tcW w:w="1276" w:type="dxa"/>
            <w:tcBorders>
              <w:top w:val="single" w:color="000000" w:sz="4"/>
              <w:left w:val="single" w:color="000000" w:sz="4"/>
              <w:bottom w:val="single" w:color="000000" w:sz="4"/>
              <w:right w:val="single" w:color="000000" w:sz="4"/>
            </w:tcBorders>
            <w:shd w:color="auto" w:fill="d9e1f2"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Count</w:t>
            </w:r>
          </w:p>
        </w:tc>
        <w:tc>
          <w:tcPr>
            <w:tcW w:w="3208" w:type="dxa"/>
            <w:tcBorders>
              <w:top w:val="single" w:color="000000" w:sz="4"/>
              <w:left w:val="single" w:color="000000" w:sz="4"/>
              <w:bottom w:val="single" w:color="000000" w:sz="4"/>
              <w:right w:val="single" w:color="000000" w:sz="4"/>
            </w:tcBorders>
            <w:shd w:color="auto" w:fill="d9e1f2"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Interpretation</w:t>
            </w: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3,207,358</w:t>
            </w:r>
          </w:p>
        </w:tc>
        <w:tc>
          <w:tcPr>
            <w:tcW w:w="320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‘True’ negatives</w:t>
            </w:r>
          </w:p>
        </w:tc>
      </w:tr>
      <w:tr>
        <w:trPr>
          <w:trHeight w:val="51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155</w:t>
            </w:r>
          </w:p>
        </w:tc>
        <w:tc>
          <w:tcPr>
            <w:tcW w:w="320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Chronic disease but no claims; possibly inactive carriers</w:t>
            </w: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1589</w:t>
            </w:r>
          </w:p>
        </w:tc>
        <w:tc>
          <w:tcPr>
            <w:tcW w:w="3208"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Similarly, on meds but no claims. Mainly co-infected on investigation</w:t>
            </w: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40</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186</w:t>
            </w:r>
          </w:p>
        </w:tc>
        <w:tc>
          <w:tcPr>
            <w:tcW w:w="3208"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Han positive but GSK/Chen negative. Higher proportion treated (33%) than Chen (8%), below</w:t>
            </w: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17</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84</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17</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210</w:t>
            </w:r>
          </w:p>
        </w:tc>
        <w:tc>
          <w:tcPr>
            <w:tcW w:w="3208"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Chen positive but GSK/Han -ve. Lower proportion treated (8%) than Han +ve above (33%), potentially highlighting the carrier code effect</w:t>
            </w: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15</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15</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4</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102</w:t>
            </w:r>
          </w:p>
        </w:tc>
        <w:tc>
          <w:tcPr>
            <w:tcW w:w="3208"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Han +ve but GSK and/or Chen variable. 20% treated with Chen +ve and 18% when GSK +ve</w:t>
            </w: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12</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24</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4</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1165</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45</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227</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30</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1420</w:t>
            </w:r>
          </w:p>
        </w:tc>
        <w:tc>
          <w:tcPr>
            <w:tcW w:w="3208"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All three claims methods positive; highest proportion treated 43%</w:t>
            </w: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186</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916</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34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Y</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317</w:t>
            </w:r>
          </w:p>
        </w:tc>
        <w:tc>
          <w:tcPr>
            <w:tcW w:w="3208"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hd w:fill="auto" w:val="clear"/>
              </w:rPr>
            </w:pPr>
          </w:p>
        </w:tc>
      </w:tr>
      <w:tr>
        <w:trPr>
          <w:trHeight w:val="510" w:hRule="auto"/>
          <w:jc w:val="left"/>
        </w:trPr>
        <w:tc>
          <w:tcPr>
            <w:tcW w:w="63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39%</w:t>
            </w:r>
          </w:p>
        </w:tc>
        <w:tc>
          <w:tcPr>
            <w:tcW w:w="7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13%</w:t>
            </w:r>
          </w:p>
        </w:tc>
        <w:tc>
          <w:tcPr>
            <w:tcW w:w="65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50%</w:t>
            </w:r>
          </w:p>
        </w:tc>
        <w:tc>
          <w:tcPr>
            <w:tcW w:w="7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w:t>
            </w:r>
          </w:p>
        </w:tc>
        <w:tc>
          <w:tcPr>
            <w:tcW w:w="85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w:t>
            </w:r>
          </w:p>
        </w:tc>
        <w:tc>
          <w:tcPr>
            <w:tcW w:w="12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w:t>
            </w:r>
          </w:p>
        </w:tc>
        <w:tc>
          <w:tcPr>
            <w:tcW w:w="320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20" w:line="256"/>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&lt;- Percent of treated group included when positive</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keepNext w:val="true"/>
        <w:spacing w:before="0" w:after="240" w:line="240"/>
        <w:ind w:right="0" w:left="1440" w:hanging="1440"/>
        <w:jc w:val="left"/>
        <w:rPr>
          <w:rFonts w:ascii="Calibri" w:hAnsi="Calibri" w:cs="Calibri" w:eastAsia="Calibri"/>
          <w:b/>
          <w:color w:val="auto"/>
          <w:spacing w:val="0"/>
          <w:position w:val="0"/>
          <w:sz w:val="22"/>
          <w:shd w:fill="auto" w:val="clear"/>
        </w:rPr>
      </w:pPr>
      <w:r>
        <w:rPr>
          <w:rFonts w:ascii="Arial" w:hAnsi="Arial" w:cs="Arial" w:eastAsia="Arial"/>
          <w:b/>
          <w:color w:val="auto"/>
          <w:spacing w:val="0"/>
          <w:position w:val="0"/>
          <w:sz w:val="20"/>
          <w:shd w:fill="auto" w:val="clear"/>
        </w:rPr>
        <w:t xml:space="preserve">Sensitivity and Specificity of CHB definitions</w:t>
      </w:r>
    </w:p>
    <w:tbl>
      <w:tblPr/>
      <w:tblGrid>
        <w:gridCol w:w="2172"/>
        <w:gridCol w:w="1415"/>
        <w:gridCol w:w="2691"/>
        <w:gridCol w:w="2692"/>
      </w:tblGrid>
      <w:tr>
        <w:trPr>
          <w:trHeight w:val="268" w:hRule="auto"/>
          <w:jc w:val="left"/>
        </w:trPr>
        <w:tc>
          <w:tcPr>
            <w:tcW w:w="21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b/>
                <w:color w:val="auto"/>
                <w:spacing w:val="0"/>
                <w:position w:val="0"/>
                <w:sz w:val="20"/>
                <w:shd w:fill="auto" w:val="clear"/>
              </w:rPr>
              <w:t xml:space="preserve">Metric</w:t>
            </w:r>
          </w:p>
        </w:tc>
        <w:tc>
          <w:tcPr>
            <w:tcW w:w="14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b/>
                <w:color w:val="auto"/>
                <w:spacing w:val="0"/>
                <w:position w:val="0"/>
                <w:sz w:val="20"/>
                <w:shd w:fill="auto" w:val="clear"/>
              </w:rPr>
              <w:t xml:space="preserve">Codelist</w:t>
            </w:r>
          </w:p>
        </w:tc>
        <w:tc>
          <w:tcPr>
            <w:tcW w:w="26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b/>
                <w:color w:val="auto"/>
                <w:spacing w:val="0"/>
                <w:position w:val="0"/>
                <w:sz w:val="20"/>
                <w:shd w:fill="auto" w:val="clear"/>
              </w:rPr>
              <w:t xml:space="preserve">Sensitivity</w:t>
            </w:r>
          </w:p>
        </w:tc>
        <w:tc>
          <w:tcPr>
            <w:tcW w:w="26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b/>
                <w:color w:val="auto"/>
                <w:spacing w:val="0"/>
                <w:position w:val="0"/>
                <w:sz w:val="20"/>
                <w:shd w:fill="auto" w:val="clear"/>
              </w:rPr>
              <w:t xml:space="preserve">Specificity</w:t>
            </w:r>
          </w:p>
        </w:tc>
      </w:tr>
      <w:tr>
        <w:trPr>
          <w:trHeight w:val="268" w:hRule="auto"/>
          <w:jc w:val="left"/>
        </w:trPr>
        <w:tc>
          <w:tcPr>
            <w:tcW w:w="21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i/>
                <w:color w:val="auto"/>
                <w:spacing w:val="0"/>
                <w:position w:val="0"/>
                <w:sz w:val="20"/>
                <w:shd w:fill="auto" w:val="clear"/>
              </w:rPr>
              <w:t xml:space="preserve">HBsAg positivity</w:t>
            </w:r>
          </w:p>
        </w:tc>
        <w:tc>
          <w:tcPr>
            <w:tcW w:w="14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GSK</w:t>
            </w:r>
          </w:p>
        </w:tc>
        <w:tc>
          <w:tcPr>
            <w:tcW w:w="26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68.6% [65.5%-71.8%]</w:t>
            </w:r>
          </w:p>
        </w:tc>
        <w:tc>
          <w:tcPr>
            <w:tcW w:w="26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99.9% [99.9%-99.9%]</w:t>
            </w:r>
          </w:p>
        </w:tc>
      </w:tr>
      <w:tr>
        <w:trPr>
          <w:trHeight w:val="268" w:hRule="auto"/>
          <w:jc w:val="left"/>
        </w:trPr>
        <w:tc>
          <w:tcPr>
            <w:tcW w:w="21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220" w:line="360"/>
              <w:ind w:right="0" w:left="0" w:firstLine="0"/>
              <w:jc w:val="left"/>
              <w:rPr>
                <w:rFonts w:ascii="Calibri" w:hAnsi="Calibri" w:cs="Calibri" w:eastAsia="Calibri"/>
                <w:color w:val="auto"/>
                <w:spacing w:val="0"/>
                <w:position w:val="0"/>
                <w:sz w:val="22"/>
                <w:shd w:fill="auto" w:val="clear"/>
              </w:rPr>
            </w:pPr>
          </w:p>
        </w:tc>
        <w:tc>
          <w:tcPr>
            <w:tcW w:w="14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Chen</w:t>
            </w:r>
          </w:p>
        </w:tc>
        <w:tc>
          <w:tcPr>
            <w:tcW w:w="26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63.9% [60.7%-67.1%]</w:t>
            </w:r>
          </w:p>
        </w:tc>
        <w:tc>
          <w:tcPr>
            <w:tcW w:w="26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99.9% [99.9%-99.9%]</w:t>
            </w:r>
          </w:p>
        </w:tc>
      </w:tr>
      <w:tr>
        <w:trPr>
          <w:trHeight w:val="268" w:hRule="auto"/>
          <w:jc w:val="left"/>
        </w:trPr>
        <w:tc>
          <w:tcPr>
            <w:tcW w:w="21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220" w:line="360"/>
              <w:ind w:right="0" w:left="0" w:firstLine="0"/>
              <w:jc w:val="left"/>
              <w:rPr>
                <w:rFonts w:ascii="Calibri" w:hAnsi="Calibri" w:cs="Calibri" w:eastAsia="Calibri"/>
                <w:color w:val="auto"/>
                <w:spacing w:val="0"/>
                <w:position w:val="0"/>
                <w:sz w:val="22"/>
                <w:shd w:fill="auto" w:val="clear"/>
              </w:rPr>
            </w:pPr>
          </w:p>
        </w:tc>
        <w:tc>
          <w:tcPr>
            <w:tcW w:w="14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Han</w:t>
            </w:r>
          </w:p>
        </w:tc>
        <w:tc>
          <w:tcPr>
            <w:tcW w:w="26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74.6% [71.6%-77.5%]</w:t>
            </w:r>
          </w:p>
        </w:tc>
        <w:tc>
          <w:tcPr>
            <w:tcW w:w="26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99.9% [99.9%-99.9%]</w:t>
            </w:r>
          </w:p>
        </w:tc>
      </w:tr>
      <w:tr>
        <w:trPr>
          <w:trHeight w:val="268" w:hRule="auto"/>
          <w:jc w:val="left"/>
        </w:trPr>
        <w:tc>
          <w:tcPr>
            <w:tcW w:w="21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i/>
                <w:color w:val="auto"/>
                <w:spacing w:val="0"/>
                <w:position w:val="0"/>
                <w:sz w:val="20"/>
                <w:shd w:fill="auto" w:val="clear"/>
              </w:rPr>
              <w:t xml:space="preserve">Anti-HBV medication</w:t>
            </w:r>
          </w:p>
        </w:tc>
        <w:tc>
          <w:tcPr>
            <w:tcW w:w="14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GSK</w:t>
            </w:r>
          </w:p>
        </w:tc>
        <w:tc>
          <w:tcPr>
            <w:tcW w:w="26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45.6% [43.9%-47.3%]</w:t>
            </w:r>
          </w:p>
        </w:tc>
        <w:tc>
          <w:tcPr>
            <w:tcW w:w="26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99.9% [99.9%-99.9%]</w:t>
            </w:r>
          </w:p>
        </w:tc>
      </w:tr>
      <w:tr>
        <w:trPr>
          <w:trHeight w:val="268" w:hRule="auto"/>
          <w:jc w:val="left"/>
        </w:trPr>
        <w:tc>
          <w:tcPr>
            <w:tcW w:w="21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220" w:line="360"/>
              <w:ind w:right="0" w:left="0" w:firstLine="0"/>
              <w:jc w:val="left"/>
              <w:rPr>
                <w:rFonts w:ascii="Calibri" w:hAnsi="Calibri" w:cs="Calibri" w:eastAsia="Calibri"/>
                <w:color w:val="auto"/>
                <w:spacing w:val="0"/>
                <w:position w:val="0"/>
                <w:sz w:val="22"/>
                <w:shd w:fill="auto" w:val="clear"/>
              </w:rPr>
            </w:pPr>
          </w:p>
        </w:tc>
        <w:tc>
          <w:tcPr>
            <w:tcW w:w="14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Chen</w:t>
            </w:r>
          </w:p>
        </w:tc>
        <w:tc>
          <w:tcPr>
            <w:tcW w:w="26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39.2% [37.5%-40.9%]</w:t>
            </w:r>
          </w:p>
        </w:tc>
        <w:tc>
          <w:tcPr>
            <w:tcW w:w="26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99.9% [99.9%-99.9%]</w:t>
            </w:r>
          </w:p>
        </w:tc>
      </w:tr>
      <w:tr>
        <w:trPr>
          <w:trHeight w:val="268" w:hRule="auto"/>
          <w:jc w:val="left"/>
        </w:trPr>
        <w:tc>
          <w:tcPr>
            <w:tcW w:w="21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220" w:line="360"/>
              <w:ind w:right="0" w:left="0" w:firstLine="0"/>
              <w:jc w:val="left"/>
              <w:rPr>
                <w:rFonts w:ascii="Calibri" w:hAnsi="Calibri" w:cs="Calibri" w:eastAsia="Calibri"/>
                <w:color w:val="auto"/>
                <w:spacing w:val="0"/>
                <w:position w:val="0"/>
                <w:sz w:val="22"/>
                <w:shd w:fill="auto" w:val="clear"/>
              </w:rPr>
            </w:pPr>
          </w:p>
        </w:tc>
        <w:tc>
          <w:tcPr>
            <w:tcW w:w="141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Han</w:t>
            </w:r>
          </w:p>
        </w:tc>
        <w:tc>
          <w:tcPr>
            <w:tcW w:w="269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49.6% [47.8%-51.3%]</w:t>
            </w:r>
          </w:p>
        </w:tc>
        <w:tc>
          <w:tcPr>
            <w:tcW w:w="26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56"/>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99.9% [99.9%-99.9%]</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220" w:line="360"/>
        <w:ind w:right="0" w:left="0" w:firstLine="0"/>
        <w:jc w:val="left"/>
        <w:rPr>
          <w:rFonts w:ascii="Calibri" w:hAnsi="Calibri" w:cs="Calibri" w:eastAsia="Calibri"/>
          <w:color w:val="auto"/>
          <w:spacing w:val="0"/>
          <w:position w:val="0"/>
          <w:sz w:val="22"/>
          <w:shd w:fill="auto" w:val="clear"/>
        </w:rPr>
      </w:pPr>
    </w:p>
    <w:p>
      <w:pPr>
        <w:spacing w:before="0" w:after="220" w:line="360"/>
        <w:ind w:right="0" w:left="0" w:firstLine="0"/>
        <w:jc w:val="left"/>
        <w:rPr>
          <w:rFonts w:ascii="Calibri" w:hAnsi="Calibri" w:cs="Calibri" w:eastAsia="Calibri"/>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3. Age distribution of chronic HBV in the prevalence calculations and those with baseline data.</w:t>
      </w:r>
    </w:p>
    <w:tbl>
      <w:tblPr/>
      <w:tblGrid>
        <w:gridCol w:w="1600"/>
        <w:gridCol w:w="1600"/>
        <w:gridCol w:w="1600"/>
        <w:gridCol w:w="1804"/>
        <w:gridCol w:w="1487"/>
        <w:gridCol w:w="1664"/>
        <w:gridCol w:w="1600"/>
      </w:tblGrid>
      <w:tr>
        <w:trPr>
          <w:trHeight w:val="300" w:hRule="auto"/>
          <w:jc w:val="left"/>
        </w:trPr>
        <w:tc>
          <w:tcPr>
            <w:tcW w:w="1600" w:type="dxa"/>
            <w:vMerge w:val="restart"/>
            <w:tcBorders>
              <w:top w:val="single" w:color="000000" w:sz="4"/>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group</w:t>
            </w:r>
          </w:p>
        </w:tc>
        <w:tc>
          <w:tcPr>
            <w:tcW w:w="3200" w:type="dxa"/>
            <w:gridSpan w:val="2"/>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United States</w:t>
            </w:r>
          </w:p>
        </w:tc>
        <w:tc>
          <w:tcPr>
            <w:tcW w:w="3291"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3264" w:type="dxa"/>
            <w:gridSpan w:val="2"/>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00" w:hRule="auto"/>
          <w:jc w:val="left"/>
        </w:trPr>
        <w:tc>
          <w:tcPr>
            <w:tcW w:w="1600" w:type="dxa"/>
            <w:vMerge/>
            <w:tcBorders>
              <w:top w:val="single" w:color="000000" w:sz="0"/>
              <w:left w:val="single" w:color="000000" w:sz="4"/>
              <w:bottom w:val="single" w:color="000000" w:sz="4"/>
              <w:right w:val="single" w:color="000000" w:sz="4"/>
            </w:tcBorders>
            <w:shd w:color="000000" w:fill="ffffff" w:val="clear"/>
            <w:tcMar>
              <w:left w:w="108" w:type="dxa"/>
              <w:right w:w="108" w:type="dxa"/>
            </w:tcMar>
            <w:vAlign w:val="bottom"/>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600"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Prevalence (%)</w:t>
            </w:r>
          </w:p>
        </w:tc>
        <w:tc>
          <w:tcPr>
            <w:tcW w:w="1600"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Baseline (%)</w:t>
            </w:r>
          </w:p>
        </w:tc>
        <w:tc>
          <w:tcPr>
            <w:tcW w:w="1804"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Prevalence (%)</w:t>
            </w:r>
          </w:p>
        </w:tc>
        <w:tc>
          <w:tcPr>
            <w:tcW w:w="1487"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Baseline (%)</w:t>
            </w:r>
          </w:p>
        </w:tc>
        <w:tc>
          <w:tcPr>
            <w:tcW w:w="1664"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Prevalence (%)</w:t>
            </w:r>
          </w:p>
        </w:tc>
        <w:tc>
          <w:tcPr>
            <w:tcW w:w="1600"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Baseline (%)</w:t>
            </w:r>
          </w:p>
        </w:tc>
      </w:tr>
      <w:tr>
        <w:trPr>
          <w:trHeight w:val="300" w:hRule="auto"/>
          <w:jc w:val="left"/>
        </w:trPr>
        <w:tc>
          <w:tcPr>
            <w:tcW w:w="1600"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 year</w:t>
            </w:r>
          </w:p>
        </w:tc>
        <w:tc>
          <w:tcPr>
            <w:tcW w:w="160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0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04"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487"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64"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 (0)</w:t>
            </w:r>
          </w:p>
        </w:tc>
        <w:tc>
          <w:tcPr>
            <w:tcW w:w="160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 (0)</w:t>
            </w:r>
          </w:p>
        </w:tc>
      </w:tr>
      <w:tr>
        <w:trPr>
          <w:trHeight w:val="300" w:hRule="auto"/>
          <w:jc w:val="left"/>
        </w:trPr>
        <w:tc>
          <w:tcPr>
            <w:tcW w:w="160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&lt;2 years</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(0)</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(0)</w:t>
            </w:r>
          </w:p>
        </w:tc>
        <w:tc>
          <w:tcPr>
            <w:tcW w:w="1804"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487"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6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 (0)</w:t>
            </w:r>
          </w:p>
        </w:tc>
        <w:tc>
          <w:tcPr>
            <w:tcW w:w="160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 (0)</w:t>
            </w:r>
          </w:p>
        </w:tc>
      </w:tr>
      <w:tr>
        <w:trPr>
          <w:trHeight w:val="300" w:hRule="auto"/>
          <w:jc w:val="left"/>
        </w:trPr>
        <w:tc>
          <w:tcPr>
            <w:tcW w:w="160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2</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&lt;12 years</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 (0.5)</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 (0.5)</w:t>
            </w:r>
          </w:p>
        </w:tc>
        <w:tc>
          <w:tcPr>
            <w:tcW w:w="1804"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 (0.2)</w:t>
            </w:r>
          </w:p>
        </w:tc>
        <w:tc>
          <w:tcPr>
            <w:tcW w:w="1487"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 (0.2)</w:t>
            </w:r>
          </w:p>
        </w:tc>
        <w:tc>
          <w:tcPr>
            <w:tcW w:w="166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581 (0.1)</w:t>
            </w:r>
          </w:p>
        </w:tc>
        <w:tc>
          <w:tcPr>
            <w:tcW w:w="160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580 (0.1)</w:t>
            </w:r>
          </w:p>
        </w:tc>
      </w:tr>
      <w:tr>
        <w:trPr>
          <w:trHeight w:val="300" w:hRule="auto"/>
          <w:jc w:val="left"/>
        </w:trPr>
        <w:tc>
          <w:tcPr>
            <w:tcW w:w="160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12</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&lt;18 years</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74 (0.6)</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 (0.6)</w:t>
            </w:r>
          </w:p>
        </w:tc>
        <w:tc>
          <w:tcPr>
            <w:tcW w:w="1804"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 (0.4)</w:t>
            </w:r>
          </w:p>
        </w:tc>
        <w:tc>
          <w:tcPr>
            <w:tcW w:w="1487"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 (0.5)</w:t>
            </w:r>
          </w:p>
        </w:tc>
        <w:tc>
          <w:tcPr>
            <w:tcW w:w="166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1540 (0.3)</w:t>
            </w:r>
          </w:p>
        </w:tc>
        <w:tc>
          <w:tcPr>
            <w:tcW w:w="160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1540 (0.3)</w:t>
            </w:r>
          </w:p>
        </w:tc>
      </w:tr>
      <w:tr>
        <w:trPr>
          <w:trHeight w:val="300" w:hRule="auto"/>
          <w:jc w:val="left"/>
        </w:trPr>
        <w:tc>
          <w:tcPr>
            <w:tcW w:w="160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18</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&lt;50 years</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5018 (40)</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4532 (39.2)</w:t>
            </w:r>
          </w:p>
        </w:tc>
        <w:tc>
          <w:tcPr>
            <w:tcW w:w="1804"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4364 (53.3)</w:t>
            </w:r>
          </w:p>
        </w:tc>
        <w:tc>
          <w:tcPr>
            <w:tcW w:w="1487"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3403 (51.6)</w:t>
            </w:r>
          </w:p>
        </w:tc>
        <w:tc>
          <w:tcPr>
            <w:tcW w:w="166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256,123 (52.9)</w:t>
            </w:r>
          </w:p>
        </w:tc>
        <w:tc>
          <w:tcPr>
            <w:tcW w:w="160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255,742 (52.9)</w:t>
            </w:r>
          </w:p>
        </w:tc>
      </w:tr>
      <w:tr>
        <w:trPr>
          <w:trHeight w:val="300" w:hRule="auto"/>
          <w:jc w:val="left"/>
        </w:trPr>
        <w:tc>
          <w:tcPr>
            <w:tcW w:w="160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50</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&lt;65 years</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4136 (32.9)</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3878 (33.5)</w:t>
            </w:r>
          </w:p>
        </w:tc>
        <w:tc>
          <w:tcPr>
            <w:tcW w:w="1804"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2519 (30.8)</w:t>
            </w:r>
          </w:p>
        </w:tc>
        <w:tc>
          <w:tcPr>
            <w:tcW w:w="1487"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2091 (31.7)</w:t>
            </w:r>
          </w:p>
        </w:tc>
        <w:tc>
          <w:tcPr>
            <w:tcW w:w="166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167,309 (34.5)</w:t>
            </w:r>
          </w:p>
        </w:tc>
        <w:tc>
          <w:tcPr>
            <w:tcW w:w="160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167,218 (34.6)</w:t>
            </w:r>
          </w:p>
        </w:tc>
      </w:tr>
      <w:tr>
        <w:trPr>
          <w:trHeight w:val="300" w:hRule="auto"/>
          <w:jc w:val="left"/>
        </w:trPr>
        <w:tc>
          <w:tcPr>
            <w:tcW w:w="160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65+ years</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3257 (25.9)</w:t>
            </w:r>
          </w:p>
        </w:tc>
        <w:tc>
          <w:tcPr>
            <w:tcW w:w="16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3028 (26.2)</w:t>
            </w:r>
          </w:p>
        </w:tc>
        <w:tc>
          <w:tcPr>
            <w:tcW w:w="1804"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1245 (15.2)</w:t>
            </w:r>
          </w:p>
        </w:tc>
        <w:tc>
          <w:tcPr>
            <w:tcW w:w="1487"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1051 (15.9)</w:t>
            </w:r>
          </w:p>
        </w:tc>
        <w:tc>
          <w:tcPr>
            <w:tcW w:w="166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58,717 (12.1)</w:t>
            </w:r>
          </w:p>
        </w:tc>
        <w:tc>
          <w:tcPr>
            <w:tcW w:w="160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58,698 (12.1)</w:t>
            </w:r>
          </w:p>
        </w:tc>
      </w:tr>
      <w:tr>
        <w:trPr>
          <w:trHeight w:val="300" w:hRule="auto"/>
          <w:jc w:val="left"/>
        </w:trPr>
        <w:tc>
          <w:tcPr>
            <w:tcW w:w="16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600"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12,553</w:t>
            </w:r>
          </w:p>
        </w:tc>
        <w:tc>
          <w:tcPr>
            <w:tcW w:w="1600"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11,574</w:t>
            </w:r>
          </w:p>
        </w:tc>
        <w:tc>
          <w:tcPr>
            <w:tcW w:w="1804"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8182</w:t>
            </w:r>
          </w:p>
        </w:tc>
        <w:tc>
          <w:tcPr>
            <w:tcW w:w="1487"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6592</w:t>
            </w:r>
          </w:p>
        </w:tc>
        <w:tc>
          <w:tcPr>
            <w:tcW w:w="1664"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484,376</w:t>
            </w:r>
          </w:p>
        </w:tc>
        <w:tc>
          <w:tcPr>
            <w:tcW w:w="1600"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483,884</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HBV, hepatitis B virus.</w:t>
      </w: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4. Age-specific period prevalence of chronic HBV infection to 2013 (all patients; underlying data for Figure 1).</w:t>
      </w:r>
    </w:p>
    <w:tbl>
      <w:tblPr/>
      <w:tblGrid>
        <w:gridCol w:w="1480"/>
        <w:gridCol w:w="965"/>
        <w:gridCol w:w="1218"/>
        <w:gridCol w:w="2428"/>
        <w:gridCol w:w="1187"/>
        <w:gridCol w:w="1217"/>
        <w:gridCol w:w="2332"/>
        <w:gridCol w:w="965"/>
        <w:gridCol w:w="1218"/>
        <w:gridCol w:w="2331"/>
      </w:tblGrid>
      <w:tr>
        <w:trPr>
          <w:trHeight w:val="300" w:hRule="auto"/>
          <w:jc w:val="left"/>
        </w:trPr>
        <w:tc>
          <w:tcPr>
            <w:tcW w:w="1480"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group</w:t>
              <w:br/>
              <w:t xml:space="preserve">(years)</w:t>
            </w:r>
          </w:p>
        </w:tc>
        <w:tc>
          <w:tcPr>
            <w:tcW w:w="4611" w:type="dxa"/>
            <w:gridSpan w:val="3"/>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4736" w:type="dxa"/>
            <w:gridSpan w:val="3"/>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4514" w:type="dxa"/>
            <w:gridSpan w:val="3"/>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289" w:hRule="auto"/>
          <w:jc w:val="left"/>
        </w:trPr>
        <w:tc>
          <w:tcPr>
            <w:tcW w:w="1480"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965"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Patients</w:t>
            </w:r>
          </w:p>
        </w:tc>
        <w:tc>
          <w:tcPr>
            <w:tcW w:w="1218"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Population</w:t>
            </w:r>
          </w:p>
        </w:tc>
        <w:tc>
          <w:tcPr>
            <w:tcW w:w="2428"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Prevalence (%) [95%CI] </w:t>
            </w:r>
          </w:p>
        </w:tc>
        <w:tc>
          <w:tcPr>
            <w:tcW w:w="1187"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Patients</w:t>
            </w:r>
          </w:p>
        </w:tc>
        <w:tc>
          <w:tcPr>
            <w:tcW w:w="1217"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Population</w:t>
            </w:r>
          </w:p>
        </w:tc>
        <w:tc>
          <w:tcPr>
            <w:tcW w:w="2332"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Prevalence (%) [95%CI]</w:t>
            </w:r>
          </w:p>
        </w:tc>
        <w:tc>
          <w:tcPr>
            <w:tcW w:w="965"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Patients</w:t>
            </w:r>
          </w:p>
        </w:tc>
        <w:tc>
          <w:tcPr>
            <w:tcW w:w="1218"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Population</w:t>
            </w:r>
          </w:p>
        </w:tc>
        <w:tc>
          <w:tcPr>
            <w:tcW w:w="2331"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Prevalence (%) [95%CI]</w:t>
            </w:r>
          </w:p>
        </w:tc>
      </w:tr>
      <w:tr>
        <w:trPr>
          <w:trHeight w:val="300" w:hRule="auto"/>
          <w:jc w:val="left"/>
        </w:trPr>
        <w:tc>
          <w:tcPr>
            <w:tcW w:w="148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&lt;1 </w:t>
            </w:r>
          </w:p>
        </w:tc>
        <w:tc>
          <w:tcPr>
            <w:tcW w:w="96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4845</w:t>
            </w:r>
          </w:p>
        </w:tc>
        <w:tc>
          <w:tcPr>
            <w:tcW w:w="2428"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 [0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0.076%]</w:t>
            </w:r>
            <w:r>
              <w:rPr>
                <w:rFonts w:ascii="Calibri" w:hAnsi="Calibri" w:cs="Calibri" w:eastAsia="Calibri"/>
                <w:color w:val="auto"/>
                <w:spacing w:val="0"/>
                <w:position w:val="0"/>
                <w:sz w:val="22"/>
                <w:shd w:fill="FFFFFF" w:val="clear"/>
                <w:vertAlign w:val="superscript"/>
              </w:rPr>
              <w:t xml:space="preserve">a</w:t>
            </w:r>
          </w:p>
        </w:tc>
        <w:tc>
          <w:tcPr>
            <w:tcW w:w="1187"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21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16,213</w:t>
            </w:r>
          </w:p>
        </w:tc>
        <w:tc>
          <w:tcPr>
            <w:tcW w:w="233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 [0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0.023%]</w:t>
            </w:r>
            <w:r>
              <w:rPr>
                <w:rFonts w:ascii="Calibri" w:hAnsi="Calibri" w:cs="Calibri" w:eastAsia="Calibri"/>
                <w:color w:val="auto"/>
                <w:spacing w:val="0"/>
                <w:position w:val="0"/>
                <w:sz w:val="22"/>
                <w:shd w:fill="FFFFFF" w:val="clear"/>
                <w:vertAlign w:val="superscript"/>
              </w:rPr>
              <w:t xml:space="preserve">a</w:t>
            </w:r>
          </w:p>
        </w:tc>
        <w:tc>
          <w:tcPr>
            <w:tcW w:w="965"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104</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180,861</w:t>
            </w:r>
          </w:p>
        </w:tc>
        <w:tc>
          <w:tcPr>
            <w:tcW w:w="2331"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0.058 [0.046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0.069%]</w:t>
            </w:r>
          </w:p>
        </w:tc>
      </w:tr>
      <w:tr>
        <w:trPr>
          <w:trHeight w:val="300" w:hRule="auto"/>
          <w:jc w:val="left"/>
        </w:trPr>
        <w:tc>
          <w:tcPr>
            <w:tcW w:w="148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&lt;2</w:t>
            </w:r>
          </w:p>
        </w:tc>
        <w:tc>
          <w:tcPr>
            <w:tcW w:w="96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113,079</w:t>
            </w:r>
          </w:p>
        </w:tc>
        <w:tc>
          <w:tcPr>
            <w:tcW w:w="2428"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0.002 [0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0.006%]</w:t>
            </w:r>
          </w:p>
        </w:tc>
        <w:tc>
          <w:tcPr>
            <w:tcW w:w="1187"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21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34,083</w:t>
            </w:r>
          </w:p>
        </w:tc>
        <w:tc>
          <w:tcPr>
            <w:tcW w:w="233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 [0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0.011%]</w:t>
            </w:r>
            <w:r>
              <w:rPr>
                <w:rFonts w:ascii="Calibri" w:hAnsi="Calibri" w:cs="Calibri" w:eastAsia="Calibri"/>
                <w:color w:val="auto"/>
                <w:spacing w:val="0"/>
                <w:position w:val="0"/>
                <w:sz w:val="22"/>
                <w:shd w:fill="FFFFFF" w:val="clear"/>
                <w:vertAlign w:val="superscript"/>
              </w:rPr>
              <w:t xml:space="preserve">a</w:t>
            </w:r>
          </w:p>
        </w:tc>
        <w:tc>
          <w:tcPr>
            <w:tcW w:w="965"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233,161</w:t>
            </w:r>
          </w:p>
        </w:tc>
        <w:tc>
          <w:tcPr>
            <w:tcW w:w="2331"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0.023 [0.017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0.029%]</w:t>
            </w:r>
          </w:p>
        </w:tc>
      </w:tr>
      <w:tr>
        <w:trPr>
          <w:trHeight w:val="300" w:hRule="auto"/>
          <w:jc w:val="left"/>
        </w:trPr>
        <w:tc>
          <w:tcPr>
            <w:tcW w:w="148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&lt;12</w:t>
            </w:r>
          </w:p>
        </w:tc>
        <w:tc>
          <w:tcPr>
            <w:tcW w:w="96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1,307,265</w:t>
            </w:r>
          </w:p>
        </w:tc>
        <w:tc>
          <w:tcPr>
            <w:tcW w:w="2428"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0.005 [0.004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0.006%]</w:t>
            </w:r>
          </w:p>
        </w:tc>
        <w:tc>
          <w:tcPr>
            <w:tcW w:w="1187"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w:t>
            </w:r>
          </w:p>
        </w:tc>
        <w:tc>
          <w:tcPr>
            <w:tcW w:w="121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351,763</w:t>
            </w:r>
          </w:p>
        </w:tc>
        <w:tc>
          <w:tcPr>
            <w:tcW w:w="233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0.005% [0.003-0.01%]</w:t>
            </w:r>
          </w:p>
        </w:tc>
        <w:tc>
          <w:tcPr>
            <w:tcW w:w="965"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753</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2,058,019</w:t>
            </w:r>
          </w:p>
        </w:tc>
        <w:tc>
          <w:tcPr>
            <w:tcW w:w="2331"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0.037 [0.034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0.039%]</w:t>
            </w:r>
          </w:p>
        </w:tc>
      </w:tr>
      <w:tr>
        <w:trPr>
          <w:trHeight w:val="300" w:hRule="auto"/>
          <w:jc w:val="left"/>
        </w:trPr>
        <w:tc>
          <w:tcPr>
            <w:tcW w:w="148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&lt;18</w:t>
            </w:r>
          </w:p>
        </w:tc>
        <w:tc>
          <w:tcPr>
            <w:tcW w:w="96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74</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875,797</w:t>
            </w:r>
          </w:p>
        </w:tc>
        <w:tc>
          <w:tcPr>
            <w:tcW w:w="2428"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0.008 [0.007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0.010%]</w:t>
            </w:r>
          </w:p>
        </w:tc>
        <w:tc>
          <w:tcPr>
            <w:tcW w:w="1187"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w:t>
            </w:r>
          </w:p>
        </w:tc>
        <w:tc>
          <w:tcPr>
            <w:tcW w:w="121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233,540</w:t>
            </w:r>
          </w:p>
        </w:tc>
        <w:tc>
          <w:tcPr>
            <w:tcW w:w="233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0.01% [0.01-0.02%]</w:t>
            </w:r>
          </w:p>
        </w:tc>
        <w:tc>
          <w:tcPr>
            <w:tcW w:w="965"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1740</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1,745,410</w:t>
            </w:r>
          </w:p>
        </w:tc>
        <w:tc>
          <w:tcPr>
            <w:tcW w:w="2331"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0.100 [0.095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0.104%]</w:t>
            </w:r>
          </w:p>
        </w:tc>
      </w:tr>
      <w:tr>
        <w:trPr>
          <w:trHeight w:val="300" w:hRule="auto"/>
          <w:jc w:val="left"/>
        </w:trPr>
        <w:tc>
          <w:tcPr>
            <w:tcW w:w="148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&lt;50</w:t>
            </w:r>
          </w:p>
        </w:tc>
        <w:tc>
          <w:tcPr>
            <w:tcW w:w="96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5018</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5,384,388</w:t>
            </w:r>
          </w:p>
        </w:tc>
        <w:tc>
          <w:tcPr>
            <w:tcW w:w="2428"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0.093 [0.091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0.096%]</w:t>
            </w:r>
          </w:p>
        </w:tc>
        <w:tc>
          <w:tcPr>
            <w:tcW w:w="1187"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4364</w:t>
            </w:r>
          </w:p>
        </w:tc>
        <w:tc>
          <w:tcPr>
            <w:tcW w:w="121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1,670,961</w:t>
            </w:r>
          </w:p>
        </w:tc>
        <w:tc>
          <w:tcPr>
            <w:tcW w:w="233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0.26% [0.25-0.27%]</w:t>
            </w:r>
          </w:p>
        </w:tc>
        <w:tc>
          <w:tcPr>
            <w:tcW w:w="965"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288,435</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11,939,439</w:t>
            </w:r>
          </w:p>
        </w:tc>
        <w:tc>
          <w:tcPr>
            <w:tcW w:w="2331"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2.416 [2.407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2.425%]</w:t>
            </w:r>
          </w:p>
        </w:tc>
      </w:tr>
      <w:tr>
        <w:trPr>
          <w:trHeight w:val="300" w:hRule="auto"/>
          <w:jc w:val="left"/>
        </w:trPr>
        <w:tc>
          <w:tcPr>
            <w:tcW w:w="1480"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&lt;65</w:t>
            </w:r>
          </w:p>
        </w:tc>
        <w:tc>
          <w:tcPr>
            <w:tcW w:w="96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4136</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2,670,431</w:t>
            </w:r>
          </w:p>
        </w:tc>
        <w:tc>
          <w:tcPr>
            <w:tcW w:w="2428"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0.155 [0.150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0.160%]</w:t>
            </w:r>
          </w:p>
        </w:tc>
        <w:tc>
          <w:tcPr>
            <w:tcW w:w="1187"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2519</w:t>
            </w:r>
          </w:p>
        </w:tc>
        <w:tc>
          <w:tcPr>
            <w:tcW w:w="121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728,621</w:t>
            </w:r>
          </w:p>
        </w:tc>
        <w:tc>
          <w:tcPr>
            <w:tcW w:w="233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0.35% [0.33-0.36%]</w:t>
            </w:r>
          </w:p>
        </w:tc>
        <w:tc>
          <w:tcPr>
            <w:tcW w:w="965"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201,448</w:t>
            </w:r>
          </w:p>
        </w:tc>
        <w:tc>
          <w:tcPr>
            <w:tcW w:w="121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4,847,635</w:t>
            </w:r>
          </w:p>
        </w:tc>
        <w:tc>
          <w:tcPr>
            <w:tcW w:w="2331"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4.156 [4.138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4.173%]</w:t>
            </w:r>
          </w:p>
        </w:tc>
      </w:tr>
      <w:tr>
        <w:trPr>
          <w:trHeight w:val="300" w:hRule="auto"/>
          <w:jc w:val="left"/>
        </w:trPr>
        <w:tc>
          <w:tcPr>
            <w:tcW w:w="1480"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w:t>
            </w:r>
          </w:p>
        </w:tc>
        <w:tc>
          <w:tcPr>
            <w:tcW w:w="965"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3257</w:t>
            </w:r>
          </w:p>
        </w:tc>
        <w:tc>
          <w:tcPr>
            <w:tcW w:w="1218"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2,883,264</w:t>
            </w:r>
          </w:p>
        </w:tc>
        <w:tc>
          <w:tcPr>
            <w:tcW w:w="2428"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0.113 [0.109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0.117%]</w:t>
            </w:r>
          </w:p>
        </w:tc>
        <w:tc>
          <w:tcPr>
            <w:tcW w:w="1187"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1245</w:t>
            </w:r>
          </w:p>
        </w:tc>
        <w:tc>
          <w:tcPr>
            <w:tcW w:w="1217"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551,710</w:t>
            </w:r>
          </w:p>
        </w:tc>
        <w:tc>
          <w:tcPr>
            <w:tcW w:w="2332"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0.23% [0.21-0.24%]</w:t>
            </w:r>
          </w:p>
        </w:tc>
        <w:tc>
          <w:tcPr>
            <w:tcW w:w="965"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73,081</w:t>
            </w:r>
          </w:p>
        </w:tc>
        <w:tc>
          <w:tcPr>
            <w:tcW w:w="1218"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2,662,642</w:t>
            </w:r>
          </w:p>
        </w:tc>
        <w:tc>
          <w:tcPr>
            <w:tcW w:w="2331"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2.745 [2.725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2.764%]</w:t>
            </w:r>
          </w:p>
        </w:tc>
      </w:tr>
      <w:tr>
        <w:trPr>
          <w:trHeight w:val="300" w:hRule="auto"/>
          <w:jc w:val="left"/>
        </w:trPr>
        <w:tc>
          <w:tcPr>
            <w:tcW w:w="14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Total</w:t>
            </w:r>
          </w:p>
        </w:tc>
        <w:tc>
          <w:tcPr>
            <w:tcW w:w="965"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12,553</w:t>
            </w:r>
          </w:p>
        </w:tc>
        <w:tc>
          <w:tcPr>
            <w:tcW w:w="1218"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13,239,069</w:t>
            </w:r>
          </w:p>
        </w:tc>
        <w:tc>
          <w:tcPr>
            <w:tcW w:w="2428"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0.095 [0.093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0.096%]</w:t>
            </w:r>
          </w:p>
        </w:tc>
        <w:tc>
          <w:tcPr>
            <w:tcW w:w="1187"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8182</w:t>
            </w:r>
          </w:p>
        </w:tc>
        <w:tc>
          <w:tcPr>
            <w:tcW w:w="1217"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3,586,891</w:t>
            </w:r>
          </w:p>
        </w:tc>
        <w:tc>
          <w:tcPr>
            <w:tcW w:w="2332"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0.23% [0.22-0.23%]</w:t>
            </w:r>
          </w:p>
        </w:tc>
        <w:tc>
          <w:tcPr>
            <w:tcW w:w="965"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565,615</w:t>
            </w:r>
          </w:p>
        </w:tc>
        <w:tc>
          <w:tcPr>
            <w:tcW w:w="1218"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23,667,167</w:t>
            </w:r>
          </w:p>
        </w:tc>
        <w:tc>
          <w:tcPr>
            <w:tcW w:w="2331"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2.390 [2.384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2.396%]</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HBV, hepatitis B virus. </w:t>
      </w:r>
      <w:r>
        <w:rPr>
          <w:rFonts w:ascii="Calibri" w:hAnsi="Calibri" w:cs="Calibri" w:eastAsia="Calibri"/>
          <w:color w:val="auto"/>
          <w:spacing w:val="0"/>
          <w:position w:val="0"/>
          <w:sz w:val="20"/>
          <w:shd w:fill="auto" w:val="clear"/>
          <w:vertAlign w:val="superscript"/>
        </w:rPr>
        <w:t xml:space="preserve">a</w:t>
      </w:r>
      <w:r>
        <w:rPr>
          <w:rFonts w:ascii="Calibri" w:hAnsi="Calibri" w:cs="Calibri" w:eastAsia="Calibri"/>
          <w:color w:val="auto"/>
          <w:spacing w:val="0"/>
          <w:position w:val="0"/>
          <w:sz w:val="20"/>
          <w:shd w:fill="auto" w:val="clear"/>
        </w:rPr>
        <w:t xml:space="preserve">One-sided, 97.5% confidence interval. </w:t>
      </w: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5. Baseline characteristics of all patients.</w:t>
      </w:r>
    </w:p>
    <w:tbl>
      <w:tblPr/>
      <w:tblGrid>
        <w:gridCol w:w="2188"/>
        <w:gridCol w:w="978"/>
        <w:gridCol w:w="980"/>
        <w:gridCol w:w="980"/>
        <w:gridCol w:w="980"/>
        <w:gridCol w:w="980"/>
        <w:gridCol w:w="980"/>
        <w:gridCol w:w="979"/>
        <w:gridCol w:w="980"/>
        <w:gridCol w:w="980"/>
        <w:gridCol w:w="980"/>
        <w:gridCol w:w="980"/>
        <w:gridCol w:w="983"/>
      </w:tblGrid>
      <w:tr>
        <w:trPr>
          <w:trHeight w:val="300" w:hRule="auto"/>
          <w:jc w:val="left"/>
        </w:trPr>
        <w:tc>
          <w:tcPr>
            <w:tcW w:w="2188" w:type="dxa"/>
            <w:vMerge w:val="restart"/>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Parameter</w:t>
            </w:r>
          </w:p>
        </w:tc>
        <w:tc>
          <w:tcPr>
            <w:tcW w:w="3918" w:type="dxa"/>
            <w:gridSpan w:val="4"/>
            <w:tcBorders>
              <w:top w:val="single" w:color="000000" w:sz="4"/>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3919" w:type="dxa"/>
            <w:gridSpan w:val="4"/>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3923" w:type="dxa"/>
            <w:gridSpan w:val="4"/>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00" w:hRule="auto"/>
          <w:jc w:val="left"/>
        </w:trPr>
        <w:tc>
          <w:tcPr>
            <w:tcW w:w="2188" w:type="dxa"/>
            <w:vMerge/>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958" w:type="dxa"/>
            <w:gridSpan w:val="2"/>
            <w:tcBorders>
              <w:top w:val="single" w:color="000000" w:sz="4"/>
              <w:left w:val="single" w:color="000000" w:sz="4"/>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Coinfected</w:t>
            </w:r>
          </w:p>
        </w:tc>
        <w:tc>
          <w:tcPr>
            <w:tcW w:w="1960" w:type="dxa"/>
            <w:gridSpan w:val="2"/>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Non-coinfected</w:t>
            </w:r>
          </w:p>
        </w:tc>
        <w:tc>
          <w:tcPr>
            <w:tcW w:w="1960" w:type="dxa"/>
            <w:gridSpan w:val="2"/>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Coinfected</w:t>
            </w:r>
          </w:p>
        </w:tc>
        <w:tc>
          <w:tcPr>
            <w:tcW w:w="1959" w:type="dxa"/>
            <w:gridSpan w:val="2"/>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Non-coinfected</w:t>
            </w:r>
          </w:p>
        </w:tc>
        <w:tc>
          <w:tcPr>
            <w:tcW w:w="1960" w:type="dxa"/>
            <w:gridSpan w:val="2"/>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Coinfected</w:t>
            </w:r>
          </w:p>
        </w:tc>
        <w:tc>
          <w:tcPr>
            <w:tcW w:w="1963" w:type="dxa"/>
            <w:gridSpan w:val="2"/>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Non-coinfected</w:t>
            </w:r>
          </w:p>
        </w:tc>
      </w:tr>
      <w:tr>
        <w:trPr>
          <w:trHeight w:val="300" w:hRule="auto"/>
          <w:jc w:val="left"/>
        </w:trPr>
        <w:tc>
          <w:tcPr>
            <w:tcW w:w="2188" w:type="dxa"/>
            <w:vMerge/>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 yrs</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18+ yrs</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 yrs</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18+ yrs</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 yrs</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18+ yrs</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 yrs</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18+ yrs</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 yrs</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18+ yrs</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 yrs</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18+ yrs</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Gender</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Male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1340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5073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686</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2918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11,565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1120</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267,504</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Female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4440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328</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2613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8382</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1003</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191,555</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Unknown</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2609</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Clinically-managed</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Yes</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783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5557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630</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4224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13,478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500</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207,011</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1139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3959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384</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1307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6512</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1699</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254,657</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HCV/HIV coinfection</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Both HCV &amp; HIV</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386</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HCV only</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1262</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838</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18,437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HIV only</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121</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None</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9516</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5531</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2199</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461,668</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HDV coinfection</w:t>
            </w:r>
            <w:r>
              <w:rPr>
                <w:rFonts w:ascii="Calibri" w:hAnsi="Calibri" w:cs="Calibri" w:eastAsia="Calibri"/>
                <w:b/>
                <w:color w:val="auto"/>
                <w:spacing w:val="0"/>
                <w:position w:val="0"/>
                <w:sz w:val="22"/>
                <w:shd w:fill="auto" w:val="clear"/>
                <w:vertAlign w:val="superscript"/>
              </w:rPr>
              <w:t xml:space="preserve">a</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Evidence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780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114</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11,661</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Cancer</w:t>
            </w:r>
            <w:r>
              <w:rPr>
                <w:rFonts w:ascii="Calibri" w:hAnsi="Calibri" w:cs="Calibri" w:eastAsia="Calibri"/>
                <w:b/>
                <w:color w:val="auto"/>
                <w:spacing w:val="0"/>
                <w:position w:val="0"/>
                <w:sz w:val="22"/>
                <w:shd w:fill="auto" w:val="clear"/>
                <w:vertAlign w:val="superscript"/>
              </w:rPr>
              <w:t xml:space="preserve">a</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Haematological</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2539</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HCC</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1792</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12,384</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Non-HCC solid state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1639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25,341</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Cancer NOS</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784</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None</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1588</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8499</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922</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5113</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16,486</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2154</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420,620</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Liver fibrosis</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Any evidence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5220</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 evidence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1880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9442</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997</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5487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19,505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2177</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456,448</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Cirrhosis</w:t>
            </w:r>
            <w:r>
              <w:rPr>
                <w:rFonts w:ascii="Calibri" w:hAnsi="Calibri" w:cs="Calibri" w:eastAsia="Calibri"/>
                <w:b/>
                <w:color w:val="auto"/>
                <w:spacing w:val="0"/>
                <w:position w:val="0"/>
                <w:sz w:val="22"/>
                <w:shd w:fill="auto" w:val="clear"/>
                <w:vertAlign w:val="superscript"/>
              </w:rPr>
              <w:t xml:space="preserve">a</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Decompensated</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296</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127</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262</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1530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169</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14670</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Compensated</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97</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2940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25734</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None</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1418</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131</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8725</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790</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5034</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15,520</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2008</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421,264</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Liver transplant</w:t>
            </w:r>
            <w:r>
              <w:rPr>
                <w:rFonts w:ascii="Calibri" w:hAnsi="Calibri" w:cs="Calibri" w:eastAsia="Calibri"/>
                <w:b/>
                <w:color w:val="auto"/>
                <w:spacing w:val="0"/>
                <w:position w:val="0"/>
                <w:sz w:val="22"/>
                <w:shd w:fill="auto" w:val="clear"/>
                <w:vertAlign w:val="superscript"/>
              </w:rPr>
              <w:t xml:space="preserve">a</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Any history</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1076</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 history</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1833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129</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9381</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993</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5484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19,895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2193</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460,592</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Osteodystrophy</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Any evidence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977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754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7765</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 evidence</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1713</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8539</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966</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5252</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19,236</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2195</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453,903</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Hyperlipidaemia</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Any evidence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867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3820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139</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1245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3890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79</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90012</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 evidence</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1055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128</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5696</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875</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4286</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16,100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2120</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371,656</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Chronic Kidney Disease</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CKD</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845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75</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1673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15877</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None</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1645</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8671</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939</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5257</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18,317</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2191</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445,791</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Outpatient presentation</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 (%)</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1914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131</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9205</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19,989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2169</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455,709</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Mean (SD)</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24.27 (30.30)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15.58 (22.24)</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15.80 (17.00)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127.30 (19.20)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14.23 (11.79)</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118.08 (14.32)</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Office-based physician</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 (%)</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1011</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5401</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Mean (SD)</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15.54 (12.86)</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14.04 (14.45)</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Acute day ward</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 (%)</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1011</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769</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Mean (SD)</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15.54 (12.86)</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2.05 (1.27)</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r>
      <w:tr>
        <w:trPr>
          <w:trHeight w:val="300" w:hRule="auto"/>
          <w:jc w:val="left"/>
        </w:trPr>
        <w:tc>
          <w:tcPr>
            <w:tcW w:w="218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Hospital admission</w:t>
            </w:r>
          </w:p>
        </w:tc>
        <w:tc>
          <w:tcPr>
            <w:tcW w:w="978"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7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98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0" w:hRule="auto"/>
          <w:jc w:val="left"/>
        </w:trPr>
        <w:tc>
          <w:tcPr>
            <w:tcW w:w="218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 (%)</w:t>
            </w:r>
          </w:p>
        </w:tc>
        <w:tc>
          <w:tcPr>
            <w:tcW w:w="978"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441</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1050</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500</w:t>
            </w:r>
          </w:p>
        </w:tc>
        <w:tc>
          <w:tcPr>
            <w:tcW w:w="97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1443</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98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5668</w:t>
            </w:r>
          </w:p>
        </w:tc>
        <w:tc>
          <w:tcPr>
            <w:tcW w:w="98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147</w:t>
            </w:r>
          </w:p>
        </w:tc>
        <w:tc>
          <w:tcPr>
            <w:tcW w:w="98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58331</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Mean (SD)</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0.56 (1.52)</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0.21 (0.86)</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2.96 (2.86)</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2.11 (2.03)</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1.20 (0.45)</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2.17 (2.09)</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1.82 (2.20)</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1.76 (1.79)</w:t>
            </w:r>
          </w:p>
        </w:tc>
      </w:tr>
      <w:tr>
        <w:trPr>
          <w:trHeight w:val="300" w:hRule="auto"/>
          <w:jc w:val="left"/>
        </w:trPr>
        <w:tc>
          <w:tcPr>
            <w:tcW w:w="218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Total</w:t>
            </w:r>
          </w:p>
        </w:tc>
        <w:tc>
          <w:tcPr>
            <w:tcW w:w="978"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1922</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9516</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1014</w:t>
            </w:r>
          </w:p>
        </w:tc>
        <w:tc>
          <w:tcPr>
            <w:tcW w:w="9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5531</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tc>
        <w:tc>
          <w:tcPr>
            <w:tcW w:w="98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19990</w:t>
            </w:r>
          </w:p>
        </w:tc>
        <w:tc>
          <w:tcPr>
            <w:tcW w:w="98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2199</w:t>
            </w:r>
          </w:p>
        </w:tc>
        <w:tc>
          <w:tcPr>
            <w:tcW w:w="98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461668</w:t>
            </w:r>
          </w:p>
        </w:tc>
      </w:tr>
    </w:tbl>
    <w:p>
      <w:pPr>
        <w:spacing w:before="0" w:after="22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CI, confidence interval; CKD, chronic kidney disease; HCC, hepatocellular carcinoma; HCV, hepatitis C virus; HDV, hepatitis delta virus; HIV, human immunodeficiency virus; NOS, not otherwise stated; SD, standard deviation; yrs, years. </w:t>
      </w:r>
      <w:r>
        <w:rPr>
          <w:rFonts w:ascii="Calibri" w:hAnsi="Calibri" w:cs="Calibri" w:eastAsia="Calibri"/>
          <w:color w:val="auto"/>
          <w:spacing w:val="0"/>
          <w:position w:val="0"/>
          <w:sz w:val="20"/>
          <w:shd w:fill="auto" w:val="clear"/>
          <w:vertAlign w:val="superscript"/>
        </w:rPr>
        <w:t xml:space="preserve">a</w:t>
      </w:r>
      <w:r>
        <w:rPr>
          <w:rFonts w:ascii="Calibri" w:hAnsi="Calibri" w:cs="Calibri" w:eastAsia="Calibri"/>
          <w:color w:val="auto"/>
          <w:spacing w:val="0"/>
          <w:position w:val="0"/>
          <w:sz w:val="20"/>
          <w:shd w:fill="auto" w:val="clear"/>
        </w:rPr>
        <w:t xml:space="preserve">Characteristics were assessed throughout patients’ historical records.</w:t>
      </w:r>
    </w:p>
    <w:p>
      <w:pPr>
        <w:spacing w:before="0" w:after="220" w:line="360"/>
        <w:ind w:right="0" w:left="0" w:firstLine="0"/>
        <w:jc w:val="left"/>
        <w:rPr>
          <w:rFonts w:ascii="Calibri" w:hAnsi="Calibri" w:cs="Calibri" w:eastAsia="Calibri"/>
          <w:color w:val="auto"/>
          <w:spacing w:val="0"/>
          <w:position w:val="0"/>
          <w:sz w:val="22"/>
          <w:shd w:fill="auto" w:val="clear"/>
        </w:rPr>
      </w:pPr>
    </w:p>
    <w:p>
      <w:pPr>
        <w:spacing w:before="0" w:after="220" w:line="360"/>
        <w:ind w:right="0" w:left="0" w:firstLine="0"/>
        <w:jc w:val="left"/>
        <w:rPr>
          <w:rFonts w:ascii="Calibri" w:hAnsi="Calibri" w:cs="Calibri" w:eastAsia="Calibri"/>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6. Treatment at index among (A) coinfected patients and (B) non-coinfected patients.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w:t>
      </w:r>
    </w:p>
    <w:tbl>
      <w:tblPr/>
      <w:tblGrid>
        <w:gridCol w:w="2451"/>
        <w:gridCol w:w="562"/>
        <w:gridCol w:w="679"/>
        <w:gridCol w:w="683"/>
        <w:gridCol w:w="562"/>
        <w:gridCol w:w="679"/>
        <w:gridCol w:w="683"/>
        <w:gridCol w:w="549"/>
        <w:gridCol w:w="1085"/>
        <w:gridCol w:w="829"/>
      </w:tblGrid>
      <w:tr>
        <w:trPr>
          <w:trHeight w:val="315" w:hRule="auto"/>
          <w:jc w:val="left"/>
        </w:trPr>
        <w:tc>
          <w:tcPr>
            <w:tcW w:w="2451" w:type="dxa"/>
            <w:vMerge w:val="restart"/>
            <w:tcBorders>
              <w:top w:val="single" w:color="000000" w:sz="8"/>
              <w:left w:val="single" w:color="000000" w:sz="4"/>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Parameter, n</w:t>
            </w:r>
          </w:p>
        </w:tc>
        <w:tc>
          <w:tcPr>
            <w:tcW w:w="1924"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1924" w:type="dxa"/>
            <w:gridSpan w:val="3"/>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2463"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00" w:hRule="auto"/>
          <w:jc w:val="left"/>
        </w:trPr>
        <w:tc>
          <w:tcPr>
            <w:tcW w:w="2451" w:type="dxa"/>
            <w:vMerge/>
            <w:tcBorders>
              <w:top w:val="single" w:color="000000" w:sz="8"/>
              <w:left w:val="single" w:color="000000" w:sz="4"/>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41"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241" w:type="dxa"/>
            <w:gridSpan w:val="2"/>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634"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829"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r>
      <w:tr>
        <w:trPr>
          <w:trHeight w:val="315" w:hRule="auto"/>
          <w:jc w:val="left"/>
        </w:trPr>
        <w:tc>
          <w:tcPr>
            <w:tcW w:w="2451" w:type="dxa"/>
            <w:vMerge/>
            <w:tcBorders>
              <w:top w:val="single" w:color="000000" w:sz="8"/>
              <w:left w:val="single" w:color="000000" w:sz="4"/>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6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&lt;18</w:t>
            </w:r>
          </w:p>
        </w:tc>
        <w:tc>
          <w:tcPr>
            <w:tcW w:w="679"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w:t>
            </w:r>
          </w:p>
        </w:tc>
        <w:tc>
          <w:tcPr>
            <w:tcW w:w="683" w:type="dxa"/>
            <w:vMerge/>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56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&lt;18</w:t>
            </w:r>
          </w:p>
        </w:tc>
        <w:tc>
          <w:tcPr>
            <w:tcW w:w="679"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w:t>
            </w:r>
          </w:p>
        </w:tc>
        <w:tc>
          <w:tcPr>
            <w:tcW w:w="683"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549"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&lt;18</w:t>
            </w:r>
          </w:p>
        </w:tc>
        <w:tc>
          <w:tcPr>
            <w:tcW w:w="1085"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w:t>
            </w:r>
          </w:p>
        </w:tc>
        <w:tc>
          <w:tcPr>
            <w:tcW w:w="829" w:type="dxa"/>
            <w:vMerge/>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Treated</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593</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593</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190</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190</w:t>
            </w:r>
          </w:p>
        </w:tc>
        <w:tc>
          <w:tcPr>
            <w:tcW w:w="54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1232</w:t>
            </w:r>
          </w:p>
        </w:tc>
        <w:tc>
          <w:tcPr>
            <w:tcW w:w="82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1232</w:t>
            </w: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Interferon monotherapy</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54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tc>
        <w:tc>
          <w:tcPr>
            <w:tcW w:w="829"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Interferon alpha</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PEG-interferon</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54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tc>
        <w:tc>
          <w:tcPr>
            <w:tcW w:w="829"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NA monotherapy</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546</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546</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160</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160</w:t>
            </w:r>
          </w:p>
        </w:tc>
        <w:tc>
          <w:tcPr>
            <w:tcW w:w="54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1201</w:t>
            </w:r>
          </w:p>
        </w:tc>
        <w:tc>
          <w:tcPr>
            <w:tcW w:w="829"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1201</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Adefovir</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Entecavir</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89</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89</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576</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576</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Lamivudine</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Telbivudine</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Tenofovir</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424</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424</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147</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147</w:t>
            </w:r>
          </w:p>
        </w:tc>
        <w:tc>
          <w:tcPr>
            <w:tcW w:w="54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436</w:t>
            </w:r>
          </w:p>
        </w:tc>
        <w:tc>
          <w:tcPr>
            <w:tcW w:w="829"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436</w:t>
            </w: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Combination therapies</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54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82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IFN + NAs</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82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NA combinations</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4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085"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82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r>
      <w:tr>
        <w:trPr>
          <w:trHeight w:val="300" w:hRule="auto"/>
          <w:jc w:val="left"/>
        </w:trPr>
        <w:tc>
          <w:tcPr>
            <w:tcW w:w="2451" w:type="dxa"/>
            <w:tcBorders>
              <w:top w:val="single" w:color="000000" w:sz="4"/>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Untreated</w:t>
            </w:r>
          </w:p>
        </w:tc>
        <w:tc>
          <w:tcPr>
            <w:tcW w:w="56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79"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1329</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1333</w:t>
            </w:r>
          </w:p>
        </w:tc>
        <w:tc>
          <w:tcPr>
            <w:tcW w:w="56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824</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824</w:t>
            </w:r>
          </w:p>
        </w:tc>
        <w:tc>
          <w:tcPr>
            <w:tcW w:w="549"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tc>
        <w:tc>
          <w:tcPr>
            <w:tcW w:w="1085"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18,758</w:t>
            </w:r>
          </w:p>
        </w:tc>
        <w:tc>
          <w:tcPr>
            <w:tcW w:w="829"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18,785</w:t>
            </w:r>
          </w:p>
        </w:tc>
      </w:tr>
      <w:tr>
        <w:trPr>
          <w:trHeight w:val="315" w:hRule="auto"/>
          <w:jc w:val="left"/>
        </w:trPr>
        <w:tc>
          <w:tcPr>
            <w:tcW w:w="2451" w:type="dxa"/>
            <w:tcBorders>
              <w:top w:val="single" w:color="000000" w:sz="4"/>
              <w:left w:val="single" w:color="000000" w:sz="4"/>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562" w:type="dxa"/>
            <w:tcBorders>
              <w:top w:val="single" w:color="000000" w:sz="4"/>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79" w:type="dxa"/>
            <w:tcBorders>
              <w:top w:val="single" w:color="000000" w:sz="4"/>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1922</w:t>
            </w:r>
          </w:p>
        </w:tc>
        <w:tc>
          <w:tcPr>
            <w:tcW w:w="683" w:type="dxa"/>
            <w:tcBorders>
              <w:top w:val="single" w:color="000000" w:sz="4"/>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1926</w:t>
            </w:r>
          </w:p>
        </w:tc>
        <w:tc>
          <w:tcPr>
            <w:tcW w:w="562" w:type="dxa"/>
            <w:tcBorders>
              <w:top w:val="single" w:color="000000" w:sz="4"/>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1014</w:t>
            </w:r>
          </w:p>
        </w:tc>
        <w:tc>
          <w:tcPr>
            <w:tcW w:w="683" w:type="dxa"/>
            <w:tcBorders>
              <w:top w:val="single" w:color="000000" w:sz="4"/>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6592</w:t>
            </w:r>
          </w:p>
        </w:tc>
        <w:tc>
          <w:tcPr>
            <w:tcW w:w="549" w:type="dxa"/>
            <w:tcBorders>
              <w:top w:val="single" w:color="000000" w:sz="4"/>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tc>
        <w:tc>
          <w:tcPr>
            <w:tcW w:w="1085" w:type="dxa"/>
            <w:tcBorders>
              <w:top w:val="single" w:color="000000" w:sz="4"/>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19,990</w:t>
            </w:r>
          </w:p>
        </w:tc>
        <w:tc>
          <w:tcPr>
            <w:tcW w:w="829" w:type="dxa"/>
            <w:tcBorders>
              <w:top w:val="single" w:color="000000" w:sz="4"/>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20,017</w:t>
            </w:r>
          </w:p>
        </w:tc>
      </w:tr>
    </w:tbl>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w:t>
      </w:r>
    </w:p>
    <w:tbl>
      <w:tblPr/>
      <w:tblGrid>
        <w:gridCol w:w="2451"/>
        <w:gridCol w:w="563"/>
        <w:gridCol w:w="678"/>
        <w:gridCol w:w="683"/>
        <w:gridCol w:w="562"/>
        <w:gridCol w:w="679"/>
        <w:gridCol w:w="683"/>
        <w:gridCol w:w="663"/>
        <w:gridCol w:w="940"/>
        <w:gridCol w:w="940"/>
      </w:tblGrid>
      <w:tr>
        <w:trPr>
          <w:trHeight w:val="315" w:hRule="auto"/>
          <w:jc w:val="left"/>
        </w:trPr>
        <w:tc>
          <w:tcPr>
            <w:tcW w:w="2451" w:type="dxa"/>
            <w:vMerge w:val="restart"/>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Parameter, n</w:t>
            </w:r>
          </w:p>
        </w:tc>
        <w:tc>
          <w:tcPr>
            <w:tcW w:w="1924"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1924" w:type="dxa"/>
            <w:gridSpan w:val="3"/>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2543"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00" w:hRule="auto"/>
          <w:jc w:val="left"/>
        </w:trPr>
        <w:tc>
          <w:tcPr>
            <w:tcW w:w="2451" w:type="dxa"/>
            <w:vMerge/>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41"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241" w:type="dxa"/>
            <w:gridSpan w:val="2"/>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603"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940"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r>
      <w:tr>
        <w:trPr>
          <w:trHeight w:val="315" w:hRule="auto"/>
          <w:jc w:val="left"/>
        </w:trPr>
        <w:tc>
          <w:tcPr>
            <w:tcW w:w="2451" w:type="dxa"/>
            <w:vMerge/>
            <w:tcBorders>
              <w:top w:val="single" w:color="000000" w:sz="8"/>
              <w:left w:val="single" w:color="000000" w:sz="8"/>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&lt;18</w:t>
            </w:r>
          </w:p>
        </w:tc>
        <w:tc>
          <w:tcPr>
            <w:tcW w:w="678"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w:t>
            </w:r>
          </w:p>
        </w:tc>
        <w:tc>
          <w:tcPr>
            <w:tcW w:w="683" w:type="dxa"/>
            <w:vMerge/>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&lt;18</w:t>
            </w:r>
          </w:p>
        </w:tc>
        <w:tc>
          <w:tcPr>
            <w:tcW w:w="6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w:t>
            </w:r>
          </w:p>
        </w:tc>
        <w:tc>
          <w:tcPr>
            <w:tcW w:w="683" w:type="dxa"/>
            <w:vMerge/>
            <w:tcBorders>
              <w:top w:val="single" w:color="000000" w:sz="8"/>
              <w:left w:val="single" w:color="000000" w:sz="8"/>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6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&lt;18</w:t>
            </w:r>
          </w:p>
        </w:tc>
        <w:tc>
          <w:tcPr>
            <w:tcW w:w="940"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w:t>
            </w:r>
          </w:p>
        </w:tc>
        <w:tc>
          <w:tcPr>
            <w:tcW w:w="940" w:type="dxa"/>
            <w:vMerge/>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r>
      <w:tr>
        <w:trPr>
          <w:trHeight w:val="300" w:hRule="auto"/>
          <w:jc w:val="left"/>
        </w:trPr>
        <w:tc>
          <w:tcPr>
            <w:tcW w:w="2451" w:type="dxa"/>
            <w:tcBorders>
              <w:top w:val="single" w:color="000000" w:sz="4"/>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Treated</w:t>
            </w:r>
          </w:p>
        </w:tc>
        <w:tc>
          <w:tcPr>
            <w:tcW w:w="56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678"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1830</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1833</w:t>
            </w:r>
          </w:p>
        </w:tc>
        <w:tc>
          <w:tcPr>
            <w:tcW w:w="56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79"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615</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616</w:t>
            </w:r>
          </w:p>
        </w:tc>
        <w:tc>
          <w:tcPr>
            <w:tcW w:w="66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w:t>
            </w:r>
          </w:p>
        </w:tc>
        <w:tc>
          <w:tcPr>
            <w:tcW w:w="940"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27,292</w:t>
            </w:r>
          </w:p>
        </w:tc>
        <w:tc>
          <w:tcPr>
            <w:tcW w:w="940"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27,331</w:t>
            </w: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Interferon monotherapy</w:t>
            </w:r>
          </w:p>
        </w:tc>
        <w:tc>
          <w:tcPr>
            <w:tcW w:w="56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66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40"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w:t>
            </w:r>
          </w:p>
        </w:tc>
        <w:tc>
          <w:tcPr>
            <w:tcW w:w="94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Interferon alpha</w:t>
            </w:r>
          </w:p>
        </w:tc>
        <w:tc>
          <w:tcPr>
            <w:tcW w:w="5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40"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c>
          <w:tcPr>
            <w:tcW w:w="94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PEG-interferon</w:t>
            </w:r>
          </w:p>
        </w:tc>
        <w:tc>
          <w:tcPr>
            <w:tcW w:w="5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w:t>
            </w:r>
          </w:p>
        </w:tc>
        <w:tc>
          <w:tcPr>
            <w:tcW w:w="6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40"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94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NA monotherapy</w:t>
            </w:r>
          </w:p>
        </w:tc>
        <w:tc>
          <w:tcPr>
            <w:tcW w:w="56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678"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1727</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1730</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598</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599</w:t>
            </w:r>
          </w:p>
        </w:tc>
        <w:tc>
          <w:tcPr>
            <w:tcW w:w="66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w:t>
            </w:r>
          </w:p>
        </w:tc>
        <w:tc>
          <w:tcPr>
            <w:tcW w:w="940"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27,249</w:t>
            </w:r>
          </w:p>
        </w:tc>
        <w:tc>
          <w:tcPr>
            <w:tcW w:w="94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27,288</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Adefovir</w:t>
            </w:r>
          </w:p>
        </w:tc>
        <w:tc>
          <w:tcPr>
            <w:tcW w:w="5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106</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106</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w:t>
            </w:r>
          </w:p>
        </w:tc>
        <w:tc>
          <w:tcPr>
            <w:tcW w:w="6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40"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829</w:t>
            </w:r>
          </w:p>
        </w:tc>
        <w:tc>
          <w:tcPr>
            <w:tcW w:w="94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833</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Entecavir</w:t>
            </w:r>
          </w:p>
        </w:tc>
        <w:tc>
          <w:tcPr>
            <w:tcW w:w="5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78"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652</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188</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189</w:t>
            </w:r>
          </w:p>
        </w:tc>
        <w:tc>
          <w:tcPr>
            <w:tcW w:w="6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w:t>
            </w:r>
          </w:p>
        </w:tc>
        <w:tc>
          <w:tcPr>
            <w:tcW w:w="940"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18,460</w:t>
            </w:r>
          </w:p>
        </w:tc>
        <w:tc>
          <w:tcPr>
            <w:tcW w:w="94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18,485</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Lamivudine</w:t>
            </w:r>
          </w:p>
        </w:tc>
        <w:tc>
          <w:tcPr>
            <w:tcW w:w="5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w:t>
            </w:r>
          </w:p>
        </w:tc>
        <w:tc>
          <w:tcPr>
            <w:tcW w:w="6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40"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2503</w:t>
            </w:r>
          </w:p>
        </w:tc>
        <w:tc>
          <w:tcPr>
            <w:tcW w:w="94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2507</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Telbivudine</w:t>
            </w:r>
          </w:p>
        </w:tc>
        <w:tc>
          <w:tcPr>
            <w:tcW w:w="5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w:t>
            </w:r>
          </w:p>
        </w:tc>
        <w:tc>
          <w:tcPr>
            <w:tcW w:w="6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940"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2467</w:t>
            </w:r>
          </w:p>
        </w:tc>
        <w:tc>
          <w:tcPr>
            <w:tcW w:w="94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2469</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Tenofovir</w:t>
            </w:r>
          </w:p>
        </w:tc>
        <w:tc>
          <w:tcPr>
            <w:tcW w:w="5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78"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908</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909</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309</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309</w:t>
            </w:r>
          </w:p>
        </w:tc>
        <w:tc>
          <w:tcPr>
            <w:tcW w:w="6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940"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2990</w:t>
            </w:r>
          </w:p>
        </w:tc>
        <w:tc>
          <w:tcPr>
            <w:tcW w:w="94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2994</w:t>
            </w: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Combination therapies</w:t>
            </w:r>
          </w:p>
        </w:tc>
        <w:tc>
          <w:tcPr>
            <w:tcW w:w="56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w:t>
            </w:r>
          </w:p>
        </w:tc>
        <w:tc>
          <w:tcPr>
            <w:tcW w:w="56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w:t>
            </w:r>
          </w:p>
        </w:tc>
        <w:tc>
          <w:tcPr>
            <w:tcW w:w="663"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40"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w:t>
            </w:r>
          </w:p>
        </w:tc>
        <w:tc>
          <w:tcPr>
            <w:tcW w:w="940"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IFN + NAs</w:t>
            </w:r>
          </w:p>
        </w:tc>
        <w:tc>
          <w:tcPr>
            <w:tcW w:w="5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6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6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40"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40"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NA combinations</w:t>
            </w:r>
          </w:p>
        </w:tc>
        <w:tc>
          <w:tcPr>
            <w:tcW w:w="5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8"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7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c>
          <w:tcPr>
            <w:tcW w:w="6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940"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w:t>
            </w:r>
          </w:p>
        </w:tc>
        <w:tc>
          <w:tcPr>
            <w:tcW w:w="940"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w:t>
            </w:r>
          </w:p>
        </w:tc>
      </w:tr>
      <w:tr>
        <w:trPr>
          <w:trHeight w:val="315" w:hRule="auto"/>
          <w:jc w:val="left"/>
        </w:trPr>
        <w:tc>
          <w:tcPr>
            <w:tcW w:w="2451" w:type="dxa"/>
            <w:tcBorders>
              <w:top w:val="single" w:color="000000" w:sz="4"/>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Untreated</w:t>
            </w:r>
          </w:p>
        </w:tc>
        <w:tc>
          <w:tcPr>
            <w:tcW w:w="56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129</w:t>
            </w:r>
          </w:p>
        </w:tc>
        <w:tc>
          <w:tcPr>
            <w:tcW w:w="678"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7686</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7815</w:t>
            </w:r>
          </w:p>
        </w:tc>
        <w:tc>
          <w:tcPr>
            <w:tcW w:w="562"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w:t>
            </w:r>
          </w:p>
        </w:tc>
        <w:tc>
          <w:tcPr>
            <w:tcW w:w="679"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4916</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4962</w:t>
            </w:r>
          </w:p>
        </w:tc>
        <w:tc>
          <w:tcPr>
            <w:tcW w:w="663"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2160</w:t>
            </w:r>
          </w:p>
        </w:tc>
        <w:tc>
          <w:tcPr>
            <w:tcW w:w="940"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434,376</w:t>
            </w:r>
          </w:p>
        </w:tc>
        <w:tc>
          <w:tcPr>
            <w:tcW w:w="940"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436,536</w:t>
            </w:r>
          </w:p>
        </w:tc>
      </w:tr>
      <w:tr>
        <w:trPr>
          <w:trHeight w:val="315" w:hRule="auto"/>
          <w:jc w:val="left"/>
        </w:trPr>
        <w:tc>
          <w:tcPr>
            <w:tcW w:w="2451" w:type="dxa"/>
            <w:tcBorders>
              <w:top w:val="single" w:color="000000" w:sz="4"/>
              <w:left w:val="single" w:color="000000" w:sz="4"/>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5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w:t>
            </w:r>
          </w:p>
        </w:tc>
        <w:tc>
          <w:tcPr>
            <w:tcW w:w="678"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9516</w:t>
            </w:r>
          </w:p>
        </w:tc>
        <w:tc>
          <w:tcPr>
            <w:tcW w:w="683"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9648</w:t>
            </w:r>
          </w:p>
        </w:tc>
        <w:tc>
          <w:tcPr>
            <w:tcW w:w="56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w:t>
            </w:r>
          </w:p>
        </w:tc>
        <w:tc>
          <w:tcPr>
            <w:tcW w:w="67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5531</w:t>
            </w:r>
          </w:p>
        </w:tc>
        <w:tc>
          <w:tcPr>
            <w:tcW w:w="683"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5578</w:t>
            </w:r>
          </w:p>
        </w:tc>
        <w:tc>
          <w:tcPr>
            <w:tcW w:w="66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2199</w:t>
            </w:r>
          </w:p>
        </w:tc>
        <w:tc>
          <w:tcPr>
            <w:tcW w:w="94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461,668</w:t>
            </w:r>
          </w:p>
        </w:tc>
        <w:tc>
          <w:tcPr>
            <w:tcW w:w="940"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463,867</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IFN, interferon; NA, nucleos(t)ide analogues; PEG-interferon, pegylated interferon.</w:t>
      </w: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7. Treatment amongst those initiating treatment during follow-up among (A) coinfected patients and (B) non-coinfected patients.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w:t>
      </w:r>
    </w:p>
    <w:tbl>
      <w:tblPr/>
      <w:tblGrid>
        <w:gridCol w:w="2451"/>
        <w:gridCol w:w="621"/>
        <w:gridCol w:w="621"/>
        <w:gridCol w:w="683"/>
        <w:gridCol w:w="621"/>
        <w:gridCol w:w="621"/>
        <w:gridCol w:w="683"/>
        <w:gridCol w:w="550"/>
        <w:gridCol w:w="791"/>
        <w:gridCol w:w="853"/>
      </w:tblGrid>
      <w:tr>
        <w:trPr>
          <w:trHeight w:val="315" w:hRule="auto"/>
          <w:jc w:val="left"/>
        </w:trPr>
        <w:tc>
          <w:tcPr>
            <w:tcW w:w="2451"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Parameter, n</w:t>
            </w:r>
          </w:p>
        </w:tc>
        <w:tc>
          <w:tcPr>
            <w:tcW w:w="1925"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1925" w:type="dxa"/>
            <w:gridSpan w:val="3"/>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2194"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00" w:hRule="auto"/>
          <w:jc w:val="left"/>
        </w:trPr>
        <w:tc>
          <w:tcPr>
            <w:tcW w:w="2451"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42"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242" w:type="dxa"/>
            <w:gridSpan w:val="2"/>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341"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853"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r>
      <w:tr>
        <w:trPr>
          <w:trHeight w:val="315" w:hRule="auto"/>
          <w:jc w:val="left"/>
        </w:trPr>
        <w:tc>
          <w:tcPr>
            <w:tcW w:w="2451" w:type="dxa"/>
            <w:vMerge/>
            <w:tcBorders>
              <w:top w:val="single" w:color="000000" w:sz="8"/>
              <w:left w:val="single" w:color="000000" w:sz="8"/>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1"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w:t>
            </w:r>
          </w:p>
        </w:tc>
        <w:tc>
          <w:tcPr>
            <w:tcW w:w="62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18</w:t>
            </w:r>
          </w:p>
        </w:tc>
        <w:tc>
          <w:tcPr>
            <w:tcW w:w="683" w:type="dxa"/>
            <w:vMerge/>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621"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w:t>
            </w:r>
          </w:p>
        </w:tc>
        <w:tc>
          <w:tcPr>
            <w:tcW w:w="621"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18</w:t>
            </w:r>
          </w:p>
        </w:tc>
        <w:tc>
          <w:tcPr>
            <w:tcW w:w="683" w:type="dxa"/>
            <w:vMerge/>
            <w:tcBorders>
              <w:top w:val="single" w:color="000000" w:sz="8"/>
              <w:left w:val="single" w:color="000000" w:sz="8"/>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55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w:t>
            </w:r>
          </w:p>
        </w:tc>
        <w:tc>
          <w:tcPr>
            <w:tcW w:w="79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18</w:t>
            </w:r>
          </w:p>
        </w:tc>
        <w:tc>
          <w:tcPr>
            <w:tcW w:w="853" w:type="dxa"/>
            <w:vMerge/>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r>
      <w:tr>
        <w:trPr>
          <w:trHeight w:val="300" w:hRule="auto"/>
          <w:jc w:val="left"/>
        </w:trPr>
        <w:tc>
          <w:tcPr>
            <w:tcW w:w="2451"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Interferon monotherapy</w:t>
            </w:r>
          </w:p>
        </w:tc>
        <w:tc>
          <w:tcPr>
            <w:tcW w:w="621" w:type="dxa"/>
            <w:tcBorders>
              <w:top w:val="single" w:color="000000" w:sz="4"/>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w:t>
            </w:r>
          </w:p>
        </w:tc>
        <w:tc>
          <w:tcPr>
            <w:tcW w:w="621"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w:t>
            </w:r>
          </w:p>
        </w:tc>
        <w:tc>
          <w:tcPr>
            <w:tcW w:w="55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438</w:t>
            </w:r>
          </w:p>
        </w:tc>
        <w:tc>
          <w:tcPr>
            <w:tcW w:w="85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438</w:t>
            </w:r>
          </w:p>
        </w:tc>
      </w:tr>
      <w:tr>
        <w:trPr>
          <w:trHeight w:val="300" w:hRule="auto"/>
          <w:jc w:val="left"/>
        </w:trPr>
        <w:tc>
          <w:tcPr>
            <w:tcW w:w="2451"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Interferon alpha</w:t>
            </w:r>
          </w:p>
        </w:tc>
        <w:tc>
          <w:tcPr>
            <w:tcW w:w="62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5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85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451"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PEG-interferon</w:t>
            </w:r>
          </w:p>
        </w:tc>
        <w:tc>
          <w:tcPr>
            <w:tcW w:w="621" w:type="dxa"/>
            <w:tcBorders>
              <w:top w:val="single" w:color="000000" w:sz="0"/>
              <w:left w:val="single" w:color="000000" w:sz="8"/>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w:t>
            </w:r>
          </w:p>
        </w:tc>
        <w:tc>
          <w:tcPr>
            <w:tcW w:w="621"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w:t>
            </w:r>
          </w:p>
        </w:tc>
        <w:tc>
          <w:tcPr>
            <w:tcW w:w="55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438</w:t>
            </w:r>
          </w:p>
        </w:tc>
        <w:tc>
          <w:tcPr>
            <w:tcW w:w="85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438</w:t>
            </w:r>
          </w:p>
        </w:tc>
      </w:tr>
      <w:tr>
        <w:trPr>
          <w:trHeight w:val="300" w:hRule="auto"/>
          <w:jc w:val="left"/>
        </w:trPr>
        <w:tc>
          <w:tcPr>
            <w:tcW w:w="2451"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NA monotherapy</w:t>
            </w:r>
          </w:p>
        </w:tc>
        <w:tc>
          <w:tcPr>
            <w:tcW w:w="621" w:type="dxa"/>
            <w:tcBorders>
              <w:top w:val="single" w:color="000000" w:sz="4"/>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73</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73</w:t>
            </w:r>
          </w:p>
        </w:tc>
        <w:tc>
          <w:tcPr>
            <w:tcW w:w="621"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w:t>
            </w:r>
          </w:p>
        </w:tc>
        <w:tc>
          <w:tcPr>
            <w:tcW w:w="55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79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1165</w:t>
            </w:r>
          </w:p>
        </w:tc>
        <w:tc>
          <w:tcPr>
            <w:tcW w:w="85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1168</w:t>
            </w:r>
          </w:p>
        </w:tc>
      </w:tr>
      <w:tr>
        <w:trPr>
          <w:trHeight w:val="300" w:hRule="auto"/>
          <w:jc w:val="left"/>
        </w:trPr>
        <w:tc>
          <w:tcPr>
            <w:tcW w:w="2451"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Adefovir</w:t>
            </w:r>
          </w:p>
        </w:tc>
        <w:tc>
          <w:tcPr>
            <w:tcW w:w="62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5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w:t>
            </w:r>
          </w:p>
        </w:tc>
        <w:tc>
          <w:tcPr>
            <w:tcW w:w="85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w:t>
            </w:r>
          </w:p>
        </w:tc>
      </w:tr>
      <w:tr>
        <w:trPr>
          <w:trHeight w:val="300" w:hRule="auto"/>
          <w:jc w:val="left"/>
        </w:trPr>
        <w:tc>
          <w:tcPr>
            <w:tcW w:w="2451"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Entecavir</w:t>
            </w:r>
          </w:p>
        </w:tc>
        <w:tc>
          <w:tcPr>
            <w:tcW w:w="62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w:t>
            </w:r>
          </w:p>
        </w:tc>
        <w:tc>
          <w:tcPr>
            <w:tcW w:w="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55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79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525</w:t>
            </w:r>
          </w:p>
        </w:tc>
        <w:tc>
          <w:tcPr>
            <w:tcW w:w="85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526</w:t>
            </w:r>
          </w:p>
        </w:tc>
      </w:tr>
      <w:tr>
        <w:trPr>
          <w:trHeight w:val="300" w:hRule="auto"/>
          <w:jc w:val="left"/>
        </w:trPr>
        <w:tc>
          <w:tcPr>
            <w:tcW w:w="2451"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Lamivudine</w:t>
            </w:r>
          </w:p>
        </w:tc>
        <w:tc>
          <w:tcPr>
            <w:tcW w:w="62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w:t>
            </w:r>
          </w:p>
        </w:tc>
        <w:tc>
          <w:tcPr>
            <w:tcW w:w="55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79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w:t>
            </w:r>
          </w:p>
        </w:tc>
        <w:tc>
          <w:tcPr>
            <w:tcW w:w="85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w:t>
            </w:r>
          </w:p>
        </w:tc>
      </w:tr>
      <w:tr>
        <w:trPr>
          <w:trHeight w:val="300" w:hRule="auto"/>
          <w:jc w:val="left"/>
        </w:trPr>
        <w:tc>
          <w:tcPr>
            <w:tcW w:w="2451"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Telbivudine</w:t>
            </w:r>
          </w:p>
        </w:tc>
        <w:tc>
          <w:tcPr>
            <w:tcW w:w="62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55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c>
          <w:tcPr>
            <w:tcW w:w="85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w:t>
            </w:r>
          </w:p>
        </w:tc>
      </w:tr>
      <w:tr>
        <w:trPr>
          <w:trHeight w:val="315" w:hRule="auto"/>
          <w:jc w:val="left"/>
        </w:trPr>
        <w:tc>
          <w:tcPr>
            <w:tcW w:w="2451"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Tenofovir</w:t>
            </w:r>
          </w:p>
        </w:tc>
        <w:tc>
          <w:tcPr>
            <w:tcW w:w="621" w:type="dxa"/>
            <w:tcBorders>
              <w:top w:val="single" w:color="000000" w:sz="0"/>
              <w:left w:val="single" w:color="000000" w:sz="8"/>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56</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56</w:t>
            </w:r>
          </w:p>
        </w:tc>
        <w:tc>
          <w:tcPr>
            <w:tcW w:w="621"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w:t>
            </w:r>
          </w:p>
        </w:tc>
        <w:tc>
          <w:tcPr>
            <w:tcW w:w="55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79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492</w:t>
            </w:r>
          </w:p>
        </w:tc>
        <w:tc>
          <w:tcPr>
            <w:tcW w:w="85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493</w:t>
            </w:r>
          </w:p>
        </w:tc>
      </w:tr>
      <w:tr>
        <w:trPr>
          <w:trHeight w:val="300" w:hRule="auto"/>
          <w:jc w:val="left"/>
        </w:trPr>
        <w:tc>
          <w:tcPr>
            <w:tcW w:w="2451"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Combination therapies</w:t>
            </w:r>
          </w:p>
        </w:tc>
        <w:tc>
          <w:tcPr>
            <w:tcW w:w="621" w:type="dxa"/>
            <w:tcBorders>
              <w:top w:val="single" w:color="000000" w:sz="4"/>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55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w:t>
            </w:r>
          </w:p>
        </w:tc>
        <w:tc>
          <w:tcPr>
            <w:tcW w:w="853"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w:t>
            </w:r>
          </w:p>
        </w:tc>
      </w:tr>
      <w:tr>
        <w:trPr>
          <w:trHeight w:val="300" w:hRule="auto"/>
          <w:jc w:val="left"/>
        </w:trPr>
        <w:tc>
          <w:tcPr>
            <w:tcW w:w="2451"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IFN + NAs</w:t>
            </w:r>
          </w:p>
        </w:tc>
        <w:tc>
          <w:tcPr>
            <w:tcW w:w="62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55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853"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r>
      <w:tr>
        <w:trPr>
          <w:trHeight w:val="300" w:hRule="auto"/>
          <w:jc w:val="left"/>
        </w:trPr>
        <w:tc>
          <w:tcPr>
            <w:tcW w:w="2451"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NA combinations</w:t>
            </w:r>
          </w:p>
        </w:tc>
        <w:tc>
          <w:tcPr>
            <w:tcW w:w="621" w:type="dxa"/>
            <w:tcBorders>
              <w:top w:val="single" w:color="000000" w:sz="0"/>
              <w:left w:val="single" w:color="000000" w:sz="8"/>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5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79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w:t>
            </w:r>
          </w:p>
        </w:tc>
        <w:tc>
          <w:tcPr>
            <w:tcW w:w="853"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w:t>
            </w:r>
          </w:p>
        </w:tc>
      </w:tr>
      <w:tr>
        <w:trPr>
          <w:trHeight w:val="315" w:hRule="auto"/>
          <w:jc w:val="left"/>
        </w:trPr>
        <w:tc>
          <w:tcPr>
            <w:tcW w:w="2451"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621" w:type="dxa"/>
            <w:tcBorders>
              <w:top w:val="single" w:color="000000" w:sz="4"/>
              <w:left w:val="single" w:color="000000" w:sz="8"/>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w:t>
            </w:r>
          </w:p>
        </w:tc>
        <w:tc>
          <w:tcPr>
            <w:tcW w:w="621"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1"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93</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93</w:t>
            </w:r>
          </w:p>
        </w:tc>
        <w:tc>
          <w:tcPr>
            <w:tcW w:w="550"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791"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1616</w:t>
            </w:r>
          </w:p>
        </w:tc>
        <w:tc>
          <w:tcPr>
            <w:tcW w:w="853"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1619</w:t>
            </w:r>
          </w:p>
        </w:tc>
      </w:tr>
    </w:tbl>
    <w:p>
      <w:pPr>
        <w:spacing w:before="0" w:after="220" w:line="36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w:t>
      </w:r>
    </w:p>
    <w:tbl>
      <w:tblPr/>
      <w:tblGrid>
        <w:gridCol w:w="2451"/>
        <w:gridCol w:w="619"/>
        <w:gridCol w:w="622"/>
        <w:gridCol w:w="683"/>
        <w:gridCol w:w="619"/>
        <w:gridCol w:w="622"/>
        <w:gridCol w:w="683"/>
        <w:gridCol w:w="549"/>
        <w:gridCol w:w="829"/>
        <w:gridCol w:w="829"/>
      </w:tblGrid>
      <w:tr>
        <w:trPr>
          <w:trHeight w:val="315" w:hRule="auto"/>
          <w:jc w:val="left"/>
        </w:trPr>
        <w:tc>
          <w:tcPr>
            <w:tcW w:w="2451"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Parameter, n</w:t>
            </w:r>
          </w:p>
        </w:tc>
        <w:tc>
          <w:tcPr>
            <w:tcW w:w="1924"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1924" w:type="dxa"/>
            <w:gridSpan w:val="3"/>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2207" w:type="dxa"/>
            <w:gridSpan w:val="3"/>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00" w:hRule="auto"/>
          <w:jc w:val="left"/>
        </w:trPr>
        <w:tc>
          <w:tcPr>
            <w:tcW w:w="2451"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241"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241"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683"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1378" w:type="dxa"/>
            <w:gridSpan w:val="2"/>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Age (years)</w:t>
            </w:r>
          </w:p>
        </w:tc>
        <w:tc>
          <w:tcPr>
            <w:tcW w:w="829" w:type="dxa"/>
            <w:vMerge w:val="restart"/>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r>
      <w:tr>
        <w:trPr>
          <w:trHeight w:val="315" w:hRule="auto"/>
          <w:jc w:val="left"/>
        </w:trPr>
        <w:tc>
          <w:tcPr>
            <w:tcW w:w="2451" w:type="dxa"/>
            <w:vMerge/>
            <w:tcBorders>
              <w:top w:val="single" w:color="000000" w:sz="8"/>
              <w:left w:val="single" w:color="000000" w:sz="8"/>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1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w:t>
            </w:r>
          </w:p>
        </w:tc>
        <w:tc>
          <w:tcPr>
            <w:tcW w:w="622"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18</w:t>
            </w:r>
          </w:p>
        </w:tc>
        <w:tc>
          <w:tcPr>
            <w:tcW w:w="683" w:type="dxa"/>
            <w:vMerge/>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61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w:t>
            </w:r>
          </w:p>
        </w:tc>
        <w:tc>
          <w:tcPr>
            <w:tcW w:w="622"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18</w:t>
            </w:r>
          </w:p>
        </w:tc>
        <w:tc>
          <w:tcPr>
            <w:tcW w:w="683" w:type="dxa"/>
            <w:vMerge/>
            <w:tcBorders>
              <w:top w:val="single" w:color="000000" w:sz="8"/>
              <w:left w:val="single" w:color="000000" w:sz="8"/>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c>
          <w:tcPr>
            <w:tcW w:w="54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&lt;18</w:t>
            </w:r>
          </w:p>
        </w:tc>
        <w:tc>
          <w:tcPr>
            <w:tcW w:w="82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color w:val="auto"/>
                <w:spacing w:val="0"/>
                <w:position w:val="0"/>
                <w:sz w:val="22"/>
                <w:shd w:fill="auto" w:val="clear"/>
              </w:rPr>
            </w:pPr>
            <w:r>
              <w:rPr>
                <w:rFonts w:ascii="Cambria Math" w:hAnsi="Cambria Math" w:cs="Cambria Math" w:eastAsia="Cambria Math"/>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18</w:t>
            </w:r>
          </w:p>
        </w:tc>
        <w:tc>
          <w:tcPr>
            <w:tcW w:w="829" w:type="dxa"/>
            <w:vMerge/>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color w:val="auto"/>
                <w:spacing w:val="0"/>
                <w:position w:val="0"/>
                <w:sz w:val="22"/>
                <w:shd w:fill="auto" w:val="clear"/>
              </w:rPr>
            </w:pP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Interferon monotherapy</w:t>
            </w:r>
          </w:p>
        </w:tc>
        <w:tc>
          <w:tcPr>
            <w:tcW w:w="61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22"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61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54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82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628</w:t>
            </w:r>
          </w:p>
        </w:tc>
        <w:tc>
          <w:tcPr>
            <w:tcW w:w="829"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631</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Interferon alpha</w:t>
            </w:r>
          </w:p>
        </w:tc>
        <w:tc>
          <w:tcPr>
            <w:tcW w:w="61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1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82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PEG-interferon</w:t>
            </w:r>
          </w:p>
        </w:tc>
        <w:tc>
          <w:tcPr>
            <w:tcW w:w="61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22"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61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w:t>
            </w:r>
          </w:p>
        </w:tc>
        <w:tc>
          <w:tcPr>
            <w:tcW w:w="54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82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625</w:t>
            </w:r>
          </w:p>
        </w:tc>
        <w:tc>
          <w:tcPr>
            <w:tcW w:w="829"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628</w:t>
            </w:r>
          </w:p>
        </w:tc>
      </w:tr>
      <w:tr>
        <w:trPr>
          <w:trHeight w:val="300" w:hRule="auto"/>
          <w:jc w:val="left"/>
        </w:trPr>
        <w:tc>
          <w:tcPr>
            <w:tcW w:w="2451"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NA monotherapy</w:t>
            </w:r>
          </w:p>
        </w:tc>
        <w:tc>
          <w:tcPr>
            <w:tcW w:w="619"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22"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408</w:t>
            </w:r>
          </w:p>
        </w:tc>
        <w:tc>
          <w:tcPr>
            <w:tcW w:w="683"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412</w:t>
            </w:r>
          </w:p>
        </w:tc>
        <w:tc>
          <w:tcPr>
            <w:tcW w:w="619"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22"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251</w:t>
            </w:r>
          </w:p>
        </w:tc>
        <w:tc>
          <w:tcPr>
            <w:tcW w:w="683"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255</w:t>
            </w:r>
          </w:p>
        </w:tc>
        <w:tc>
          <w:tcPr>
            <w:tcW w:w="549"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w:t>
            </w:r>
          </w:p>
        </w:tc>
        <w:tc>
          <w:tcPr>
            <w:tcW w:w="829"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23,015</w:t>
            </w:r>
          </w:p>
        </w:tc>
        <w:tc>
          <w:tcPr>
            <w:tcW w:w="829"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23,057</w:t>
            </w:r>
          </w:p>
        </w:tc>
      </w:tr>
      <w:tr>
        <w:trPr>
          <w:trHeight w:val="300" w:hRule="auto"/>
          <w:jc w:val="left"/>
        </w:trPr>
        <w:tc>
          <w:tcPr>
            <w:tcW w:w="2451"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Adefovir</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c>
          <w:tcPr>
            <w:tcW w:w="54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w:t>
            </w:r>
          </w:p>
        </w:tc>
        <w:tc>
          <w:tcPr>
            <w:tcW w:w="829"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78</w:t>
            </w:r>
          </w:p>
        </w:tc>
      </w:tr>
      <w:tr>
        <w:trPr>
          <w:trHeight w:val="315" w:hRule="auto"/>
          <w:jc w:val="left"/>
        </w:trPr>
        <w:tc>
          <w:tcPr>
            <w:tcW w:w="2451"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Entecavir</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125</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128</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w:t>
            </w:r>
          </w:p>
        </w:tc>
        <w:tc>
          <w:tcPr>
            <w:tcW w:w="54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15,174</w:t>
            </w:r>
          </w:p>
        </w:tc>
        <w:tc>
          <w:tcPr>
            <w:tcW w:w="829"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15,201</w:t>
            </w:r>
          </w:p>
        </w:tc>
      </w:tr>
      <w:tr>
        <w:trPr>
          <w:trHeight w:val="300" w:hRule="auto"/>
          <w:jc w:val="left"/>
        </w:trPr>
        <w:tc>
          <w:tcPr>
            <w:tcW w:w="2451"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Lamivudine</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w:t>
            </w:r>
          </w:p>
        </w:tc>
        <w:tc>
          <w:tcPr>
            <w:tcW w:w="54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526</w:t>
            </w:r>
          </w:p>
        </w:tc>
        <w:tc>
          <w:tcPr>
            <w:tcW w:w="829"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528</w:t>
            </w:r>
          </w:p>
        </w:tc>
      </w:tr>
      <w:tr>
        <w:trPr>
          <w:trHeight w:val="315" w:hRule="auto"/>
          <w:jc w:val="left"/>
        </w:trPr>
        <w:tc>
          <w:tcPr>
            <w:tcW w:w="2451"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Telbivudine</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1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8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549" w:type="dxa"/>
            <w:tcBorders>
              <w:top w:val="single" w:color="000000" w:sz="0"/>
              <w:left w:val="single" w:color="000000" w:sz="4"/>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907</w:t>
            </w:r>
          </w:p>
        </w:tc>
        <w:tc>
          <w:tcPr>
            <w:tcW w:w="829"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908</w:t>
            </w:r>
          </w:p>
        </w:tc>
      </w:tr>
      <w:tr>
        <w:trPr>
          <w:trHeight w:val="300" w:hRule="auto"/>
          <w:jc w:val="left"/>
        </w:trPr>
        <w:tc>
          <w:tcPr>
            <w:tcW w:w="2451"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Tenofovir</w:t>
            </w:r>
          </w:p>
        </w:tc>
        <w:tc>
          <w:tcPr>
            <w:tcW w:w="619"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22"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264</w:t>
            </w:r>
          </w:p>
        </w:tc>
        <w:tc>
          <w:tcPr>
            <w:tcW w:w="683"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265</w:t>
            </w:r>
          </w:p>
        </w:tc>
        <w:tc>
          <w:tcPr>
            <w:tcW w:w="619"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22"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119</w:t>
            </w:r>
          </w:p>
        </w:tc>
        <w:tc>
          <w:tcPr>
            <w:tcW w:w="683"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121</w:t>
            </w:r>
          </w:p>
        </w:tc>
        <w:tc>
          <w:tcPr>
            <w:tcW w:w="549"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c>
          <w:tcPr>
            <w:tcW w:w="829"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6332</w:t>
            </w:r>
          </w:p>
        </w:tc>
        <w:tc>
          <w:tcPr>
            <w:tcW w:w="829"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6342</w:t>
            </w:r>
          </w:p>
        </w:tc>
      </w:tr>
      <w:tr>
        <w:trPr>
          <w:trHeight w:val="300" w:hRule="auto"/>
          <w:jc w:val="left"/>
        </w:trPr>
        <w:tc>
          <w:tcPr>
            <w:tcW w:w="2451" w:type="dxa"/>
            <w:tcBorders>
              <w:top w:val="single" w:color="000000" w:sz="4"/>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Combination therapies</w:t>
            </w:r>
          </w:p>
        </w:tc>
        <w:tc>
          <w:tcPr>
            <w:tcW w:w="61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1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83"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549"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829"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60</w:t>
            </w:r>
          </w:p>
        </w:tc>
        <w:tc>
          <w:tcPr>
            <w:tcW w:w="829"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60</w:t>
            </w:r>
          </w:p>
        </w:tc>
      </w:tr>
      <w:tr>
        <w:trPr>
          <w:trHeight w:val="300" w:hRule="auto"/>
          <w:jc w:val="left"/>
        </w:trPr>
        <w:tc>
          <w:tcPr>
            <w:tcW w:w="2451" w:type="dxa"/>
            <w:tcBorders>
              <w:top w:val="single" w:color="000000" w:sz="0"/>
              <w:left w:val="single" w:color="000000" w:sz="4"/>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IFN + NAs</w:t>
            </w:r>
          </w:p>
        </w:tc>
        <w:tc>
          <w:tcPr>
            <w:tcW w:w="61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1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83"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5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829"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c>
          <w:tcPr>
            <w:tcW w:w="829"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&lt;3</w:t>
            </w:r>
          </w:p>
        </w:tc>
      </w:tr>
      <w:tr>
        <w:trPr>
          <w:trHeight w:val="300" w:hRule="auto"/>
          <w:jc w:val="left"/>
        </w:trPr>
        <w:tc>
          <w:tcPr>
            <w:tcW w:w="2451" w:type="dxa"/>
            <w:tcBorders>
              <w:top w:val="single" w:color="000000" w:sz="0"/>
              <w:left w:val="single" w:color="000000" w:sz="4"/>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NA combinations</w:t>
            </w:r>
          </w:p>
        </w:tc>
        <w:tc>
          <w:tcPr>
            <w:tcW w:w="61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c>
          <w:tcPr>
            <w:tcW w:w="61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622"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683"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c>
          <w:tcPr>
            <w:tcW w:w="549"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829"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w:t>
            </w:r>
          </w:p>
        </w:tc>
        <w:tc>
          <w:tcPr>
            <w:tcW w:w="829"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w:t>
            </w:r>
          </w:p>
        </w:tc>
      </w:tr>
      <w:tr>
        <w:trPr>
          <w:trHeight w:val="315" w:hRule="auto"/>
          <w:jc w:val="left"/>
        </w:trPr>
        <w:tc>
          <w:tcPr>
            <w:tcW w:w="2451" w:type="dxa"/>
            <w:tcBorders>
              <w:top w:val="single" w:color="000000" w:sz="4"/>
              <w:left w:val="single" w:color="000000" w:sz="8"/>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w:t>
            </w:r>
          </w:p>
        </w:tc>
        <w:tc>
          <w:tcPr>
            <w:tcW w:w="619"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c>
          <w:tcPr>
            <w:tcW w:w="622"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413</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418</w:t>
            </w:r>
          </w:p>
        </w:tc>
        <w:tc>
          <w:tcPr>
            <w:tcW w:w="619"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c>
          <w:tcPr>
            <w:tcW w:w="622"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275</w:t>
            </w:r>
          </w:p>
        </w:tc>
        <w:tc>
          <w:tcPr>
            <w:tcW w:w="683"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279</w:t>
            </w:r>
          </w:p>
        </w:tc>
        <w:tc>
          <w:tcPr>
            <w:tcW w:w="549"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45</w:t>
            </w:r>
          </w:p>
        </w:tc>
        <w:tc>
          <w:tcPr>
            <w:tcW w:w="829" w:type="dxa"/>
            <w:tcBorders>
              <w:top w:val="single" w:color="000000" w:sz="4"/>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23,703</w:t>
            </w:r>
          </w:p>
        </w:tc>
        <w:tc>
          <w:tcPr>
            <w:tcW w:w="829"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23,748</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IFN, interferon; NA, nucleos(t)ide analogues; PEG-interferon, pegylated interferon. </w:t>
      </w: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8. Persistence to NA treatment among patients treated with NAs at index and those untreated at index who initiated NA treatment during follow-up (NCIA patients).</w:t>
      </w:r>
    </w:p>
    <w:tbl>
      <w:tblPr/>
      <w:tblGrid>
        <w:gridCol w:w="813"/>
        <w:gridCol w:w="1512"/>
        <w:gridCol w:w="2015"/>
        <w:gridCol w:w="2015"/>
        <w:gridCol w:w="2015"/>
      </w:tblGrid>
      <w:tr>
        <w:trPr>
          <w:trHeight w:val="315" w:hRule="auto"/>
          <w:jc w:val="left"/>
        </w:trPr>
        <w:tc>
          <w:tcPr>
            <w:tcW w:w="813"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Period</w:t>
            </w:r>
          </w:p>
        </w:tc>
        <w:tc>
          <w:tcPr>
            <w:tcW w:w="1512"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Time</w:t>
            </w:r>
          </w:p>
        </w:tc>
        <w:tc>
          <w:tcPr>
            <w:tcW w:w="2015" w:type="dxa"/>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2015" w:type="dxa"/>
            <w:tcBorders>
              <w:top w:val="single" w:color="000000" w:sz="8"/>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2015" w:type="dxa"/>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15" w:hRule="auto"/>
          <w:jc w:val="left"/>
        </w:trPr>
        <w:tc>
          <w:tcPr>
            <w:tcW w:w="813"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2015"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2015"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2015"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r>
      <w:tr>
        <w:trPr>
          <w:trHeight w:val="300" w:hRule="auto"/>
          <w:jc w:val="left"/>
        </w:trPr>
        <w:tc>
          <w:tcPr>
            <w:tcW w:w="81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Untreated</w:t>
            </w: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7686</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4916</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422,156</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96.72 [96.29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97.10]</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 [97.61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98.39]</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99.47 [99.50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99.50]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95.66 [95.17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96.09]</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97.45 [97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97.89]</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99.03 [99.00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99.10]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94.62 [94.08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95.11]</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96.78 [96.28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97.27]</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98.22 [98.20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98.30]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92.71 [92.06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93.31]</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95.9 [95.34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96.46]</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96.8 [96.80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96.90]</w:t>
            </w:r>
          </w:p>
        </w:tc>
      </w:tr>
      <w:tr>
        <w:trPr>
          <w:trHeight w:val="315"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2015"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91.13 [90.39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91.82]</w:t>
            </w:r>
          </w:p>
        </w:tc>
        <w:tc>
          <w:tcPr>
            <w:tcW w:w="2015"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95.28 [94.67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95.88]</w:t>
            </w:r>
          </w:p>
        </w:tc>
        <w:tc>
          <w:tcPr>
            <w:tcW w:w="2015"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95.47 [95.40</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95.50]</w:t>
            </w:r>
          </w:p>
        </w:tc>
      </w:tr>
      <w:tr>
        <w:trPr>
          <w:trHeight w:val="300" w:hRule="auto"/>
          <w:jc w:val="left"/>
        </w:trPr>
        <w:tc>
          <w:tcPr>
            <w:tcW w:w="81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Treated at Index</w:t>
            </w: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1825</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605</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27,249</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86.15 [84.65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87.83]</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74.01 [70.52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77.51]</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71.86 [71.32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72.39]</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79.8 [77.86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81.59]</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66.18 [62.41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69.96]</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52.28 [51.68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52.87]</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68.68 [66.43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70.81]</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51.62 [47.62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55.61]</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35.55 [34.98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36.11]</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53.43 [50.86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55.93]</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38.45 [34.55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42.35]</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16.12 [15.68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16.56]</w:t>
            </w:r>
          </w:p>
        </w:tc>
      </w:tr>
      <w:tr>
        <w:trPr>
          <w:trHeight w:val="315"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44.27 [41.56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46.94]</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29.7 [26.02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33.38]</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3.66 [3.44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3.89]</w:t>
            </w:r>
          </w:p>
        </w:tc>
      </w:tr>
      <w:tr>
        <w:trPr>
          <w:trHeight w:val="300" w:hRule="auto"/>
          <w:jc w:val="left"/>
        </w:trPr>
        <w:tc>
          <w:tcPr>
            <w:tcW w:w="81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Initiated during follow-up</w:t>
            </w:r>
          </w:p>
        </w:tc>
        <w:tc>
          <w:tcPr>
            <w:tcW w:w="1512" w:type="dxa"/>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2015" w:type="dxa"/>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409</w:t>
            </w:r>
          </w:p>
        </w:tc>
        <w:tc>
          <w:tcPr>
            <w:tcW w:w="2015"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253</w:t>
            </w:r>
          </w:p>
        </w:tc>
        <w:tc>
          <w:tcPr>
            <w:tcW w:w="2015"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23,015</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72.66 [67.97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76.78]</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55.66 [49.5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61.83]</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70.76 [70.16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71.34]</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63.34 [58.3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67.95]</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48.99 [42.76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55.23]</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55.28 [54.62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55.93]</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53.19 [47.9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58.19]</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37.46 [31.31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43.6]</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42.86 [42.19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43.52]</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2015"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39.91 [34.3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45.45]</w:t>
            </w:r>
          </w:p>
        </w:tc>
        <w:tc>
          <w:tcPr>
            <w:tcW w:w="201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27.93 [22.03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33.84]</w:t>
            </w:r>
          </w:p>
        </w:tc>
        <w:tc>
          <w:tcPr>
            <w:tcW w:w="2015"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32.64 [31.97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33.3]</w:t>
            </w:r>
          </w:p>
        </w:tc>
      </w:tr>
      <w:tr>
        <w:trPr>
          <w:trHeight w:val="315"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2015"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31.71 [25.69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37.87]</w:t>
            </w:r>
          </w:p>
        </w:tc>
        <w:tc>
          <w:tcPr>
            <w:tcW w:w="2015"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21.98 [16.16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27.81]</w:t>
            </w:r>
          </w:p>
        </w:tc>
        <w:tc>
          <w:tcPr>
            <w:tcW w:w="2015"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25.12 [24.42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25.82]</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CI, confidence interval; NA, nucleos(t)ide analogues; NCIA, non-coinfected adults.</w:t>
      </w:r>
    </w:p>
    <w:p>
      <w:pPr>
        <w:spacing w:before="0" w:after="220" w:line="36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b/>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9. Persistence to NA treatment among patients treated with NAs at index and those untreated at index who initiated NA treatment during follow-up (coinfected patients).</w:t>
      </w:r>
    </w:p>
    <w:tbl>
      <w:tblPr/>
      <w:tblGrid>
        <w:gridCol w:w="813"/>
        <w:gridCol w:w="1512"/>
        <w:gridCol w:w="2015"/>
        <w:gridCol w:w="2015"/>
        <w:gridCol w:w="2015"/>
      </w:tblGrid>
      <w:tr>
        <w:trPr>
          <w:trHeight w:val="315" w:hRule="auto"/>
          <w:jc w:val="left"/>
        </w:trPr>
        <w:tc>
          <w:tcPr>
            <w:tcW w:w="813"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Period</w:t>
            </w:r>
          </w:p>
        </w:tc>
        <w:tc>
          <w:tcPr>
            <w:tcW w:w="1512"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Time</w:t>
            </w:r>
          </w:p>
        </w:tc>
        <w:tc>
          <w:tcPr>
            <w:tcW w:w="2015" w:type="dxa"/>
            <w:tcBorders>
              <w:top w:val="single" w:color="000000" w:sz="8"/>
              <w:left w:val="single" w:color="000000" w:sz="0"/>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2015" w:type="dxa"/>
            <w:tcBorders>
              <w:top w:val="single" w:color="000000" w:sz="4"/>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2015" w:type="dxa"/>
            <w:tcBorders>
              <w:top w:val="single" w:color="000000" w:sz="4"/>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15" w:hRule="auto"/>
          <w:jc w:val="left"/>
        </w:trPr>
        <w:tc>
          <w:tcPr>
            <w:tcW w:w="813"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2015" w:type="dxa"/>
            <w:tcBorders>
              <w:top w:val="single" w:color="000000" w:sz="0"/>
              <w:left w:val="single" w:color="000000" w:sz="0"/>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2015"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2015"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r>
      <w:tr>
        <w:trPr>
          <w:trHeight w:val="300" w:hRule="auto"/>
          <w:jc w:val="left"/>
        </w:trPr>
        <w:tc>
          <w:tcPr>
            <w:tcW w:w="81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1329</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824</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18198</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94.36 [94.26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94.46]</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96.22 [94.91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97.52]</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99.12 [99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99.2]</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92.45 [92.35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92.55]</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94.98 [93.48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96.48]</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98.45 [98.3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98.6]</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90.58 [90.48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90.68]</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93.58 [91.9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95.27]</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97.08 [96.8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97.3]</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87.85 [87.75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87.95]</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90.86 [88.86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92.86]</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94.99 [94.7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95.3]</w:t>
            </w:r>
          </w:p>
        </w:tc>
      </w:tr>
      <w:tr>
        <w:trPr>
          <w:trHeight w:val="315"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2015" w:type="dxa"/>
            <w:tcBorders>
              <w:top w:val="single" w:color="000000" w:sz="0"/>
              <w:left w:val="single" w:color="000000" w:sz="8"/>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86.62 [86.52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86.72]</w:t>
            </w:r>
          </w:p>
        </w:tc>
        <w:tc>
          <w:tcPr>
            <w:tcW w:w="2015"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89.75 [87.63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91.87]</w:t>
            </w:r>
          </w:p>
        </w:tc>
        <w:tc>
          <w:tcPr>
            <w:tcW w:w="2015"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92.2 [91.8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92.6]</w:t>
            </w:r>
          </w:p>
        </w:tc>
      </w:tr>
      <w:tr>
        <w:trPr>
          <w:trHeight w:val="300" w:hRule="auto"/>
          <w:jc w:val="left"/>
        </w:trPr>
        <w:tc>
          <w:tcPr>
            <w:tcW w:w="81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Treated at index</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575</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160</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1201</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85.39 [82.21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88.05]</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69.38 [62.23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76.52]</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72.44 [69.81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74.87]</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77.49 [73.8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80.74]</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59.93 [52.33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67.53]</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51.71 [48.84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54.49]</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66.66 [62.49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70.48]</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47.31 [39.56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55.07]</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35.14 [32.44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37.83]</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53.25 [48.54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57.72]</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34.63 [27.23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42.04]</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15.9 [13.89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18.03]</w:t>
            </w:r>
          </w:p>
        </w:tc>
      </w:tr>
      <w:tr>
        <w:trPr>
          <w:trHeight w:val="315"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45.02 [40.07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49.83]</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26.3 [19.42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33.17]</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4.33 [3.28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5.59]</w:t>
            </w:r>
          </w:p>
        </w:tc>
      </w:tr>
      <w:tr>
        <w:trPr>
          <w:trHeight w:val="300" w:hRule="auto"/>
          <w:jc w:val="left"/>
        </w:trPr>
        <w:tc>
          <w:tcPr>
            <w:tcW w:w="81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Initiated during follow-up</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2015" w:type="dxa"/>
            <w:tcBorders>
              <w:top w:val="single" w:color="000000" w:sz="8"/>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73</w:t>
            </w:r>
          </w:p>
        </w:tc>
        <w:tc>
          <w:tcPr>
            <w:tcW w:w="2015"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w:t>
            </w:r>
          </w:p>
        </w:tc>
        <w:tc>
          <w:tcPr>
            <w:tcW w:w="2015"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1165</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68.61 [68.51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68.71]</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66.84 [53.94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79.74]</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62.37 [59.49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65.1]</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54.51 [54.41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54.61]</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46.89 [33.12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60.66]</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46.36 [43.42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49.23]</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38.41 [38.31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38.51]</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38.36 [24.8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51.93]</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30.66 [27.93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33.41]</w:t>
            </w:r>
          </w:p>
        </w:tc>
      </w:tr>
      <w:tr>
        <w:trPr>
          <w:trHeight w:val="300"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2015"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32.07 [31.97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32.17]</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29.44 [16.51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42.37]</w:t>
            </w:r>
          </w:p>
        </w:tc>
        <w:tc>
          <w:tcPr>
            <w:tcW w:w="2015"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19.58 [17.17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22.09]</w:t>
            </w:r>
          </w:p>
        </w:tc>
      </w:tr>
      <w:tr>
        <w:trPr>
          <w:trHeight w:val="315" w:hRule="auto"/>
          <w:jc w:val="left"/>
        </w:trPr>
        <w:tc>
          <w:tcPr>
            <w:tcW w:w="81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2015" w:type="dxa"/>
            <w:tcBorders>
              <w:top w:val="single" w:color="000000" w:sz="0"/>
              <w:left w:val="single" w:color="000000" w:sz="8"/>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22.68 [22.58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22.78]</w:t>
            </w:r>
          </w:p>
        </w:tc>
        <w:tc>
          <w:tcPr>
            <w:tcW w:w="2015"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29.44 [16.51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42.37]</w:t>
            </w:r>
          </w:p>
        </w:tc>
        <w:tc>
          <w:tcPr>
            <w:tcW w:w="2015"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12.96 [10.75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15.37]</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CI, confidence interval; NA, nucleos(t)ide analogues.</w:t>
      </w:r>
    </w:p>
    <w:p>
      <w:pPr>
        <w:spacing w:before="0" w:after="200" w:line="240"/>
        <w:ind w:right="0" w:left="0" w:firstLine="0"/>
        <w:jc w:val="left"/>
        <w:rPr>
          <w:rFonts w:ascii="Calibri" w:hAnsi="Calibri" w:cs="Calibri" w:eastAsia="Calibri"/>
          <w:b/>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10. Long-term clinical outcomes in NCIA patients.</w:t>
      </w:r>
    </w:p>
    <w:tbl>
      <w:tblPr/>
      <w:tblGrid>
        <w:gridCol w:w="2133"/>
        <w:gridCol w:w="1512"/>
        <w:gridCol w:w="1681"/>
        <w:gridCol w:w="1681"/>
        <w:gridCol w:w="1681"/>
      </w:tblGrid>
      <w:tr>
        <w:trPr>
          <w:trHeight w:val="315" w:hRule="auto"/>
          <w:jc w:val="left"/>
        </w:trPr>
        <w:tc>
          <w:tcPr>
            <w:tcW w:w="2133"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Outcome/Index</w:t>
            </w:r>
          </w:p>
        </w:tc>
        <w:tc>
          <w:tcPr>
            <w:tcW w:w="1512"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Time</w:t>
            </w:r>
          </w:p>
        </w:tc>
        <w:tc>
          <w:tcPr>
            <w:tcW w:w="1681" w:type="dxa"/>
            <w:tcBorders>
              <w:top w:val="single" w:color="000000" w:sz="8"/>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1681" w:type="dxa"/>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1681" w:type="dxa"/>
            <w:tcBorders>
              <w:top w:val="single" w:color="000000" w:sz="8"/>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15" w:hRule="auto"/>
          <w:jc w:val="left"/>
        </w:trPr>
        <w:tc>
          <w:tcPr>
            <w:tcW w:w="2133"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Treatment Status</w:t>
            </w:r>
          </w:p>
        </w:tc>
        <w:tc>
          <w:tcPr>
            <w:tcW w:w="1512"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6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Cirrhosis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681"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7217</w:t>
            </w:r>
          </w:p>
        </w:tc>
        <w:tc>
          <w:tcPr>
            <w:tcW w:w="1681"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4688</w:t>
            </w:r>
          </w:p>
        </w:tc>
        <w:tc>
          <w:tcPr>
            <w:tcW w:w="1681" w:type="dxa"/>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396,418</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0.28 [0.18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0.43]</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0.06 [0.06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0.06]</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0.26 [0.24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0.27]</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0.53 [0.38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0.72]</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0.13 [0.13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0.13]</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0.49 [0.47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0.51]</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0.85 [0.65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1.09]</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0.52 [0.52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0.52]</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0.95 [0.92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0.98]</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1.91 [1.58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2.3]</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0.99 [0.99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1.76 [1.71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3.04 [2.58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3.55]</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1.29 [1.29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1.3]</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2.58 [2.53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2.63]</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Cirrhosis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681"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1503</w:t>
            </w:r>
          </w:p>
        </w:tc>
        <w:tc>
          <w:tcPr>
            <w:tcW w:w="1681"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507</w:t>
            </w:r>
          </w:p>
        </w:tc>
        <w:tc>
          <w:tcPr>
            <w:tcW w:w="1681" w:type="dxa"/>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16,100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 [0.3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1.11]</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0.59 [0.59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1.19 [1.03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1.37]</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 [0.7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1.81]</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0.79 [0.78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2.03 [1.82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2.26]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2.41 [1.7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3.31]</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1.19 [1.18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1.2]</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3.73 [3.44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4.03]</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4.45 [3.39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5.7]</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1.79 [1.77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1.82]</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6.48 [6.1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6.88]</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681"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6.12 [4.8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7.65]</w:t>
            </w:r>
          </w:p>
        </w:tc>
        <w:tc>
          <w:tcPr>
            <w:tcW w:w="1681"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2.21 [2.18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2.24]</w:t>
            </w:r>
          </w:p>
        </w:tc>
        <w:tc>
          <w:tcPr>
            <w:tcW w:w="1681"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8.96 [8.52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9.42]</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Decomp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6979</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4708</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412,289</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0.45 [0.31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0.63]</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0.23 [0.23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0.23]</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0.14 [0.13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0.15]</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0.81 [0.62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1.04]</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0.39 [0.38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0.39]</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0.26 [0.25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0.28]</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1.57 [1.29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1.89]</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0.97 [0.97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0.98]</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0.52 [0.49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0.54]</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2.94 [2.53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3.4]</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1.71 [1.7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1.72]</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0.96 [0.93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0.99]</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4.11 [3.58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4.68]</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2.38 [2.37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2.39]</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1.46 [1.42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1.5]</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Decomp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681"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1568</w:t>
            </w:r>
          </w:p>
        </w:tc>
        <w:tc>
          <w:tcPr>
            <w:tcW w:w="1681"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552</w:t>
            </w:r>
          </w:p>
        </w:tc>
        <w:tc>
          <w:tcPr>
            <w:tcW w:w="1681" w:type="dxa"/>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23,460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0.65 [0.34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1.16]</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0.73 [0.72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0.73]</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0.84 [0.73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0.97]</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1.45 [0.94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2.15]</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0.91 [0.9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0.92]</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1.41 [1.26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1.56]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2.93 [2.15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3.88]</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0.91 [0.9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0.92]</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2.53 [2.34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2.75]</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4.73 [3.67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5.98]</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2.21 [2.18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2.24]</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4.45 [4.19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4.73]</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681"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7.23 [5.8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8.85]</w:t>
            </w:r>
          </w:p>
        </w:tc>
        <w:tc>
          <w:tcPr>
            <w:tcW w:w="1681"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3.55 [3.5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3.61]</w:t>
            </w:r>
          </w:p>
        </w:tc>
        <w:tc>
          <w:tcPr>
            <w:tcW w:w="1681"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6.27 [5.95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6.59]</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HCC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7524</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4904</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415,111</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0.13 [0.07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0.24]</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0.06 [0.06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0.06]</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0.07 [0.07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0.08]</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0.26 [0.16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0.06 [0.06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0.06]</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0.15 [0.13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 [0.35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0.68]</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0.19 [0.19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0.19]</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0.29 [0.27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0.31]</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0.85 [0.64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 [0.4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0.56 [0.53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0.58]</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1.26 [0.98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1.59]</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0.47 [0.47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0.47]</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0.83 [0.8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0.86]</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HCC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681"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1689</w:t>
            </w:r>
          </w:p>
        </w:tc>
        <w:tc>
          <w:tcPr>
            <w:tcW w:w="1681"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591</w:t>
            </w:r>
          </w:p>
        </w:tc>
        <w:tc>
          <w:tcPr>
            <w:tcW w:w="1681" w:type="dxa"/>
            <w:tcBorders>
              <w:top w:val="single" w:color="000000" w:sz="8"/>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23,035</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 [0.12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0.68]</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0.17 [0.17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0.17]</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0.47 [0.39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0.57]</w:t>
            </w:r>
          </w:p>
        </w:tc>
      </w:tr>
      <w:tr>
        <w:trPr>
          <w:trHeight w:val="300" w:hRule="auto"/>
          <w:jc w:val="left"/>
        </w:trPr>
        <w:tc>
          <w:tcPr>
            <w:tcW w:w="2133" w:type="dxa"/>
            <w:vMerge/>
            <w:tcBorders>
              <w:top w:val="single" w:color="000000" w:sz="0"/>
              <w:left w:val="single" w:color="000000" w:sz="8"/>
              <w:bottom w:val="single" w:color="000000" w:sz="4"/>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681" w:type="dxa"/>
            <w:tcBorders>
              <w:top w:val="single" w:color="000000" w:sz="0"/>
              <w:left w:val="single" w:color="000000" w:sz="8"/>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 [0.45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1.33]</w:t>
            </w:r>
          </w:p>
        </w:tc>
        <w:tc>
          <w:tcPr>
            <w:tcW w:w="1681" w:type="dxa"/>
            <w:tcBorders>
              <w:top w:val="single" w:color="000000" w:sz="0"/>
              <w:left w:val="single" w:color="000000" w:sz="8"/>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0.34 [0.34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0.34]</w:t>
            </w:r>
          </w:p>
        </w:tc>
        <w:tc>
          <w:tcPr>
            <w:tcW w:w="1681" w:type="dxa"/>
            <w:tcBorders>
              <w:top w:val="single" w:color="000000" w:sz="0"/>
              <w:left w:val="single" w:color="000000" w:sz="0"/>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0.84 [0.73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0.97]</w:t>
            </w:r>
          </w:p>
        </w:tc>
      </w:tr>
      <w:tr>
        <w:trPr>
          <w:trHeight w:val="300" w:hRule="auto"/>
          <w:jc w:val="left"/>
        </w:trPr>
        <w:tc>
          <w:tcPr>
            <w:tcW w:w="2133" w:type="dxa"/>
            <w:vMerge/>
            <w:tcBorders>
              <w:top w:val="single" w:color="000000" w:sz="4"/>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681" w:type="dxa"/>
            <w:tcBorders>
              <w:top w:val="single" w:color="000000" w:sz="4"/>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1.46 [0.95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2.14]</w:t>
            </w:r>
          </w:p>
        </w:tc>
        <w:tc>
          <w:tcPr>
            <w:tcW w:w="1681" w:type="dxa"/>
            <w:tcBorders>
              <w:top w:val="single" w:color="000000" w:sz="4"/>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0.51 [0.51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0.51]</w:t>
            </w:r>
          </w:p>
        </w:tc>
        <w:tc>
          <w:tcPr>
            <w:tcW w:w="1681" w:type="dxa"/>
            <w:tcBorders>
              <w:top w:val="single" w:color="000000" w:sz="4"/>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1.73 [1.57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1.91]</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681"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3.05 [2.23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4.07]</w:t>
            </w:r>
          </w:p>
        </w:tc>
        <w:tc>
          <w:tcPr>
            <w:tcW w:w="1681"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0.86 [0.85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0.87]</w:t>
            </w:r>
          </w:p>
        </w:tc>
        <w:tc>
          <w:tcPr>
            <w:tcW w:w="1681"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3.29 [3.06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3.53]</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681"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4.86 [3.72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6.2]</w:t>
            </w:r>
          </w:p>
        </w:tc>
        <w:tc>
          <w:tcPr>
            <w:tcW w:w="1681"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1.22 [1.2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1.23]</w:t>
            </w:r>
          </w:p>
        </w:tc>
        <w:tc>
          <w:tcPr>
            <w:tcW w:w="1681" w:type="dxa"/>
            <w:tcBorders>
              <w:top w:val="single" w:color="000000" w:sz="0"/>
              <w:left w:val="single" w:color="000000" w:sz="0"/>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4.63 [4.36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4.92]</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CI, confidence interval; decomp, liver decompensation; HCC, hepatocellular carcinoma; NA, nucleos(t)ide analogues; NCIA, non-coinfected adults.</w:t>
      </w: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11. Long-term clinical outcomes in adult coinfected patients.</w:t>
      </w:r>
    </w:p>
    <w:tbl>
      <w:tblPr/>
      <w:tblGrid>
        <w:gridCol w:w="2133"/>
        <w:gridCol w:w="1512"/>
        <w:gridCol w:w="1904"/>
        <w:gridCol w:w="1890"/>
        <w:gridCol w:w="1904"/>
      </w:tblGrid>
      <w:tr>
        <w:trPr>
          <w:trHeight w:val="315" w:hRule="auto"/>
          <w:jc w:val="left"/>
        </w:trPr>
        <w:tc>
          <w:tcPr>
            <w:tcW w:w="2133"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Outcome/Index</w:t>
            </w:r>
          </w:p>
        </w:tc>
        <w:tc>
          <w:tcPr>
            <w:tcW w:w="1512"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Time</w:t>
            </w:r>
          </w:p>
        </w:tc>
        <w:tc>
          <w:tcPr>
            <w:tcW w:w="1904" w:type="dxa"/>
            <w:tcBorders>
              <w:top w:val="single" w:color="000000" w:sz="8"/>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1890" w:type="dxa"/>
            <w:tcBorders>
              <w:top w:val="single" w:color="000000" w:sz="8"/>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1904" w:type="dxa"/>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15" w:hRule="auto"/>
          <w:jc w:val="left"/>
        </w:trPr>
        <w:tc>
          <w:tcPr>
            <w:tcW w:w="2133"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Treatment Status</w:t>
            </w:r>
          </w:p>
        </w:tc>
        <w:tc>
          <w:tcPr>
            <w:tcW w:w="1512"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9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1890"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1904" w:type="dxa"/>
            <w:tcBorders>
              <w:top w:val="single" w:color="000000" w:sz="0"/>
              <w:left w:val="single" w:color="000000" w:sz="0"/>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Cirrhosis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904"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946</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689</w:t>
            </w:r>
          </w:p>
        </w:tc>
        <w:tc>
          <w:tcPr>
            <w:tcW w:w="1904"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14,487</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1.28 [0.7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2.18]</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0.58 [0.58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0.58]</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0.93 [0.79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1.85 [1.12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2.88]</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1.17 [1.16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1.17]</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1.84 [1.64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2.08]</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3.52 [2.44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4.89]</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2.35 [2.33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2.38]</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3.32 [3.04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3.63]</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6.98 [5.26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9.01]</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4.03 [3.97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4.09]</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5.81 [5.44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6.2]</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9.42 [7.3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11.85]</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6.87 [6.73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7.01]</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8.21 [7.77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8.67]</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Cirrhosis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904"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460</w:t>
            </w:r>
          </w:p>
        </w:tc>
        <w:tc>
          <w:tcPr>
            <w:tcW w:w="1890"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138</w:t>
            </w:r>
          </w:p>
        </w:tc>
        <w:tc>
          <w:tcPr>
            <w:tcW w:w="1904"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 [0.42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2.43]</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1.78 [0.99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3.19]</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1.33 [0.56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2.75]</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3.25 [2.11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2.09 [1.03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3.8]</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5.09 [3.61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7.16]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 [1.67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5.23]</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0.75 [0.74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0.76]</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9.55 [7.45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12.2]</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904"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4.75 [2.77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7.51]</w:t>
            </w:r>
          </w:p>
        </w:tc>
        <w:tc>
          <w:tcPr>
            <w:tcW w:w="1890"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2.26 [2.2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2.32]</w:t>
            </w:r>
          </w:p>
        </w:tc>
        <w:tc>
          <w:tcPr>
            <w:tcW w:w="1904"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11.14 [8.85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13.95]</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Decomp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959</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716</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16,954</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1.36 [0.77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2.26]</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0.98 [0.97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0.98]</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0.53 [0.43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2.67 [1.78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3.86]</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2.25 [2.22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2.27]</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1.04 [0.89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1.2]</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5.71 [4.31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7.36]</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3.38 [3.34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3.43]</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1.96 [1.76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2.18]</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9.41 [7.46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11.63]</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6.42 [6.3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6.55]</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 [3.42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12.8 [10.38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15.49]</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8.21 [8.03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8.4]</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5.16 [4.83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5.51]</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Decomp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904"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445</w:t>
            </w:r>
          </w:p>
        </w:tc>
        <w:tc>
          <w:tcPr>
            <w:tcW w:w="1890"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146</w:t>
            </w:r>
          </w:p>
        </w:tc>
        <w:tc>
          <w:tcPr>
            <w:tcW w:w="1904"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981</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0.91 [0.31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2.19]</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1.55 [0.94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2.55]</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1.14 [0.44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2.52]</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2.28 [1.51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3.44]</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3.53 [2.02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5.69]</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0.69 [0.68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4.75 [3.57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6.32]</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6.89 [4.51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9.92]</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1.39 [1.36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1.42]</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8.43 [6.8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10.4]</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904"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10.5 [7.27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14.4]</w:t>
            </w:r>
          </w:p>
        </w:tc>
        <w:tc>
          <w:tcPr>
            <w:tcW w:w="1890"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 [3.39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3.61]</w:t>
            </w:r>
          </w:p>
        </w:tc>
        <w:tc>
          <w:tcPr>
            <w:tcW w:w="1904"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10.97 [9.1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13.18]</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HCC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1255</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803</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16,736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0.49 [0.21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1.03]</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0.12 [0.12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0.13]</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0.31 [0.24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0.41]</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1.17 [0.67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1.91]</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0.25 [0.25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0.25]</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0.66 [0.55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2.17 [1.44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3.14]</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0.51 [0.51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0.51]</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1.29 [1.13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1.47]</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3.26 [2.29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4.49]</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1.04 [1.03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1.05]</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2.49 [2.26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2.74]</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5.13 [3.77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6.78]</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 [1.58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1.61]</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3.59 [3.32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3.89]</w:t>
            </w:r>
          </w:p>
        </w:tc>
      </w:tr>
      <w:tr>
        <w:trPr>
          <w:trHeight w:val="300" w:hRule="auto"/>
          <w:jc w:val="left"/>
        </w:trPr>
        <w:tc>
          <w:tcPr>
            <w:tcW w:w="2133" w:type="dxa"/>
            <w:vMerge w:val="restart"/>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HCC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904"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533</w:t>
            </w:r>
          </w:p>
        </w:tc>
        <w:tc>
          <w:tcPr>
            <w:tcW w:w="1890" w:type="dxa"/>
            <w:tcBorders>
              <w:top w:val="single" w:color="000000" w:sz="8"/>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159</w:t>
            </w:r>
          </w:p>
        </w:tc>
        <w:tc>
          <w:tcPr>
            <w:tcW w:w="1904"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926</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0.66 [0.3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1.45]</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904" w:type="dxa"/>
            <w:tcBorders>
              <w:top w:val="single" w:color="000000" w:sz="0"/>
              <w:left w:val="single" w:color="000000" w:sz="8"/>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0.79 [0.27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1.92]</w:t>
            </w:r>
          </w:p>
        </w:tc>
        <w:tc>
          <w:tcPr>
            <w:tcW w:w="1890" w:type="dxa"/>
            <w:tcBorders>
              <w:top w:val="single" w:color="000000" w:sz="0"/>
              <w:left w:val="single" w:color="000000" w:sz="8"/>
              <w:bottom w:val="single" w:color="000000" w:sz="4"/>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0"/>
              <w:left w:val="single" w:color="000000" w:sz="8"/>
              <w:bottom w:val="single" w:color="000000" w:sz="4"/>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0.99 [0.52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1.9]</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904" w:type="dxa"/>
            <w:tcBorders>
              <w:top w:val="single" w:color="000000" w:sz="4"/>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1.87 [0.92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3.4]</w:t>
            </w:r>
          </w:p>
        </w:tc>
        <w:tc>
          <w:tcPr>
            <w:tcW w:w="1890" w:type="dxa"/>
            <w:tcBorders>
              <w:top w:val="single" w:color="000000" w:sz="4"/>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904" w:type="dxa"/>
            <w:tcBorders>
              <w:top w:val="single" w:color="000000" w:sz="4"/>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1.68 [1.02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2.77]</w:t>
            </w:r>
          </w:p>
        </w:tc>
      </w:tr>
      <w:tr>
        <w:trPr>
          <w:trHeight w:val="300"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904"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2.71 [1.47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4.57]</w:t>
            </w:r>
          </w:p>
        </w:tc>
        <w:tc>
          <w:tcPr>
            <w:tcW w:w="1890" w:type="dxa"/>
            <w:tcBorders>
              <w:top w:val="single" w:color="000000" w:sz="0"/>
              <w:left w:val="single" w:color="000000" w:sz="8"/>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0.64 [0.63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0.65]</w:t>
            </w:r>
          </w:p>
        </w:tc>
        <w:tc>
          <w:tcPr>
            <w:tcW w:w="1904"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 [2.63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5.18]</w:t>
            </w:r>
          </w:p>
        </w:tc>
      </w:tr>
      <w:tr>
        <w:trPr>
          <w:trHeight w:val="315" w:hRule="auto"/>
          <w:jc w:val="left"/>
        </w:trPr>
        <w:tc>
          <w:tcPr>
            <w:tcW w:w="2133" w:type="dxa"/>
            <w:vMerge/>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904"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 [2.18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6.1]</w:t>
            </w:r>
          </w:p>
        </w:tc>
        <w:tc>
          <w:tcPr>
            <w:tcW w:w="1890" w:type="dxa"/>
            <w:tcBorders>
              <w:top w:val="single" w:color="000000" w:sz="0"/>
              <w:left w:val="single" w:color="000000" w:sz="8"/>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0.64 [0.63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0.65]</w:t>
            </w:r>
          </w:p>
        </w:tc>
        <w:tc>
          <w:tcPr>
            <w:tcW w:w="1904"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5.06 [3.78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6.76]</w:t>
            </w:r>
          </w:p>
        </w:tc>
      </w:tr>
    </w:tbl>
    <w:p>
      <w:pPr>
        <w:spacing w:before="0" w:after="22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0"/>
          <w:shd w:fill="auto" w:val="clear"/>
        </w:rPr>
        <w:t xml:space="preserve">CI, confidence interval; decomp, decompensated cirrhosis; HCC, hepatocellular carcinoma; NA, nucleos(t)ide analogues</w:t>
      </w: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Table 12. Long-term clinical outcomes among NCIA patients by index treatment status (sensitivity analysis).</w:t>
      </w:r>
    </w:p>
    <w:tbl>
      <w:tblPr/>
      <w:tblGrid>
        <w:gridCol w:w="2133"/>
        <w:gridCol w:w="1512"/>
        <w:gridCol w:w="1874"/>
        <w:gridCol w:w="1842"/>
        <w:gridCol w:w="1843"/>
      </w:tblGrid>
      <w:tr>
        <w:trPr>
          <w:trHeight w:val="300" w:hRule="auto"/>
          <w:jc w:val="left"/>
        </w:trPr>
        <w:tc>
          <w:tcPr>
            <w:tcW w:w="2133"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Outcome/Index</w:t>
            </w:r>
          </w:p>
        </w:tc>
        <w:tc>
          <w:tcPr>
            <w:tcW w:w="1512" w:type="dxa"/>
            <w:vMerge w:val="restart"/>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Time</w:t>
            </w:r>
          </w:p>
        </w:tc>
        <w:tc>
          <w:tcPr>
            <w:tcW w:w="1874" w:type="dxa"/>
            <w:vMerge w:val="restart"/>
            <w:tcBorders>
              <w:top w:val="single" w:color="000000" w:sz="8"/>
              <w:left w:val="single" w:color="000000" w:sz="8"/>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US</w:t>
            </w:r>
          </w:p>
        </w:tc>
        <w:tc>
          <w:tcPr>
            <w:tcW w:w="1842" w:type="dxa"/>
            <w:vMerge w:val="restart"/>
            <w:tcBorders>
              <w:top w:val="single" w:color="000000" w:sz="4"/>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Germany</w:t>
            </w:r>
          </w:p>
        </w:tc>
        <w:tc>
          <w:tcPr>
            <w:tcW w:w="1843" w:type="dxa"/>
            <w:vMerge w:val="restart"/>
            <w:tcBorders>
              <w:top w:val="single" w:color="000000" w:sz="4"/>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Taiwan</w:t>
            </w:r>
          </w:p>
        </w:tc>
      </w:tr>
      <w:tr>
        <w:trPr>
          <w:trHeight w:val="315"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Treatment Status</w:t>
            </w:r>
          </w:p>
        </w:tc>
        <w:tc>
          <w:tcPr>
            <w:tcW w:w="1512"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874" w:type="dxa"/>
            <w:vMerge/>
            <w:tcBorders>
              <w:top w:val="single" w:color="000000" w:sz="8"/>
              <w:left w:val="single" w:color="000000" w:sz="8"/>
              <w:bottom w:val="single" w:color="000000" w:sz="8"/>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842" w:type="dxa"/>
            <w:vMerge/>
            <w:tcBorders>
              <w:top w:val="single" w:color="000000" w:sz="8"/>
              <w:left w:val="single" w:color="000000" w:sz="4"/>
              <w:bottom w:val="single" w:color="000000" w:sz="8"/>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843" w:type="dxa"/>
            <w:vMerge/>
            <w:tcBorders>
              <w:top w:val="single" w:color="000000" w:sz="8"/>
              <w:left w:val="single" w:color="000000" w:sz="4"/>
              <w:bottom w:val="single" w:color="000000" w:sz="8"/>
              <w:right w:val="single" w:color="000000" w:sz="4"/>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315" w:hRule="auto"/>
          <w:jc w:val="left"/>
        </w:trPr>
        <w:tc>
          <w:tcPr>
            <w:tcW w:w="2133"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tc>
        <w:tc>
          <w:tcPr>
            <w:tcW w:w="1512" w:type="dxa"/>
            <w:vMerge/>
            <w:tcBorders>
              <w:top w:val="single" w:color="000000" w:sz="8"/>
              <w:left w:val="single" w:color="000000" w:sz="8"/>
              <w:bottom w:val="single" w:color="000000" w:sz="8"/>
              <w:right w:val="single" w:color="000000" w:sz="8"/>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874" w:type="dxa"/>
            <w:tcBorders>
              <w:top w:val="single" w:color="000000" w:sz="0"/>
              <w:left w:val="single" w:color="000000" w:sz="0"/>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Total [95% CI]</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Cirrhosis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874" w:type="dxa"/>
            <w:tcBorders>
              <w:top w:val="single" w:color="000000" w:sz="8"/>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7217</w:t>
            </w:r>
          </w:p>
        </w:tc>
        <w:tc>
          <w:tcPr>
            <w:tcW w:w="1842"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4688</w:t>
            </w:r>
          </w:p>
        </w:tc>
        <w:tc>
          <w:tcPr>
            <w:tcW w:w="1843"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396,418</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0.17 [0.09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0.29]</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0.04 [0.04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0.24 [0.23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0.26]</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0.33 [0.22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0.49]</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0.09 [0.09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0.09]</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0.46 [0.44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0.49]</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0.56 [0.4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0.76]</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0.45 [0.44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0.45]</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0.89 [0.86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0.92]</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1.49 [1.2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1.84]</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0.86 [0.86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0.87]</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1.62 [1.58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1.66]</w:t>
            </w:r>
          </w:p>
        </w:tc>
      </w:tr>
      <w:tr>
        <w:trPr>
          <w:trHeight w:val="315"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2.25 [1.86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2.69]</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1.11 [1.1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1.11]</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2.36 [2.31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2.41]</w:t>
            </w:r>
          </w:p>
        </w:tc>
      </w:tr>
      <w:tr>
        <w:trPr>
          <w:trHeight w:val="300" w:hRule="auto"/>
          <w:jc w:val="left"/>
        </w:trPr>
        <w:tc>
          <w:tcPr>
            <w:tcW w:w="2133"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Cirrhosis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874" w:type="dxa"/>
            <w:tcBorders>
              <w:top w:val="single" w:color="000000" w:sz="8"/>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1503</w:t>
            </w:r>
          </w:p>
        </w:tc>
        <w:tc>
          <w:tcPr>
            <w:tcW w:w="1842"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507</w:t>
            </w:r>
          </w:p>
        </w:tc>
        <w:tc>
          <w:tcPr>
            <w:tcW w:w="1843"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16,100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0.33 [0.13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0.75]</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0.74 [0.73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1.14 [0.99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1.32]</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0.61 [0.31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1.13]</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1.01 [1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1.02]</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1.95 [1.75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2.18]</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1.28 [0.79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1.98]</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1.32 [1.31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1.34]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3.65 [3.37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3.96]</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2.05 [1.37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2.95]</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1.79 [1.76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1.82]</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6.37 [6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6.77]</w:t>
            </w:r>
          </w:p>
        </w:tc>
      </w:tr>
      <w:tr>
        <w:trPr>
          <w:trHeight w:val="315" w:hRule="auto"/>
          <w:jc w:val="left"/>
        </w:trPr>
        <w:tc>
          <w:tcPr>
            <w:tcW w:w="2133"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874" w:type="dxa"/>
            <w:tcBorders>
              <w:top w:val="single" w:color="000000" w:sz="0"/>
              <w:left w:val="single" w:color="000000" w:sz="8"/>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2.41 [1.64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3.42]</w:t>
            </w:r>
          </w:p>
        </w:tc>
        <w:tc>
          <w:tcPr>
            <w:tcW w:w="1842"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2.82 [2.76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2.88]</w:t>
            </w:r>
          </w:p>
        </w:tc>
        <w:tc>
          <w:tcPr>
            <w:tcW w:w="1843"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8.77 [8.34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9.23]</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Decomp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6979</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4394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412,289</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0.29 [0.18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0.44]</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0.24 [0.24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0.12 [0.11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0.14]</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0.53 [0.38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0.73]</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0.37 [0.37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0.37]</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0.24 [0.22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0.25]</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1.15 [0.91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1.43]</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0.91 [0.9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0.91]</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0.45 [0.43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0.47]</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2.21 [1.85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2.62]</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1.53 [1.53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1.54]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0.81 [0.78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0.84]</w:t>
            </w:r>
          </w:p>
        </w:tc>
      </w:tr>
      <w:tr>
        <w:trPr>
          <w:trHeight w:val="315"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3.13 [2.67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3.64]</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2.16 [2.15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2.17]</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1.22 [1.19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1.26]</w:t>
            </w:r>
          </w:p>
        </w:tc>
      </w:tr>
      <w:tr>
        <w:trPr>
          <w:trHeight w:val="300" w:hRule="auto"/>
          <w:jc w:val="left"/>
        </w:trPr>
        <w:tc>
          <w:tcPr>
            <w:tcW w:w="2133"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Decomp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874" w:type="dxa"/>
            <w:tcBorders>
              <w:top w:val="single" w:color="000000" w:sz="8"/>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1568</w:t>
            </w:r>
          </w:p>
        </w:tc>
        <w:tc>
          <w:tcPr>
            <w:tcW w:w="1842"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552</w:t>
            </w:r>
          </w:p>
        </w:tc>
        <w:tc>
          <w:tcPr>
            <w:tcW w:w="1843"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23,460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0.39 [0.16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0.82]</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0.9 [0.9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0.91]</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0.77 [0.66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0.89]</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0.86 [0.48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1.43]</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 [1.15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1.17]</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1.27 [1.13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1.42]</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1.93 [1.31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2.74]</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1.16 [1.15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1.17]</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2.36 [2.17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2.56]</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3.04 [2.2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4.08]</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2.32 [2.28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2.36]</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4.18 [3.93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4.45]</w:t>
            </w:r>
          </w:p>
        </w:tc>
      </w:tr>
      <w:tr>
        <w:trPr>
          <w:trHeight w:val="315" w:hRule="auto"/>
          <w:jc w:val="left"/>
        </w:trPr>
        <w:tc>
          <w:tcPr>
            <w:tcW w:w="2133"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874" w:type="dxa"/>
            <w:tcBorders>
              <w:top w:val="single" w:color="000000" w:sz="0"/>
              <w:left w:val="single" w:color="000000" w:sz="8"/>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4.43 [3.33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5.75]</w:t>
            </w:r>
          </w:p>
        </w:tc>
        <w:tc>
          <w:tcPr>
            <w:tcW w:w="1842"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4.79 [4.65</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4.94]</w:t>
            </w:r>
          </w:p>
        </w:tc>
        <w:tc>
          <w:tcPr>
            <w:tcW w:w="1843" w:type="dxa"/>
            <w:tcBorders>
              <w:top w:val="single" w:color="000000" w:sz="0"/>
              <w:left w:val="single" w:color="000000" w:sz="4"/>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5.84 [5.54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6.16]</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HCC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untreated</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7524</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4904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415,111</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0.08 [0.03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0.17]</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0.04 [0.04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0.07 [0.06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0.08]</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0.17 [0.09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0.28]</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0.04 [0.04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0.04]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0.14 [0.13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0.15]</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0.34 [0.23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0.17 [0.17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0.17]</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0.27 [0.26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0.29]</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0.61 [0.44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0.84]</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0.33 [0.33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0.33]</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0.51 [0.49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0.53]</w:t>
            </w:r>
          </w:p>
        </w:tc>
      </w:tr>
      <w:tr>
        <w:trPr>
          <w:trHeight w:val="315"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0.83 [0.62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 [0.4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0.4]</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0.74 [0.72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0.77]</w:t>
            </w:r>
          </w:p>
        </w:tc>
      </w:tr>
      <w:tr>
        <w:trPr>
          <w:trHeight w:val="300" w:hRule="auto"/>
          <w:jc w:val="left"/>
        </w:trPr>
        <w:tc>
          <w:tcPr>
            <w:tcW w:w="2133" w:type="dxa"/>
            <w:tcBorders>
              <w:top w:val="single" w:color="000000" w:sz="8"/>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HCC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NAs</w:t>
            </w:r>
          </w:p>
        </w:tc>
        <w:tc>
          <w:tcPr>
            <w:tcW w:w="1512" w:type="dxa"/>
            <w:tcBorders>
              <w:top w:val="single" w:color="000000" w:sz="8"/>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p>
        </w:tc>
        <w:tc>
          <w:tcPr>
            <w:tcW w:w="1874" w:type="dxa"/>
            <w:tcBorders>
              <w:top w:val="single" w:color="000000" w:sz="8"/>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1689</w:t>
            </w:r>
          </w:p>
        </w:tc>
        <w:tc>
          <w:tcPr>
            <w:tcW w:w="1842"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591</w:t>
            </w:r>
          </w:p>
        </w:tc>
        <w:tc>
          <w:tcPr>
            <w:tcW w:w="1843" w:type="dxa"/>
            <w:tcBorders>
              <w:top w:val="single" w:color="000000" w:sz="8"/>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23,035</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0.06 [0.01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0.34]</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0.21 [0.21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0.21]</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0.45 [0.38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0.55]</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0.25 [0.09</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0.61]</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0.21 [0.21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0.21]</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0.83 [0.72</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0.95]</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0.64 [0.33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1.15]</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0.21 [0.21</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0.21]</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1.72 [1.56</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1.9]</w:t>
            </w:r>
          </w:p>
        </w:tc>
      </w:tr>
      <w:tr>
        <w:trPr>
          <w:trHeight w:val="300" w:hRule="auto"/>
          <w:jc w:val="left"/>
        </w:trPr>
        <w:tc>
          <w:tcPr>
            <w:tcW w:w="2133" w:type="dxa"/>
            <w:tcBorders>
              <w:top w:val="single" w:color="000000" w:sz="0"/>
              <w:left w:val="single" w:color="000000" w:sz="8"/>
              <w:bottom w:val="single" w:color="000000" w:sz="0"/>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months (%)</w:t>
            </w:r>
          </w:p>
        </w:tc>
        <w:tc>
          <w:tcPr>
            <w:tcW w:w="1874" w:type="dxa"/>
            <w:tcBorders>
              <w:top w:val="single" w:color="000000" w:sz="0"/>
              <w:left w:val="single" w:color="000000" w:sz="8"/>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1.66 [1.07</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2.47]</w:t>
            </w:r>
          </w:p>
        </w:tc>
        <w:tc>
          <w:tcPr>
            <w:tcW w:w="1842"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0.58 [0.58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0.59]</w:t>
            </w:r>
          </w:p>
        </w:tc>
        <w:tc>
          <w:tcPr>
            <w:tcW w:w="1843" w:type="dxa"/>
            <w:tcBorders>
              <w:top w:val="single" w:color="000000" w:sz="0"/>
              <w:left w:val="single" w:color="000000" w:sz="4"/>
              <w:bottom w:val="single" w:color="000000" w:sz="0"/>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3.27 [3.04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3.51]</w:t>
            </w:r>
          </w:p>
        </w:tc>
      </w:tr>
      <w:tr>
        <w:trPr>
          <w:trHeight w:val="315" w:hRule="auto"/>
          <w:jc w:val="left"/>
        </w:trPr>
        <w:tc>
          <w:tcPr>
            <w:tcW w:w="2133" w:type="dxa"/>
            <w:tcBorders>
              <w:top w:val="single" w:color="000000" w:sz="0"/>
              <w:left w:val="single" w:color="000000" w:sz="8"/>
              <w:bottom w:val="single" w:color="000000" w:sz="8"/>
              <w:right w:val="single" w:color="000000" w:sz="8"/>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c>
        <w:tc>
          <w:tcPr>
            <w:tcW w:w="1512" w:type="dxa"/>
            <w:tcBorders>
              <w:top w:val="single" w:color="000000" w:sz="0"/>
              <w:left w:val="single" w:color="000000" w:sz="0"/>
              <w:bottom w:val="single" w:color="000000" w:sz="8"/>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months (%)</w:t>
            </w:r>
          </w:p>
        </w:tc>
        <w:tc>
          <w:tcPr>
            <w:tcW w:w="1874" w:type="dxa"/>
            <w:tcBorders>
              <w:top w:val="single" w:color="000000" w:sz="0"/>
              <w:left w:val="single" w:color="000000" w:sz="8"/>
              <w:bottom w:val="single" w:color="000000" w:sz="8"/>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2.54 [1.74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3.58]</w:t>
            </w:r>
          </w:p>
        </w:tc>
        <w:tc>
          <w:tcPr>
            <w:tcW w:w="1842"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0.58 [0.58</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0.59]</w:t>
            </w:r>
          </w:p>
        </w:tc>
        <w:tc>
          <w:tcPr>
            <w:tcW w:w="1843"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4.61 [4.34</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4.9]</w:t>
            </w:r>
          </w:p>
        </w:tc>
      </w:tr>
    </w:tbl>
    <w:p>
      <w:pPr>
        <w:spacing w:before="0" w:after="220" w:line="36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CI, confidence interval; decomp, decompensated liver disease; HCC, hepatocellular carcinoma; NA, nucleos(t)ide analogues; NCIA, non-coinfected adults.</w:t>
      </w: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p>
    <w:p>
      <w:pPr>
        <w:keepNext w:val="true"/>
        <w:keepLines w:val="true"/>
        <w:spacing w:before="0" w:after="12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Supplementary Figure 1. Long-term clinical outcomes of NCIA patients by index treatment status (sensitivity analysis of patients censored on-treatment).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w:t>
      </w:r>
      <w:r>
        <w:rPr>
          <w:rFonts w:ascii="Calibri" w:hAnsi="Calibri" w:cs="Calibri" w:eastAsia="Calibri"/>
          <w:color w:val="auto"/>
          <w:spacing w:val="0"/>
          <w:position w:val="0"/>
          <w:sz w:val="22"/>
          <w:shd w:fill="auto" w:val="clear"/>
        </w:rPr>
        <w:t xml:space="preserve"> Cirrhosis</w:t>
      </w:r>
    </w:p>
    <w:p>
      <w:pPr>
        <w:spacing w:before="0" w:after="220" w:line="360"/>
        <w:ind w:right="0" w:left="0" w:firstLine="0"/>
        <w:jc w:val="left"/>
        <w:rPr>
          <w:rFonts w:ascii="Calibri" w:hAnsi="Calibri" w:cs="Calibri" w:eastAsia="Calibri"/>
          <w:color w:val="auto"/>
          <w:spacing w:val="0"/>
          <w:position w:val="0"/>
          <w:sz w:val="22"/>
          <w:shd w:fill="auto" w:val="clear"/>
        </w:rPr>
      </w:pPr>
      <w:r>
        <w:object w:dxaOrig="9252" w:dyaOrig="7464">
          <v:rect xmlns:o="urn:schemas-microsoft-com:office:office" xmlns:v="urn:schemas-microsoft-com:vml" id="rectole0000000000" style="width:462.600000pt;height:373.2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0" ShapeID="rectole0000000000" r:id="docRId2"/>
        </w:object>
      </w:r>
    </w:p>
    <w:p>
      <w:pPr>
        <w:keepNext w:val="true"/>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w:t>
      </w:r>
      <w:r>
        <w:rPr>
          <w:rFonts w:ascii="Calibri" w:hAnsi="Calibri" w:cs="Calibri" w:eastAsia="Calibri"/>
          <w:color w:val="auto"/>
          <w:spacing w:val="0"/>
          <w:position w:val="0"/>
          <w:sz w:val="22"/>
          <w:shd w:fill="auto" w:val="clear"/>
        </w:rPr>
        <w:t xml:space="preserve"> Decompensated liver disease</w:t>
      </w:r>
    </w:p>
    <w:p>
      <w:pPr>
        <w:spacing w:before="0" w:after="220" w:line="360"/>
        <w:ind w:right="0" w:left="0" w:firstLine="0"/>
        <w:jc w:val="left"/>
        <w:rPr>
          <w:rFonts w:ascii="Calibri" w:hAnsi="Calibri" w:cs="Calibri" w:eastAsia="Calibri"/>
          <w:color w:val="auto"/>
          <w:spacing w:val="0"/>
          <w:position w:val="0"/>
          <w:sz w:val="22"/>
          <w:shd w:fill="auto" w:val="clear"/>
        </w:rPr>
      </w:pPr>
      <w:r>
        <w:object w:dxaOrig="9252" w:dyaOrig="7464">
          <v:rect xmlns:o="urn:schemas-microsoft-com:office:office" xmlns:v="urn:schemas-microsoft-com:vml" id="rectole0000000001" style="width:462.600000pt;height:373.2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1" ShapeID="rectole0000000001" r:id="docRId4"/>
        </w:object>
      </w:r>
    </w:p>
    <w:p>
      <w:pPr>
        <w:keepNext w:val="true"/>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w:t>
      </w:r>
      <w:r>
        <w:rPr>
          <w:rFonts w:ascii="Calibri" w:hAnsi="Calibri" w:cs="Calibri" w:eastAsia="Calibri"/>
          <w:color w:val="auto"/>
          <w:spacing w:val="0"/>
          <w:position w:val="0"/>
          <w:sz w:val="22"/>
          <w:shd w:fill="auto" w:val="clear"/>
        </w:rPr>
        <w:t xml:space="preserve"> Hepatocellular carcinoma</w:t>
      </w:r>
    </w:p>
    <w:p>
      <w:pPr>
        <w:spacing w:before="0" w:after="220" w:line="360"/>
        <w:ind w:right="0" w:left="0" w:firstLine="0"/>
        <w:jc w:val="left"/>
        <w:rPr>
          <w:rFonts w:ascii="Arial" w:hAnsi="Arial" w:cs="Arial" w:eastAsia="Arial"/>
          <w:color w:val="auto"/>
          <w:spacing w:val="0"/>
          <w:position w:val="0"/>
          <w:sz w:val="20"/>
          <w:shd w:fill="auto" w:val="clear"/>
        </w:rPr>
      </w:pPr>
      <w:r>
        <w:object w:dxaOrig="9252" w:dyaOrig="7598">
          <v:rect xmlns:o="urn:schemas-microsoft-com:office:office" xmlns:v="urn:schemas-microsoft-com:vml" id="rectole0000000002" style="width:462.600000pt;height:379.9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2" ShapeID="rectole0000000002" r:id="docRId6"/>
        </w:object>
      </w:r>
    </w:p>
    <w:p>
      <w:pPr>
        <w:spacing w:before="0" w:after="22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0"/>
          <w:shd w:fill="auto" w:val="clear"/>
        </w:rPr>
        <w:t xml:space="preserve">NA, nucleos(t)ide analogues; NCIA, non-coinfected adults.</w:t>
      </w:r>
      <w:r>
        <w:rPr>
          <w:rFonts w:ascii="Arial" w:hAnsi="Arial" w:cs="Arial" w:eastAsia="Arial"/>
          <w:color w:val="auto"/>
          <w:spacing w:val="0"/>
          <w:position w:val="0"/>
          <w:sz w:val="20"/>
          <w:shd w:fill="auto" w:val="clear"/>
        </w:rPr>
        <w:t xml:space="preserve"> </w:t>
      </w:r>
    </w:p>
    <w:p>
      <w:pPr>
        <w:spacing w:before="0" w:after="220" w:line="360"/>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5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3" Type="http://schemas.openxmlformats.org/officeDocument/2006/relationships/image" /><Relationship Target="media/image2.wmf" Id="docRId7" Type="http://schemas.openxmlformats.org/officeDocument/2006/relationships/image" /><Relationship TargetMode="External" Target="https://doi.org/10.1097/md.0000000000000462" Id="docRId0" Type="http://schemas.openxmlformats.org/officeDocument/2006/relationships/hyperlink" /><Relationship Target="embeddings/oleObject0.bin" Id="docRId2" Type="http://schemas.openxmlformats.org/officeDocument/2006/relationships/oleObject" /><Relationship Target="embeddings/oleObject1.bin" Id="docRId4" Type="http://schemas.openxmlformats.org/officeDocument/2006/relationships/oleObject" /><Relationship Target="embeddings/oleObject2.bin" Id="docRId6" Type="http://schemas.openxmlformats.org/officeDocument/2006/relationships/oleObject" /><Relationship Target="numbering.xml" Id="docRId8" Type="http://schemas.openxmlformats.org/officeDocument/2006/relationships/numbering" /><Relationship TargetMode="External" Target="https://doi.org/10.3111/13696998.2012.710690" Id="docRId1" Type="http://schemas.openxmlformats.org/officeDocument/2006/relationships/hyperlink" /><Relationship Target="media/image1.wmf" Id="docRId5" Type="http://schemas.openxmlformats.org/officeDocument/2006/relationships/image" /><Relationship Target="styles.xml" Id="docRId9" Type="http://schemas.openxmlformats.org/officeDocument/2006/relationships/styles" /></Relationships>
</file>