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5FEA6" w14:textId="77777777" w:rsidR="000B5B31" w:rsidRPr="00B84F4B" w:rsidRDefault="000B5B31">
      <w:pPr>
        <w:rPr>
          <w:rFonts w:cs="Calibri"/>
          <w:sz w:val="22"/>
          <w:szCs w:val="22"/>
        </w:rPr>
      </w:pPr>
      <w:r w:rsidRPr="00B84F4B">
        <w:rPr>
          <w:rFonts w:cs="Calibri"/>
          <w:b/>
          <w:bCs/>
          <w:sz w:val="22"/>
          <w:szCs w:val="22"/>
        </w:rPr>
        <w:t>Article title:</w:t>
      </w:r>
      <w:r w:rsidRPr="00B84F4B">
        <w:rPr>
          <w:rFonts w:cs="Calibri"/>
          <w:sz w:val="22"/>
          <w:szCs w:val="22"/>
        </w:rPr>
        <w:t xml:space="preserve"> The deployment and use of social robots for home-based healthcare: A systematic review of enablers and barriers </w:t>
      </w:r>
    </w:p>
    <w:p w14:paraId="2EC9C7F9" w14:textId="77777777" w:rsidR="000B5B31" w:rsidRPr="00B84F4B" w:rsidRDefault="000B5B31">
      <w:pPr>
        <w:rPr>
          <w:rFonts w:cs="Calibri"/>
          <w:sz w:val="22"/>
          <w:szCs w:val="22"/>
        </w:rPr>
      </w:pPr>
      <w:r w:rsidRPr="00B84F4B">
        <w:rPr>
          <w:rFonts w:cs="Calibri"/>
          <w:b/>
          <w:bCs/>
          <w:sz w:val="22"/>
          <w:szCs w:val="22"/>
        </w:rPr>
        <w:t>Journal name:</w:t>
      </w:r>
      <w:r w:rsidRPr="00B84F4B">
        <w:rPr>
          <w:rFonts w:cs="Calibri"/>
          <w:sz w:val="22"/>
          <w:szCs w:val="22"/>
        </w:rPr>
        <w:t xml:space="preserve"> International Journal of Social Robotics </w:t>
      </w:r>
    </w:p>
    <w:p w14:paraId="5E511AC9" w14:textId="687D6CF4" w:rsidR="000B5B31" w:rsidRPr="00B84F4B" w:rsidRDefault="000B5B31">
      <w:pPr>
        <w:rPr>
          <w:rFonts w:cs="Calibri"/>
          <w:sz w:val="22"/>
          <w:szCs w:val="22"/>
        </w:rPr>
      </w:pPr>
      <w:r w:rsidRPr="00B84F4B">
        <w:rPr>
          <w:rFonts w:cs="Calibri"/>
          <w:b/>
          <w:bCs/>
          <w:sz w:val="22"/>
          <w:szCs w:val="22"/>
        </w:rPr>
        <w:t>Author names:</w:t>
      </w:r>
      <w:r w:rsidRPr="00B84F4B">
        <w:rPr>
          <w:rFonts w:cs="Calibri"/>
          <w:sz w:val="22"/>
          <w:szCs w:val="22"/>
        </w:rPr>
        <w:t xml:space="preserve"> Eda Karaosmanoglu, Marco C. Rozendaal, Heike Vallery, Jane Murray Cramm </w:t>
      </w:r>
    </w:p>
    <w:p w14:paraId="7E1841F2" w14:textId="69D67EA0" w:rsidR="00B84F4B" w:rsidRPr="00B84F4B" w:rsidRDefault="000B5B31">
      <w:pPr>
        <w:rPr>
          <w:rFonts w:cs="Calibri"/>
          <w:sz w:val="22"/>
          <w:szCs w:val="22"/>
        </w:rPr>
      </w:pPr>
      <w:r w:rsidRPr="00B84F4B">
        <w:rPr>
          <w:rFonts w:cs="Calibri"/>
          <w:b/>
          <w:bCs/>
          <w:sz w:val="22"/>
          <w:szCs w:val="22"/>
        </w:rPr>
        <w:t>Affiliation and e-mail address of the corresponding author:</w:t>
      </w:r>
      <w:r w:rsidRPr="00B84F4B">
        <w:rPr>
          <w:rFonts w:cs="Calibri"/>
          <w:sz w:val="22"/>
          <w:szCs w:val="22"/>
        </w:rPr>
        <w:t xml:space="preserve"> Erasmus University Rotterdam, Rotterdam, The Netherlands and Delft University of Technology, Delft, The Netherlands. </w:t>
      </w:r>
      <w:hyperlink r:id="rId4" w:history="1">
        <w:r w:rsidR="00B84F4B" w:rsidRPr="00B84F4B">
          <w:rPr>
            <w:rStyle w:val="Hyperlink"/>
            <w:rFonts w:cs="Calibri"/>
            <w:sz w:val="22"/>
            <w:szCs w:val="22"/>
          </w:rPr>
          <w:t>karaosmanoglu@eshpm.eur.nl</w:t>
        </w:r>
      </w:hyperlink>
    </w:p>
    <w:p w14:paraId="349587F5" w14:textId="77777777" w:rsidR="00B84F4B" w:rsidRDefault="00B84F4B">
      <w:pPr>
        <w:rPr>
          <w:rFonts w:cs="Calibri"/>
          <w:b/>
          <w:bCs/>
          <w:sz w:val="22"/>
          <w:szCs w:val="22"/>
        </w:rPr>
      </w:pPr>
    </w:p>
    <w:p w14:paraId="1D5907CB" w14:textId="7DB086E7" w:rsidR="00B84F4B" w:rsidRDefault="00B84F4B">
      <w:pPr>
        <w:rPr>
          <w:rFonts w:cs="Calibri"/>
          <w:b/>
          <w:bCs/>
          <w:sz w:val="22"/>
          <w:szCs w:val="22"/>
        </w:rPr>
      </w:pPr>
      <w:r w:rsidRPr="00B84F4B">
        <w:rPr>
          <w:rFonts w:cs="Calibri"/>
          <w:b/>
          <w:bCs/>
          <w:sz w:val="22"/>
          <w:szCs w:val="22"/>
        </w:rPr>
        <w:t xml:space="preserve">Inclusion and Exclusion Criteria </w:t>
      </w:r>
    </w:p>
    <w:p w14:paraId="49FDC4F8" w14:textId="2BADD69B" w:rsidR="00E83CFE" w:rsidRPr="00E83CFE" w:rsidRDefault="00E83CFE">
      <w:pPr>
        <w:rPr>
          <w:rFonts w:cs="Calibri"/>
          <w:sz w:val="22"/>
          <w:szCs w:val="22"/>
        </w:rPr>
      </w:pPr>
      <w:r w:rsidRPr="00E83CFE">
        <w:rPr>
          <w:rFonts w:cs="Calibri"/>
          <w:sz w:val="22"/>
          <w:szCs w:val="22"/>
        </w:rPr>
        <w:t xml:space="preserve">The table below presents the </w:t>
      </w:r>
      <w:r>
        <w:rPr>
          <w:rFonts w:cs="Calibri"/>
          <w:sz w:val="22"/>
          <w:szCs w:val="22"/>
        </w:rPr>
        <w:t xml:space="preserve">criteria </w:t>
      </w:r>
      <w:r w:rsidR="008C0359">
        <w:rPr>
          <w:rFonts w:cs="Calibri"/>
          <w:sz w:val="22"/>
          <w:szCs w:val="22"/>
        </w:rPr>
        <w:t>that informed the</w:t>
      </w:r>
      <w:r w:rsidR="0000203F">
        <w:rPr>
          <w:rFonts w:cs="Calibri"/>
          <w:sz w:val="22"/>
          <w:szCs w:val="22"/>
        </w:rPr>
        <w:t xml:space="preserve"> authors’</w:t>
      </w:r>
      <w:r w:rsidR="008C0359">
        <w:rPr>
          <w:rFonts w:cs="Calibri"/>
          <w:sz w:val="22"/>
          <w:szCs w:val="22"/>
        </w:rPr>
        <w:t xml:space="preserve"> decisions to include or exclude articles for the review.</w:t>
      </w:r>
    </w:p>
    <w:tbl>
      <w:tblPr>
        <w:tblStyle w:val="TableGrid"/>
        <w:tblpPr w:leftFromText="180" w:rightFromText="180" w:vertAnchor="text" w:horzAnchor="margin" w:tblpY="196"/>
        <w:tblW w:w="0" w:type="auto"/>
        <w:tblLook w:val="04A0" w:firstRow="1" w:lastRow="0" w:firstColumn="1" w:lastColumn="0" w:noHBand="0" w:noVBand="1"/>
      </w:tblPr>
      <w:tblGrid>
        <w:gridCol w:w="2405"/>
        <w:gridCol w:w="6611"/>
      </w:tblGrid>
      <w:tr w:rsidR="00B84F4B" w:rsidRPr="00B84F4B" w14:paraId="10DD6AB5" w14:textId="77777777" w:rsidTr="00E83CFE">
        <w:tc>
          <w:tcPr>
            <w:tcW w:w="2405" w:type="dxa"/>
          </w:tcPr>
          <w:p w14:paraId="1270F789" w14:textId="77777777" w:rsidR="00B84F4B" w:rsidRPr="00B84F4B" w:rsidRDefault="00B84F4B" w:rsidP="0082589D">
            <w:pPr>
              <w:rPr>
                <w:sz w:val="22"/>
                <w:szCs w:val="22"/>
              </w:rPr>
            </w:pPr>
            <w:r w:rsidRPr="00B84F4B">
              <w:rPr>
                <w:sz w:val="22"/>
                <w:szCs w:val="22"/>
              </w:rPr>
              <w:t>Inclusion Criteria</w:t>
            </w:r>
          </w:p>
        </w:tc>
        <w:tc>
          <w:tcPr>
            <w:tcW w:w="6611" w:type="dxa"/>
          </w:tcPr>
          <w:p w14:paraId="07C921BB" w14:textId="77777777" w:rsidR="004F3F21" w:rsidRDefault="000F2197" w:rsidP="0082589D">
            <w:pPr>
              <w:rPr>
                <w:sz w:val="22"/>
                <w:szCs w:val="22"/>
              </w:rPr>
            </w:pPr>
            <w:r w:rsidRPr="000F2197">
              <w:rPr>
                <w:sz w:val="22"/>
                <w:szCs w:val="22"/>
              </w:rPr>
              <w:t xml:space="preserve">(1) </w:t>
            </w:r>
            <w:r w:rsidR="004F3F21">
              <w:rPr>
                <w:sz w:val="22"/>
                <w:szCs w:val="22"/>
              </w:rPr>
              <w:t xml:space="preserve">Studies </w:t>
            </w:r>
            <w:r w:rsidRPr="000F2197">
              <w:rPr>
                <w:sz w:val="22"/>
                <w:szCs w:val="22"/>
              </w:rPr>
              <w:t xml:space="preserve">involving a social robot designed for healthcare purposes, </w:t>
            </w:r>
          </w:p>
          <w:p w14:paraId="663E7569" w14:textId="77777777" w:rsidR="004F3F21" w:rsidRDefault="000F2197" w:rsidP="0082589D">
            <w:pPr>
              <w:rPr>
                <w:sz w:val="22"/>
                <w:szCs w:val="22"/>
              </w:rPr>
            </w:pPr>
            <w:r w:rsidRPr="000F2197">
              <w:rPr>
                <w:sz w:val="22"/>
                <w:szCs w:val="22"/>
              </w:rPr>
              <w:t>(2)</w:t>
            </w:r>
            <w:r w:rsidR="004F3F21">
              <w:rPr>
                <w:sz w:val="22"/>
                <w:szCs w:val="22"/>
              </w:rPr>
              <w:t xml:space="preserve"> Studies </w:t>
            </w:r>
            <w:r w:rsidRPr="000F2197">
              <w:rPr>
                <w:sz w:val="22"/>
                <w:szCs w:val="22"/>
              </w:rPr>
              <w:t xml:space="preserve">including direct interaction between participants and the robot, </w:t>
            </w:r>
          </w:p>
          <w:p w14:paraId="2C51BEA7" w14:textId="77777777" w:rsidR="00E83CFE" w:rsidRDefault="000F2197" w:rsidP="0082589D">
            <w:pPr>
              <w:rPr>
                <w:sz w:val="22"/>
                <w:szCs w:val="22"/>
              </w:rPr>
            </w:pPr>
            <w:r w:rsidRPr="000F2197">
              <w:rPr>
                <w:sz w:val="22"/>
                <w:szCs w:val="22"/>
              </w:rPr>
              <w:t xml:space="preserve">(3) </w:t>
            </w:r>
            <w:r w:rsidR="004F3F21">
              <w:rPr>
                <w:sz w:val="22"/>
                <w:szCs w:val="22"/>
              </w:rPr>
              <w:t xml:space="preserve">Studies </w:t>
            </w:r>
            <w:r w:rsidRPr="000F2197">
              <w:rPr>
                <w:sz w:val="22"/>
                <w:szCs w:val="22"/>
              </w:rPr>
              <w:t xml:space="preserve">situating the </w:t>
            </w:r>
            <w:r w:rsidR="00E83CFE">
              <w:rPr>
                <w:sz w:val="22"/>
                <w:szCs w:val="22"/>
              </w:rPr>
              <w:t xml:space="preserve">HRI </w:t>
            </w:r>
            <w:r w:rsidRPr="000F2197">
              <w:rPr>
                <w:sz w:val="22"/>
                <w:szCs w:val="22"/>
              </w:rPr>
              <w:t xml:space="preserve">in a private residence or independent living setting, such as self-contained units in retirement villages, </w:t>
            </w:r>
          </w:p>
          <w:p w14:paraId="7A8089F8" w14:textId="77777777" w:rsidR="00E83CFE" w:rsidRDefault="000F2197" w:rsidP="0082589D">
            <w:pPr>
              <w:rPr>
                <w:sz w:val="22"/>
                <w:szCs w:val="22"/>
              </w:rPr>
            </w:pPr>
            <w:r w:rsidRPr="000F2197">
              <w:rPr>
                <w:sz w:val="22"/>
                <w:szCs w:val="22"/>
              </w:rPr>
              <w:t xml:space="preserve">(4) reporting health- or user experience-related outcomes, such as usability or acceptance, </w:t>
            </w:r>
          </w:p>
          <w:p w14:paraId="4F5A7263" w14:textId="77777777" w:rsidR="00E83CFE" w:rsidRDefault="000F2197" w:rsidP="0082589D">
            <w:pPr>
              <w:rPr>
                <w:sz w:val="22"/>
                <w:szCs w:val="22"/>
              </w:rPr>
            </w:pPr>
            <w:r w:rsidRPr="000F2197">
              <w:rPr>
                <w:sz w:val="22"/>
                <w:szCs w:val="22"/>
              </w:rPr>
              <w:t xml:space="preserve">(5) published as a peer-reviewed full-length journal article, </w:t>
            </w:r>
          </w:p>
          <w:p w14:paraId="12D502E9" w14:textId="3A224268" w:rsidR="00B84F4B" w:rsidRPr="00B84F4B" w:rsidRDefault="000F2197" w:rsidP="0082589D">
            <w:pPr>
              <w:rPr>
                <w:sz w:val="22"/>
                <w:szCs w:val="22"/>
              </w:rPr>
            </w:pPr>
            <w:r w:rsidRPr="000F2197">
              <w:rPr>
                <w:sz w:val="22"/>
                <w:szCs w:val="22"/>
              </w:rPr>
              <w:t>(6) written in English.</w:t>
            </w:r>
          </w:p>
        </w:tc>
      </w:tr>
      <w:tr w:rsidR="00B84F4B" w:rsidRPr="00B84F4B" w14:paraId="5ED2DE7D" w14:textId="77777777" w:rsidTr="00E83CFE">
        <w:tc>
          <w:tcPr>
            <w:tcW w:w="2405" w:type="dxa"/>
          </w:tcPr>
          <w:p w14:paraId="19534EDD" w14:textId="77777777" w:rsidR="00B84F4B" w:rsidRPr="00B84F4B" w:rsidRDefault="00B84F4B" w:rsidP="0082589D">
            <w:pPr>
              <w:rPr>
                <w:sz w:val="22"/>
                <w:szCs w:val="22"/>
              </w:rPr>
            </w:pPr>
            <w:r w:rsidRPr="00B84F4B">
              <w:rPr>
                <w:sz w:val="22"/>
                <w:szCs w:val="22"/>
              </w:rPr>
              <w:t>Exclusion Criteria</w:t>
            </w:r>
          </w:p>
        </w:tc>
        <w:tc>
          <w:tcPr>
            <w:tcW w:w="6611" w:type="dxa"/>
          </w:tcPr>
          <w:p w14:paraId="5DAB8C70" w14:textId="77777777" w:rsidR="00E83CFE" w:rsidRDefault="004F3F21" w:rsidP="0082589D">
            <w:pPr>
              <w:rPr>
                <w:sz w:val="22"/>
                <w:szCs w:val="22"/>
              </w:rPr>
            </w:pPr>
            <w:r w:rsidRPr="004F3F21">
              <w:rPr>
                <w:sz w:val="22"/>
                <w:szCs w:val="22"/>
              </w:rPr>
              <w:t xml:space="preserve">(1) </w:t>
            </w:r>
            <w:r w:rsidR="00E83CFE">
              <w:rPr>
                <w:sz w:val="22"/>
                <w:szCs w:val="22"/>
              </w:rPr>
              <w:t>S</w:t>
            </w:r>
            <w:r w:rsidRPr="004F3F21">
              <w:rPr>
                <w:sz w:val="22"/>
                <w:szCs w:val="22"/>
              </w:rPr>
              <w:t xml:space="preserve">tudies with a focus on the technological interventions which do not fit the description of social robots, such as non-autonomous agents (e.g., teleoperated robots), robots that are only for telepresence, robots that provide only physical or task assistance and robots that are not physically embodied and not socially situated (e.g., exoskeletons, VR-based systems, wearables, smart wheelchairs/walkers, chatbots, etc.), or robots without a healthcare purpose (e.g., educational robots) </w:t>
            </w:r>
          </w:p>
          <w:p w14:paraId="0EE59ED6" w14:textId="77777777" w:rsidR="00E83CFE" w:rsidRDefault="004F3F21" w:rsidP="0082589D">
            <w:pPr>
              <w:rPr>
                <w:sz w:val="22"/>
                <w:szCs w:val="22"/>
              </w:rPr>
            </w:pPr>
            <w:r w:rsidRPr="004F3F21">
              <w:rPr>
                <w:sz w:val="22"/>
                <w:szCs w:val="22"/>
              </w:rPr>
              <w:t xml:space="preserve">(2) </w:t>
            </w:r>
            <w:r w:rsidR="00E83CFE">
              <w:rPr>
                <w:sz w:val="22"/>
                <w:szCs w:val="22"/>
              </w:rPr>
              <w:t>S</w:t>
            </w:r>
            <w:r w:rsidRPr="004F3F21">
              <w:rPr>
                <w:sz w:val="22"/>
                <w:szCs w:val="22"/>
              </w:rPr>
              <w:t xml:space="preserve">tudies </w:t>
            </w:r>
            <w:r w:rsidR="00E83CFE">
              <w:rPr>
                <w:sz w:val="22"/>
                <w:szCs w:val="22"/>
              </w:rPr>
              <w:t>not</w:t>
            </w:r>
            <w:r w:rsidRPr="004F3F21">
              <w:rPr>
                <w:sz w:val="22"/>
                <w:szCs w:val="22"/>
              </w:rPr>
              <w:t xml:space="preserve"> contain</w:t>
            </w:r>
            <w:r w:rsidR="00E83CFE">
              <w:rPr>
                <w:sz w:val="22"/>
                <w:szCs w:val="22"/>
              </w:rPr>
              <w:t>ing</w:t>
            </w:r>
            <w:r w:rsidRPr="004F3F21">
              <w:rPr>
                <w:sz w:val="22"/>
                <w:szCs w:val="22"/>
              </w:rPr>
              <w:t xml:space="preserve"> HRI, </w:t>
            </w:r>
          </w:p>
          <w:p w14:paraId="1FAE35EC" w14:textId="77777777" w:rsidR="00E83CFE" w:rsidRDefault="004F3F21" w:rsidP="0082589D">
            <w:pPr>
              <w:rPr>
                <w:sz w:val="22"/>
                <w:szCs w:val="22"/>
              </w:rPr>
            </w:pPr>
            <w:r w:rsidRPr="004F3F21">
              <w:rPr>
                <w:sz w:val="22"/>
                <w:szCs w:val="22"/>
              </w:rPr>
              <w:t xml:space="preserve">(3) </w:t>
            </w:r>
            <w:r w:rsidR="00E83CFE">
              <w:rPr>
                <w:sz w:val="22"/>
                <w:szCs w:val="22"/>
              </w:rPr>
              <w:t>S</w:t>
            </w:r>
            <w:r w:rsidRPr="004F3F21">
              <w:rPr>
                <w:sz w:val="22"/>
                <w:szCs w:val="22"/>
              </w:rPr>
              <w:t xml:space="preserve">tudies focusing on simultaneous localization and mapping (SLAM) methods or robot control or machine learning algorithms, (4) </w:t>
            </w:r>
            <w:r w:rsidR="00E83CFE">
              <w:rPr>
                <w:sz w:val="22"/>
                <w:szCs w:val="22"/>
              </w:rPr>
              <w:t>S</w:t>
            </w:r>
            <w:r w:rsidRPr="004F3F21">
              <w:rPr>
                <w:sz w:val="22"/>
                <w:szCs w:val="22"/>
              </w:rPr>
              <w:t xml:space="preserve">tudies that are conducted in institutional settings (e.g., care facilities) or smart homes, </w:t>
            </w:r>
          </w:p>
          <w:p w14:paraId="1BA4A3E5" w14:textId="77777777" w:rsidR="00E83CFE" w:rsidRDefault="004F3F21" w:rsidP="0082589D">
            <w:pPr>
              <w:rPr>
                <w:sz w:val="22"/>
                <w:szCs w:val="22"/>
              </w:rPr>
            </w:pPr>
            <w:r w:rsidRPr="004F3F21">
              <w:rPr>
                <w:sz w:val="22"/>
                <w:szCs w:val="22"/>
              </w:rPr>
              <w:t xml:space="preserve">(5) </w:t>
            </w:r>
            <w:r w:rsidR="00E83CFE">
              <w:rPr>
                <w:sz w:val="22"/>
                <w:szCs w:val="22"/>
              </w:rPr>
              <w:t>S</w:t>
            </w:r>
            <w:r w:rsidRPr="004F3F21">
              <w:rPr>
                <w:sz w:val="22"/>
                <w:szCs w:val="22"/>
              </w:rPr>
              <w:t xml:space="preserve">tudies that are not published in English, </w:t>
            </w:r>
          </w:p>
          <w:p w14:paraId="0DF6949E" w14:textId="77777777" w:rsidR="00E83CFE" w:rsidRDefault="004F3F21" w:rsidP="0082589D">
            <w:pPr>
              <w:rPr>
                <w:sz w:val="22"/>
                <w:szCs w:val="22"/>
              </w:rPr>
            </w:pPr>
            <w:r w:rsidRPr="004F3F21">
              <w:rPr>
                <w:sz w:val="22"/>
                <w:szCs w:val="22"/>
              </w:rPr>
              <w:t xml:space="preserve">(6) </w:t>
            </w:r>
            <w:r w:rsidR="00E83CFE">
              <w:rPr>
                <w:sz w:val="22"/>
                <w:szCs w:val="22"/>
              </w:rPr>
              <w:t>S</w:t>
            </w:r>
            <w:r w:rsidRPr="004F3F21">
              <w:rPr>
                <w:sz w:val="22"/>
                <w:szCs w:val="22"/>
              </w:rPr>
              <w:t xml:space="preserve">tudies that are not peer reviewed,  </w:t>
            </w:r>
          </w:p>
          <w:p w14:paraId="2C05351A" w14:textId="4AAEC09E" w:rsidR="00B84F4B" w:rsidRPr="00B84F4B" w:rsidRDefault="004F3F21" w:rsidP="0082589D">
            <w:pPr>
              <w:rPr>
                <w:sz w:val="22"/>
                <w:szCs w:val="22"/>
              </w:rPr>
            </w:pPr>
            <w:r w:rsidRPr="004F3F21">
              <w:rPr>
                <w:sz w:val="22"/>
                <w:szCs w:val="22"/>
              </w:rPr>
              <w:t xml:space="preserve">(7) </w:t>
            </w:r>
            <w:r w:rsidR="00E83CFE">
              <w:rPr>
                <w:sz w:val="22"/>
                <w:szCs w:val="22"/>
              </w:rPr>
              <w:t>S</w:t>
            </w:r>
            <w:r w:rsidRPr="004F3F21">
              <w:rPr>
                <w:sz w:val="22"/>
                <w:szCs w:val="22"/>
              </w:rPr>
              <w:t>tudies that are conference papers, abstract-only papers, posters, presentations, letters, commentaries, editorials, or reviews.</w:t>
            </w:r>
          </w:p>
        </w:tc>
      </w:tr>
    </w:tbl>
    <w:p w14:paraId="5B8EDAE9" w14:textId="77777777" w:rsidR="00B84F4B" w:rsidRPr="00B84F4B" w:rsidRDefault="00B84F4B">
      <w:pPr>
        <w:rPr>
          <w:rFonts w:cs="Calibri"/>
          <w:sz w:val="22"/>
          <w:szCs w:val="22"/>
        </w:rPr>
      </w:pPr>
    </w:p>
    <w:sectPr w:rsidR="00B84F4B" w:rsidRPr="00B84F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AEE"/>
    <w:rsid w:val="0000203F"/>
    <w:rsid w:val="000B5B31"/>
    <w:rsid w:val="000F2197"/>
    <w:rsid w:val="004F3F21"/>
    <w:rsid w:val="006D72FF"/>
    <w:rsid w:val="008C0359"/>
    <w:rsid w:val="00B84F4B"/>
    <w:rsid w:val="00C100A2"/>
    <w:rsid w:val="00C56AEE"/>
    <w:rsid w:val="00E81C33"/>
    <w:rsid w:val="00E83CFE"/>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615A8"/>
  <w15:chartTrackingRefBased/>
  <w15:docId w15:val="{531EDBD8-94E2-4DEC-A378-38E6206EF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6A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6A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6A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6A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6A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6A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6A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6A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6A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6A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6A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6A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6A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6A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6A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6A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6A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6AEE"/>
    <w:rPr>
      <w:rFonts w:eastAsiaTheme="majorEastAsia" w:cstheme="majorBidi"/>
      <w:color w:val="272727" w:themeColor="text1" w:themeTint="D8"/>
    </w:rPr>
  </w:style>
  <w:style w:type="paragraph" w:styleId="Title">
    <w:name w:val="Title"/>
    <w:basedOn w:val="Normal"/>
    <w:next w:val="Normal"/>
    <w:link w:val="TitleChar"/>
    <w:uiPriority w:val="10"/>
    <w:qFormat/>
    <w:rsid w:val="00C56A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6A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6A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6A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6AEE"/>
    <w:pPr>
      <w:spacing w:before="160"/>
      <w:jc w:val="center"/>
    </w:pPr>
    <w:rPr>
      <w:i/>
      <w:iCs/>
      <w:color w:val="404040" w:themeColor="text1" w:themeTint="BF"/>
    </w:rPr>
  </w:style>
  <w:style w:type="character" w:customStyle="1" w:styleId="QuoteChar">
    <w:name w:val="Quote Char"/>
    <w:basedOn w:val="DefaultParagraphFont"/>
    <w:link w:val="Quote"/>
    <w:uiPriority w:val="29"/>
    <w:rsid w:val="00C56AEE"/>
    <w:rPr>
      <w:i/>
      <w:iCs/>
      <w:color w:val="404040" w:themeColor="text1" w:themeTint="BF"/>
    </w:rPr>
  </w:style>
  <w:style w:type="paragraph" w:styleId="ListParagraph">
    <w:name w:val="List Paragraph"/>
    <w:basedOn w:val="Normal"/>
    <w:uiPriority w:val="34"/>
    <w:qFormat/>
    <w:rsid w:val="00C56AEE"/>
    <w:pPr>
      <w:ind w:left="720"/>
      <w:contextualSpacing/>
    </w:pPr>
  </w:style>
  <w:style w:type="character" w:styleId="IntenseEmphasis">
    <w:name w:val="Intense Emphasis"/>
    <w:basedOn w:val="DefaultParagraphFont"/>
    <w:uiPriority w:val="21"/>
    <w:qFormat/>
    <w:rsid w:val="00C56AEE"/>
    <w:rPr>
      <w:i/>
      <w:iCs/>
      <w:color w:val="0F4761" w:themeColor="accent1" w:themeShade="BF"/>
    </w:rPr>
  </w:style>
  <w:style w:type="paragraph" w:styleId="IntenseQuote">
    <w:name w:val="Intense Quote"/>
    <w:basedOn w:val="Normal"/>
    <w:next w:val="Normal"/>
    <w:link w:val="IntenseQuoteChar"/>
    <w:uiPriority w:val="30"/>
    <w:qFormat/>
    <w:rsid w:val="00C56A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6AEE"/>
    <w:rPr>
      <w:i/>
      <w:iCs/>
      <w:color w:val="0F4761" w:themeColor="accent1" w:themeShade="BF"/>
    </w:rPr>
  </w:style>
  <w:style w:type="character" w:styleId="IntenseReference">
    <w:name w:val="Intense Reference"/>
    <w:basedOn w:val="DefaultParagraphFont"/>
    <w:uiPriority w:val="32"/>
    <w:qFormat/>
    <w:rsid w:val="00C56AEE"/>
    <w:rPr>
      <w:b/>
      <w:bCs/>
      <w:smallCaps/>
      <w:color w:val="0F4761" w:themeColor="accent1" w:themeShade="BF"/>
      <w:spacing w:val="5"/>
    </w:rPr>
  </w:style>
  <w:style w:type="table" w:styleId="TableGrid">
    <w:name w:val="Table Grid"/>
    <w:basedOn w:val="TableNormal"/>
    <w:uiPriority w:val="39"/>
    <w:rsid w:val="000B5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84F4B"/>
    <w:rPr>
      <w:color w:val="467886" w:themeColor="hyperlink"/>
      <w:u w:val="single"/>
    </w:rPr>
  </w:style>
  <w:style w:type="character" w:styleId="UnresolvedMention">
    <w:name w:val="Unresolved Mention"/>
    <w:basedOn w:val="DefaultParagraphFont"/>
    <w:uiPriority w:val="99"/>
    <w:semiHidden/>
    <w:unhideWhenUsed/>
    <w:rsid w:val="00B84F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araosmanoglu@eshpm.eu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322</Words>
  <Characters>1840</Characters>
  <Application>Microsoft Office Word</Application>
  <DocSecurity>0</DocSecurity>
  <Lines>15</Lines>
  <Paragraphs>4</Paragraphs>
  <ScaleCrop>false</ScaleCrop>
  <Company>Erasmus University</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Karaosmanoglu</dc:creator>
  <cp:keywords/>
  <dc:description/>
  <cp:lastModifiedBy>Eda Karaosmanoglu</cp:lastModifiedBy>
  <cp:revision>8</cp:revision>
  <dcterms:created xsi:type="dcterms:W3CDTF">2025-11-27T10:36:00Z</dcterms:created>
  <dcterms:modified xsi:type="dcterms:W3CDTF">2025-11-27T10:43:00Z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772ba27-cab8-4042-a351-a31f6e4eacdc_Enabled">
    <vt:lpwstr>true</vt:lpwstr>
  </property>
  <property fmtid="{D5CDD505-2E9C-101B-9397-08002B2CF9AE}" pid="3" name="MSIP_Label_8772ba27-cab8-4042-a351-a31f6e4eacdc_SetDate">
    <vt:lpwstr>2025-11-27T10:38:03Z</vt:lpwstr>
  </property>
  <property fmtid="{D5CDD505-2E9C-101B-9397-08002B2CF9AE}" pid="4" name="MSIP_Label_8772ba27-cab8-4042-a351-a31f6e4eacdc_Method">
    <vt:lpwstr>Standard</vt:lpwstr>
  </property>
  <property fmtid="{D5CDD505-2E9C-101B-9397-08002B2CF9AE}" pid="5" name="MSIP_Label_8772ba27-cab8-4042-a351-a31f6e4eacdc_Name">
    <vt:lpwstr>Internal</vt:lpwstr>
  </property>
  <property fmtid="{D5CDD505-2E9C-101B-9397-08002B2CF9AE}" pid="6" name="MSIP_Label_8772ba27-cab8-4042-a351-a31f6e4eacdc_SiteId">
    <vt:lpwstr>715902d6-f63e-4b8d-929b-4bb170bad492</vt:lpwstr>
  </property>
  <property fmtid="{D5CDD505-2E9C-101B-9397-08002B2CF9AE}" pid="7" name="MSIP_Label_8772ba27-cab8-4042-a351-a31f6e4eacdc_ActionId">
    <vt:lpwstr>cd3e9a3a-0f60-445e-a014-39c366ea45c9</vt:lpwstr>
  </property>
  <property fmtid="{D5CDD505-2E9C-101B-9397-08002B2CF9AE}" pid="8" name="MSIP_Label_8772ba27-cab8-4042-a351-a31f6e4eacdc_ContentBits">
    <vt:lpwstr>0</vt:lpwstr>
  </property>
  <property fmtid="{D5CDD505-2E9C-101B-9397-08002B2CF9AE}" pid="9" name="MSIP_Label_8772ba27-cab8-4042-a351-a31f6e4eacdc_Tag">
    <vt:lpwstr>10, 3, 0, 1</vt:lpwstr>
  </property>
</Properties>
</file>