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8621" w14:textId="77777777" w:rsidR="00DE67CD" w:rsidRPr="00A12404" w:rsidRDefault="00DE67CD" w:rsidP="00DE67CD">
      <w:pPr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A12404">
        <w:rPr>
          <w:rFonts w:ascii="Times New Roman" w:hAnsi="Times New Roman" w:cs="Times New Roman"/>
          <w:b/>
          <w:bCs/>
          <w:sz w:val="36"/>
          <w:szCs w:val="36"/>
        </w:rPr>
        <w:t>Assessing</w:t>
      </w:r>
      <w:proofErr w:type="spellEnd"/>
      <w:r w:rsidRPr="00A12404">
        <w:rPr>
          <w:rFonts w:ascii="Times New Roman" w:hAnsi="Times New Roman" w:cs="Times New Roman"/>
          <w:b/>
          <w:bCs/>
          <w:sz w:val="36"/>
          <w:szCs w:val="36"/>
        </w:rPr>
        <w:t xml:space="preserve"> geosites for </w:t>
      </w:r>
      <w:proofErr w:type="spellStart"/>
      <w:r w:rsidRPr="00A12404">
        <w:rPr>
          <w:rFonts w:ascii="Times New Roman" w:hAnsi="Times New Roman" w:cs="Times New Roman"/>
          <w:b/>
          <w:bCs/>
          <w:sz w:val="36"/>
          <w:szCs w:val="36"/>
        </w:rPr>
        <w:t>sustainable</w:t>
      </w:r>
      <w:proofErr w:type="spellEnd"/>
      <w:r w:rsidRPr="00A12404">
        <w:rPr>
          <w:rFonts w:ascii="Times New Roman" w:hAnsi="Times New Roman" w:cs="Times New Roman"/>
          <w:b/>
          <w:bCs/>
          <w:sz w:val="36"/>
          <w:szCs w:val="36"/>
        </w:rPr>
        <w:t xml:space="preserve"> geotourism: a </w:t>
      </w:r>
      <w:proofErr w:type="spellStart"/>
      <w:r w:rsidRPr="00A12404">
        <w:rPr>
          <w:rFonts w:ascii="Times New Roman" w:hAnsi="Times New Roman" w:cs="Times New Roman"/>
          <w:b/>
          <w:bCs/>
          <w:sz w:val="36"/>
          <w:szCs w:val="36"/>
        </w:rPr>
        <w:t>practical</w:t>
      </w:r>
      <w:proofErr w:type="spellEnd"/>
      <w:r w:rsidRPr="00A12404">
        <w:rPr>
          <w:rFonts w:ascii="Times New Roman" w:hAnsi="Times New Roman" w:cs="Times New Roman"/>
          <w:b/>
          <w:bCs/>
          <w:sz w:val="36"/>
          <w:szCs w:val="36"/>
        </w:rPr>
        <w:t xml:space="preserve"> tool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applied</w:t>
      </w:r>
      <w:proofErr w:type="spellEnd"/>
      <w:r w:rsidRPr="00A12404">
        <w:rPr>
          <w:rFonts w:ascii="Times New Roman" w:hAnsi="Times New Roman" w:cs="Times New Roman"/>
          <w:b/>
          <w:bCs/>
          <w:sz w:val="36"/>
          <w:szCs w:val="36"/>
        </w:rPr>
        <w:t xml:space="preserve"> in the Beigua UNESCO Global Geopark (</w:t>
      </w:r>
      <w:proofErr w:type="spellStart"/>
      <w:r w:rsidRPr="00A12404">
        <w:rPr>
          <w:rFonts w:ascii="Times New Roman" w:hAnsi="Times New Roman" w:cs="Times New Roman"/>
          <w:b/>
          <w:bCs/>
          <w:sz w:val="36"/>
          <w:szCs w:val="36"/>
        </w:rPr>
        <w:t>Italy</w:t>
      </w:r>
      <w:proofErr w:type="spellEnd"/>
      <w:r w:rsidRPr="00A12404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66EF8870" w14:textId="77777777" w:rsidR="00DE67CD" w:rsidRPr="00A12404" w:rsidRDefault="00DE67CD" w:rsidP="00DE67CD">
      <w:pPr>
        <w:rPr>
          <w:rFonts w:ascii="Times New Roman" w:hAnsi="Times New Roman" w:cs="Times New Roman"/>
          <w:color w:val="000000" w:themeColor="text1"/>
        </w:rPr>
      </w:pPr>
    </w:p>
    <w:p w14:paraId="0E521279" w14:textId="77777777" w:rsidR="00DE67CD" w:rsidRPr="00A12404" w:rsidRDefault="00DE67CD" w:rsidP="00DE67CD">
      <w:pPr>
        <w:rPr>
          <w:rFonts w:ascii="Times New Roman" w:hAnsi="Times New Roman" w:cs="Times New Roman"/>
          <w:i/>
          <w:iCs/>
          <w:color w:val="000000" w:themeColor="text1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</w:rPr>
        <w:t>Gianoglio Fedra</w:t>
      </w: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</w:t>
      </w:r>
      <w:r w:rsidRPr="00A12404">
        <w:rPr>
          <w:rFonts w:ascii="Times New Roman" w:hAnsi="Times New Roman" w:cs="Times New Roman"/>
          <w:i/>
          <w:iCs/>
          <w:color w:val="000000" w:themeColor="text1"/>
        </w:rPr>
        <w:t>, Kubalíková Lucie</w:t>
      </w: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2</w:t>
      </w:r>
      <w:r w:rsidRPr="00A12404">
        <w:rPr>
          <w:rFonts w:ascii="Times New Roman" w:hAnsi="Times New Roman" w:cs="Times New Roman"/>
          <w:i/>
          <w:iCs/>
          <w:color w:val="000000" w:themeColor="text1"/>
        </w:rPr>
        <w:t>, Marescotti Pietro</w:t>
      </w: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</w:t>
      </w:r>
    </w:p>
    <w:p w14:paraId="7D9B6101" w14:textId="77777777" w:rsidR="00DE67CD" w:rsidRPr="00A12404" w:rsidRDefault="00DE67CD" w:rsidP="00DE67CD">
      <w:pPr>
        <w:rPr>
          <w:rFonts w:ascii="Times New Roman" w:hAnsi="Times New Roman" w:cs="Times New Roman"/>
          <w:i/>
          <w:iCs/>
          <w:color w:val="000000" w:themeColor="text1"/>
        </w:rPr>
      </w:pPr>
    </w:p>
    <w:p w14:paraId="4CE55448" w14:textId="77777777" w:rsidR="00DE67CD" w:rsidRPr="00A12404" w:rsidRDefault="00DE67CD" w:rsidP="00DE67CD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  <w:lang w:val="en-GB"/>
        </w:rPr>
        <w:t xml:space="preserve">1 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en-GB"/>
        </w:rPr>
        <w:t>Department of Earth, Environment and Life Sciences (DISTAV), University of Genova, Genova, Italy</w:t>
      </w:r>
    </w:p>
    <w:p w14:paraId="14DF1DCF" w14:textId="77777777" w:rsidR="00DE67CD" w:rsidRPr="00A12404" w:rsidRDefault="00DE67CD" w:rsidP="00DE67CD">
      <w:pPr>
        <w:rPr>
          <w:rFonts w:ascii="Times New Roman" w:hAnsi="Times New Roman" w:cs="Times New Roman"/>
          <w:i/>
          <w:iCs/>
          <w:color w:val="000000" w:themeColor="text1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2 </w:t>
      </w:r>
      <w:r w:rsidRPr="00A12404">
        <w:rPr>
          <w:rFonts w:ascii="Times New Roman" w:hAnsi="Times New Roman" w:cs="Times New Roman"/>
          <w:i/>
          <w:iCs/>
          <w:color w:val="000000" w:themeColor="text1"/>
        </w:rPr>
        <w:t xml:space="preserve">Department of Environmental </w:t>
      </w:r>
      <w:proofErr w:type="spellStart"/>
      <w:r w:rsidRPr="00A12404">
        <w:rPr>
          <w:rFonts w:ascii="Times New Roman" w:hAnsi="Times New Roman" w:cs="Times New Roman"/>
          <w:i/>
          <w:iCs/>
          <w:color w:val="000000" w:themeColor="text1"/>
        </w:rPr>
        <w:t>Geography</w:t>
      </w:r>
      <w:proofErr w:type="spellEnd"/>
      <w:r w:rsidRPr="00A12404">
        <w:rPr>
          <w:rFonts w:ascii="Times New Roman" w:hAnsi="Times New Roman" w:cs="Times New Roman"/>
          <w:i/>
          <w:iCs/>
          <w:color w:val="000000" w:themeColor="text1"/>
        </w:rPr>
        <w:t xml:space="preserve">, Institute of Geonics of the </w:t>
      </w:r>
      <w:proofErr w:type="spellStart"/>
      <w:r w:rsidRPr="00A12404">
        <w:rPr>
          <w:rFonts w:ascii="Times New Roman" w:hAnsi="Times New Roman" w:cs="Times New Roman"/>
          <w:i/>
          <w:iCs/>
          <w:color w:val="000000" w:themeColor="text1"/>
        </w:rPr>
        <w:t>Czech</w:t>
      </w:r>
      <w:proofErr w:type="spellEnd"/>
      <w:r w:rsidRPr="00A12404">
        <w:rPr>
          <w:rFonts w:ascii="Times New Roman" w:hAnsi="Times New Roman" w:cs="Times New Roman"/>
          <w:i/>
          <w:iCs/>
          <w:color w:val="000000" w:themeColor="text1"/>
        </w:rPr>
        <w:t xml:space="preserve"> Academy of Sciences, Brno, </w:t>
      </w:r>
      <w:proofErr w:type="spellStart"/>
      <w:r w:rsidRPr="00A12404">
        <w:rPr>
          <w:rFonts w:ascii="Times New Roman" w:hAnsi="Times New Roman" w:cs="Times New Roman"/>
          <w:i/>
          <w:iCs/>
          <w:color w:val="000000" w:themeColor="text1"/>
        </w:rPr>
        <w:t>Czech</w:t>
      </w:r>
      <w:proofErr w:type="spellEnd"/>
      <w:r w:rsidRPr="00A12404">
        <w:rPr>
          <w:rFonts w:ascii="Times New Roman" w:hAnsi="Times New Roman" w:cs="Times New Roman"/>
          <w:i/>
          <w:iCs/>
          <w:color w:val="000000" w:themeColor="text1"/>
        </w:rPr>
        <w:t xml:space="preserve"> Republic</w:t>
      </w:r>
    </w:p>
    <w:p w14:paraId="4E8744E5" w14:textId="77777777" w:rsidR="00DE67CD" w:rsidRPr="00A12404" w:rsidRDefault="00DE67CD" w:rsidP="00DE67CD">
      <w:pPr>
        <w:rPr>
          <w:rFonts w:ascii="Times New Roman" w:hAnsi="Times New Roman" w:cs="Times New Roman"/>
          <w:i/>
          <w:iCs/>
          <w:color w:val="000000" w:themeColor="text1"/>
        </w:rPr>
      </w:pPr>
    </w:p>
    <w:p w14:paraId="366AF5F6" w14:textId="77777777" w:rsidR="00DE67CD" w:rsidRPr="00A12404" w:rsidRDefault="00DE67CD" w:rsidP="00DE67CD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lang w:val="en-GB"/>
        </w:rPr>
        <w:t>Fedra Gianoglio</w:t>
      </w:r>
    </w:p>
    <w:p w14:paraId="406AA001" w14:textId="77777777" w:rsidR="00DE67CD" w:rsidRPr="00A12404" w:rsidRDefault="00DE67CD" w:rsidP="00DE67CD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</w:rPr>
        <w:t>https://orcid.org/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en-GB"/>
        </w:rPr>
        <w:t>0000-0001-7619-9640</w:t>
      </w:r>
    </w:p>
    <w:p w14:paraId="558924B2" w14:textId="77777777" w:rsidR="00DE67CD" w:rsidRPr="00A12404" w:rsidRDefault="00DE67CD" w:rsidP="00DE67CD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hyperlink r:id="rId4" w:history="1">
        <w:r w:rsidRPr="00A12404">
          <w:rPr>
            <w:rFonts w:ascii="Times New Roman" w:hAnsi="Times New Roman" w:cs="Times New Roman"/>
            <w:i/>
            <w:iCs/>
            <w:color w:val="000000" w:themeColor="text1"/>
            <w:u w:val="single"/>
            <w:lang w:val="en-GB"/>
          </w:rPr>
          <w:t>fedra.gianoglio@edu.unige.it</w:t>
        </w:r>
      </w:hyperlink>
    </w:p>
    <w:p w14:paraId="194E66BA" w14:textId="77777777" w:rsidR="001152B7" w:rsidRDefault="001152B7" w:rsidP="001152B7">
      <w:pPr>
        <w:pStyle w:val="Didascalia"/>
        <w:rPr>
          <w:rFonts w:ascii="Times New Roman" w:hAnsi="Times New Roman" w:cs="Times New Roman"/>
          <w:i w:val="0"/>
          <w:iCs w:val="0"/>
          <w:color w:val="000000" w:themeColor="text1"/>
        </w:rPr>
      </w:pPr>
    </w:p>
    <w:p w14:paraId="6FC7A6D0" w14:textId="77777777" w:rsidR="001152B7" w:rsidRDefault="001152B7" w:rsidP="001152B7">
      <w:pPr>
        <w:pStyle w:val="Didascalia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9E62CF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 xml:space="preserve">ESM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 xml:space="preserve">3 </w:t>
      </w:r>
      <w:r w:rsidRPr="00C9328F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Results of the degradation risk (DR) assessment for the ten geosites (G1–G10) considered in this phase of the study within the Beigua </w:t>
      </w:r>
      <w:r>
        <w:rPr>
          <w:rFonts w:ascii="Times New Roman" w:hAnsi="Times New Roman" w:cs="Times New Roman"/>
          <w:i w:val="0"/>
          <w:iCs w:val="0"/>
          <w:color w:val="000000" w:themeColor="text1"/>
        </w:rPr>
        <w:t>UGGp</w:t>
      </w:r>
      <w:r w:rsidRPr="00C9328F">
        <w:rPr>
          <w:rFonts w:ascii="Times New Roman" w:hAnsi="Times New Roman" w:cs="Times New Roman"/>
          <w:i w:val="0"/>
          <w:iCs w:val="0"/>
          <w:color w:val="000000" w:themeColor="text1"/>
        </w:rPr>
        <w:t>. The table reports: (</w:t>
      </w:r>
      <w:proofErr w:type="spellStart"/>
      <w:r w:rsidRPr="00C9328F">
        <w:rPr>
          <w:rFonts w:ascii="Times New Roman" w:hAnsi="Times New Roman" w:cs="Times New Roman"/>
          <w:i w:val="0"/>
          <w:iCs w:val="0"/>
          <w:color w:val="000000" w:themeColor="text1"/>
        </w:rPr>
        <w:t>i</w:t>
      </w:r>
      <w:proofErr w:type="spellEnd"/>
      <w:r w:rsidRPr="00C9328F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) </w:t>
      </w:r>
      <w:r>
        <w:rPr>
          <w:rFonts w:ascii="Times New Roman" w:hAnsi="Times New Roman" w:cs="Times New Roman"/>
          <w:i w:val="0"/>
          <w:iCs w:val="0"/>
          <w:color w:val="000000" w:themeColor="text1"/>
        </w:rPr>
        <w:t xml:space="preserve">the scores assigned to each criterion, ii) </w:t>
      </w:r>
      <w:r w:rsidRPr="00C9328F">
        <w:rPr>
          <w:rFonts w:ascii="Times New Roman" w:hAnsi="Times New Roman" w:cs="Times New Roman"/>
          <w:i w:val="0"/>
          <w:iCs w:val="0"/>
          <w:color w:val="000000" w:themeColor="text1"/>
        </w:rPr>
        <w:t>the sum of the</w:t>
      </w:r>
      <w:r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scores of each geosite</w:t>
      </w:r>
      <w:r w:rsidRPr="00C9328F">
        <w:rPr>
          <w:rFonts w:ascii="Times New Roman" w:hAnsi="Times New Roman" w:cs="Times New Roman"/>
          <w:i w:val="0"/>
          <w:iCs w:val="0"/>
          <w:color w:val="000000" w:themeColor="text1"/>
        </w:rPr>
        <w:t>; (ii</w:t>
      </w:r>
      <w:r>
        <w:rPr>
          <w:rFonts w:ascii="Times New Roman" w:hAnsi="Times New Roman" w:cs="Times New Roman"/>
          <w:i w:val="0"/>
          <w:iCs w:val="0"/>
          <w:color w:val="000000" w:themeColor="text1"/>
        </w:rPr>
        <w:t>i</w:t>
      </w:r>
      <w:r w:rsidRPr="00C9328F">
        <w:rPr>
          <w:rFonts w:ascii="Times New Roman" w:hAnsi="Times New Roman" w:cs="Times New Roman"/>
          <w:i w:val="0"/>
          <w:iCs w:val="0"/>
          <w:color w:val="000000" w:themeColor="text1"/>
        </w:rPr>
        <w:t>) the corresponding magnitude of loss (ML); and (i</w:t>
      </w:r>
      <w:r>
        <w:rPr>
          <w:rFonts w:ascii="Times New Roman" w:hAnsi="Times New Roman" w:cs="Times New Roman"/>
          <w:i w:val="0"/>
          <w:iCs w:val="0"/>
          <w:color w:val="000000" w:themeColor="text1"/>
        </w:rPr>
        <w:t>v</w:t>
      </w:r>
      <w:r w:rsidRPr="00C9328F">
        <w:rPr>
          <w:rFonts w:ascii="Times New Roman" w:hAnsi="Times New Roman" w:cs="Times New Roman"/>
          <w:i w:val="0"/>
          <w:iCs w:val="0"/>
          <w:color w:val="000000" w:themeColor="text1"/>
        </w:rPr>
        <w:t>) the total degradation risk value, weighted according to the magnitude of loss.</w:t>
      </w:r>
    </w:p>
    <w:tbl>
      <w:tblPr>
        <w:tblStyle w:val="Grigliatabella"/>
        <w:tblW w:w="0" w:type="auto"/>
        <w:tblInd w:w="5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3069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76"/>
      </w:tblGrid>
      <w:tr w:rsidR="0039682B" w:rsidRPr="00D8546C" w14:paraId="47EE8916" w14:textId="77777777" w:rsidTr="0039682B">
        <w:trPr>
          <w:gridBefore w:val="2"/>
          <w:wBefore w:w="4019" w:type="dxa"/>
          <w:trHeight w:val="340"/>
        </w:trPr>
        <w:tc>
          <w:tcPr>
            <w:tcW w:w="558" w:type="dxa"/>
            <w:tcBorders>
              <w:bottom w:val="single" w:sz="4" w:space="0" w:color="auto"/>
            </w:tcBorders>
            <w:vAlign w:val="center"/>
            <w:hideMark/>
          </w:tcPr>
          <w:p w14:paraId="0A99B4F5" w14:textId="77777777" w:rsidR="0039682B" w:rsidRPr="00D8546C" w:rsidRDefault="0039682B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  <w:hideMark/>
          </w:tcPr>
          <w:p w14:paraId="45BFC051" w14:textId="77777777" w:rsidR="0039682B" w:rsidRPr="00D8546C" w:rsidRDefault="0039682B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G2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  <w:hideMark/>
          </w:tcPr>
          <w:p w14:paraId="6841CECC" w14:textId="77777777" w:rsidR="0039682B" w:rsidRPr="00D8546C" w:rsidRDefault="0039682B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G3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  <w:hideMark/>
          </w:tcPr>
          <w:p w14:paraId="3FA74D1D" w14:textId="77777777" w:rsidR="0039682B" w:rsidRPr="00D8546C" w:rsidRDefault="0039682B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G4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  <w:hideMark/>
          </w:tcPr>
          <w:p w14:paraId="104625AF" w14:textId="77777777" w:rsidR="0039682B" w:rsidRPr="00D8546C" w:rsidRDefault="0039682B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G5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  <w:hideMark/>
          </w:tcPr>
          <w:p w14:paraId="6E205D60" w14:textId="77777777" w:rsidR="0039682B" w:rsidRPr="00D8546C" w:rsidRDefault="0039682B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G6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  <w:hideMark/>
          </w:tcPr>
          <w:p w14:paraId="6AAB0B8E" w14:textId="77777777" w:rsidR="0039682B" w:rsidRPr="00D8546C" w:rsidRDefault="0039682B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G7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  <w:hideMark/>
          </w:tcPr>
          <w:p w14:paraId="3EE74524" w14:textId="77777777" w:rsidR="0039682B" w:rsidRPr="00D8546C" w:rsidRDefault="0039682B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G8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  <w:hideMark/>
          </w:tcPr>
          <w:p w14:paraId="495447E6" w14:textId="77777777" w:rsidR="0039682B" w:rsidRPr="00D8546C" w:rsidRDefault="0039682B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G9</w:t>
            </w:r>
          </w:p>
        </w:tc>
        <w:tc>
          <w:tcPr>
            <w:tcW w:w="576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415729E2" w14:textId="0C804318" w:rsidR="0039682B" w:rsidRPr="00D8546C" w:rsidRDefault="0039682B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G10</w:t>
            </w:r>
          </w:p>
        </w:tc>
      </w:tr>
      <w:tr w:rsidR="001152B7" w:rsidRPr="00D8546C" w14:paraId="4C0F97F7" w14:textId="77777777" w:rsidTr="0039682B">
        <w:trPr>
          <w:trHeight w:val="320"/>
        </w:trPr>
        <w:tc>
          <w:tcPr>
            <w:tcW w:w="950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250DDD7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SS</w:t>
            </w:r>
          </w:p>
        </w:tc>
        <w:tc>
          <w:tcPr>
            <w:tcW w:w="3069" w:type="dxa"/>
            <w:noWrap/>
            <w:vAlign w:val="center"/>
            <w:hideMark/>
          </w:tcPr>
          <w:p w14:paraId="1FF71613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Fragility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168E92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6875AB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76F9E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5E42D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376B8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25EF92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64645D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6B4A0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04E81C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184938A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1152B7" w:rsidRPr="00D8546C" w14:paraId="010EE957" w14:textId="77777777" w:rsidTr="0039682B">
        <w:trPr>
          <w:trHeight w:val="320"/>
        </w:trPr>
        <w:tc>
          <w:tcPr>
            <w:tcW w:w="950" w:type="dxa"/>
            <w:vMerge/>
            <w:tcBorders>
              <w:left w:val="nil"/>
            </w:tcBorders>
            <w:vAlign w:val="center"/>
            <w:hideMark/>
          </w:tcPr>
          <w:p w14:paraId="0D45C02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noWrap/>
            <w:vAlign w:val="center"/>
            <w:hideMark/>
          </w:tcPr>
          <w:p w14:paraId="47E8DDA6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Natural Vulnerability</w:t>
            </w:r>
          </w:p>
        </w:tc>
        <w:tc>
          <w:tcPr>
            <w:tcW w:w="558" w:type="dxa"/>
            <w:noWrap/>
            <w:vAlign w:val="center"/>
            <w:hideMark/>
          </w:tcPr>
          <w:p w14:paraId="4B8C0877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14:paraId="562D8AE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14:paraId="2C37B42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14:paraId="700771B7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14:paraId="68A27E1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14:paraId="3CCC98C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14:paraId="100D7192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6ECAA3C3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14:paraId="6EF952B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76" w:type="dxa"/>
            <w:tcBorders>
              <w:right w:val="nil"/>
            </w:tcBorders>
            <w:noWrap/>
            <w:vAlign w:val="center"/>
            <w:hideMark/>
          </w:tcPr>
          <w:p w14:paraId="6DE83A3B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1152B7" w:rsidRPr="00D8546C" w14:paraId="11C44143" w14:textId="77777777" w:rsidTr="0039682B">
        <w:trPr>
          <w:trHeight w:val="320"/>
        </w:trPr>
        <w:tc>
          <w:tcPr>
            <w:tcW w:w="950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341A647B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8D8D29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Anthropic Vulnerability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6D585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E3D0C3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CC8EAB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8A4169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FC4CC3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1992BC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1EEB1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2EE047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5EC4D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76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B1EC5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1152B7" w:rsidRPr="00D8546C" w14:paraId="66173475" w14:textId="77777777" w:rsidTr="0039682B">
        <w:trPr>
          <w:trHeight w:val="320"/>
        </w:trPr>
        <w:tc>
          <w:tcPr>
            <w:tcW w:w="950" w:type="dxa"/>
            <w:vMerge w:val="restart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31086CA6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VP</w:t>
            </w:r>
          </w:p>
        </w:tc>
        <w:tc>
          <w:tcPr>
            <w:tcW w:w="30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3CF6D2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Visitation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D599F3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7FD9F2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D8C427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E9B839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4D5B6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B8E35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F5BD9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7847C3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65FD3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76B0576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1152B7" w:rsidRPr="00D8546C" w14:paraId="5BCED1D6" w14:textId="77777777" w:rsidTr="0039682B">
        <w:trPr>
          <w:trHeight w:val="320"/>
        </w:trPr>
        <w:tc>
          <w:tcPr>
            <w:tcW w:w="950" w:type="dxa"/>
            <w:vMerge/>
            <w:tcBorders>
              <w:left w:val="nil"/>
            </w:tcBorders>
            <w:vAlign w:val="center"/>
            <w:hideMark/>
          </w:tcPr>
          <w:p w14:paraId="2344658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noWrap/>
            <w:vAlign w:val="center"/>
            <w:hideMark/>
          </w:tcPr>
          <w:p w14:paraId="11F739D8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Use of the geosite</w:t>
            </w:r>
          </w:p>
        </w:tc>
        <w:tc>
          <w:tcPr>
            <w:tcW w:w="558" w:type="dxa"/>
            <w:noWrap/>
            <w:vAlign w:val="center"/>
            <w:hideMark/>
          </w:tcPr>
          <w:p w14:paraId="5472D27C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5401AFAB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5FBD1E0B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75366D8D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4415A718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0DB81AB7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6AE58D88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03739D4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14:paraId="05669FC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76" w:type="dxa"/>
            <w:tcBorders>
              <w:right w:val="nil"/>
            </w:tcBorders>
            <w:noWrap/>
            <w:vAlign w:val="center"/>
            <w:hideMark/>
          </w:tcPr>
          <w:p w14:paraId="4D0BE14B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1152B7" w:rsidRPr="00D8546C" w14:paraId="7E318201" w14:textId="77777777" w:rsidTr="0039682B">
        <w:trPr>
          <w:trHeight w:val="320"/>
        </w:trPr>
        <w:tc>
          <w:tcPr>
            <w:tcW w:w="950" w:type="dxa"/>
            <w:vMerge/>
            <w:tcBorders>
              <w:left w:val="nil"/>
            </w:tcBorders>
            <w:vAlign w:val="center"/>
            <w:hideMark/>
          </w:tcPr>
          <w:p w14:paraId="2854E58C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noWrap/>
            <w:vAlign w:val="center"/>
            <w:hideMark/>
          </w:tcPr>
          <w:p w14:paraId="5BF6E76D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Risky actions</w:t>
            </w:r>
          </w:p>
        </w:tc>
        <w:tc>
          <w:tcPr>
            <w:tcW w:w="558" w:type="dxa"/>
            <w:noWrap/>
            <w:vAlign w:val="center"/>
            <w:hideMark/>
          </w:tcPr>
          <w:p w14:paraId="2A1929F3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226B1197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008E9E2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14:paraId="7A5719C2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7A84198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38D3D3DD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14:paraId="3173A951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3D334EB6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14:paraId="745F5E20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76" w:type="dxa"/>
            <w:tcBorders>
              <w:right w:val="nil"/>
            </w:tcBorders>
            <w:noWrap/>
            <w:vAlign w:val="center"/>
            <w:hideMark/>
          </w:tcPr>
          <w:p w14:paraId="09AAF2C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1152B7" w:rsidRPr="00D8546C" w14:paraId="05F9DED3" w14:textId="77777777" w:rsidTr="0039682B">
        <w:trPr>
          <w:trHeight w:val="320"/>
        </w:trPr>
        <w:tc>
          <w:tcPr>
            <w:tcW w:w="950" w:type="dxa"/>
            <w:vMerge/>
            <w:tcBorders>
              <w:left w:val="nil"/>
            </w:tcBorders>
            <w:vAlign w:val="center"/>
            <w:hideMark/>
          </w:tcPr>
          <w:p w14:paraId="4C5550E8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noWrap/>
            <w:vAlign w:val="center"/>
            <w:hideMark/>
          </w:tcPr>
          <w:p w14:paraId="000DA788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Accessibility</w:t>
            </w:r>
          </w:p>
        </w:tc>
        <w:tc>
          <w:tcPr>
            <w:tcW w:w="558" w:type="dxa"/>
            <w:noWrap/>
            <w:vAlign w:val="center"/>
            <w:hideMark/>
          </w:tcPr>
          <w:p w14:paraId="26E0B851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noWrap/>
            <w:vAlign w:val="center"/>
            <w:hideMark/>
          </w:tcPr>
          <w:p w14:paraId="160BBFD7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14:paraId="5BCB55F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noWrap/>
            <w:vAlign w:val="center"/>
            <w:hideMark/>
          </w:tcPr>
          <w:p w14:paraId="22AF0F00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14:paraId="30DF340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14:paraId="7DDC309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14:paraId="0340B2E1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641B00D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7AFBD3D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76" w:type="dxa"/>
            <w:tcBorders>
              <w:right w:val="nil"/>
            </w:tcBorders>
            <w:noWrap/>
            <w:vAlign w:val="center"/>
            <w:hideMark/>
          </w:tcPr>
          <w:p w14:paraId="29FA64CD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1152B7" w:rsidRPr="00D8546C" w14:paraId="118B1F1A" w14:textId="77777777" w:rsidTr="0039682B">
        <w:trPr>
          <w:trHeight w:val="320"/>
        </w:trPr>
        <w:tc>
          <w:tcPr>
            <w:tcW w:w="950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5DE5E9A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42149E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Proximity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1DE6E2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2F651C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46CA7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D3567C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A99FB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6068E6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A51559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30D058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B5B81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76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3B7B3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1152B7" w:rsidRPr="00D8546C" w14:paraId="2F25D4D0" w14:textId="77777777" w:rsidTr="0039682B">
        <w:trPr>
          <w:trHeight w:val="320"/>
        </w:trPr>
        <w:tc>
          <w:tcPr>
            <w:tcW w:w="950" w:type="dxa"/>
            <w:vMerge w:val="restart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2134F07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PM</w:t>
            </w:r>
          </w:p>
        </w:tc>
        <w:tc>
          <w:tcPr>
            <w:tcW w:w="30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F95AFA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Infrastructures and physical limitations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23CB37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37BEC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9E517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A87AD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7DEC9D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EB20B1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52287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E6B140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2AA62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30365349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1152B7" w:rsidRPr="00D8546C" w14:paraId="1EC2A733" w14:textId="77777777" w:rsidTr="0039682B">
        <w:trPr>
          <w:trHeight w:val="320"/>
        </w:trPr>
        <w:tc>
          <w:tcPr>
            <w:tcW w:w="950" w:type="dxa"/>
            <w:vMerge/>
            <w:tcBorders>
              <w:left w:val="nil"/>
            </w:tcBorders>
            <w:vAlign w:val="center"/>
            <w:hideMark/>
          </w:tcPr>
          <w:p w14:paraId="5961F95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noWrap/>
            <w:vAlign w:val="center"/>
            <w:hideMark/>
          </w:tcPr>
          <w:p w14:paraId="1EA861C5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Monitoring activities and control of access</w:t>
            </w:r>
          </w:p>
        </w:tc>
        <w:tc>
          <w:tcPr>
            <w:tcW w:w="558" w:type="dxa"/>
            <w:noWrap/>
            <w:vAlign w:val="center"/>
            <w:hideMark/>
          </w:tcPr>
          <w:p w14:paraId="3CBB752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noWrap/>
            <w:vAlign w:val="center"/>
            <w:hideMark/>
          </w:tcPr>
          <w:p w14:paraId="7E89D737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noWrap/>
            <w:vAlign w:val="center"/>
            <w:hideMark/>
          </w:tcPr>
          <w:p w14:paraId="091263D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14:paraId="218C5F7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8" w:type="dxa"/>
            <w:noWrap/>
            <w:vAlign w:val="center"/>
            <w:hideMark/>
          </w:tcPr>
          <w:p w14:paraId="2136E220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518D9833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14:paraId="4014CDAB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14:paraId="7922FD99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14:paraId="4E67C6AD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76" w:type="dxa"/>
            <w:tcBorders>
              <w:right w:val="nil"/>
            </w:tcBorders>
            <w:noWrap/>
            <w:vAlign w:val="center"/>
            <w:hideMark/>
          </w:tcPr>
          <w:p w14:paraId="7E3DAA7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1152B7" w:rsidRPr="00D8546C" w14:paraId="7627BA0F" w14:textId="77777777" w:rsidTr="0039682B">
        <w:trPr>
          <w:trHeight w:val="320"/>
        </w:trPr>
        <w:tc>
          <w:tcPr>
            <w:tcW w:w="950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C951A1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166733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Level of protection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820BFC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129126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572708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816201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99A332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167F0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14A69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477706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ADF34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76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5BADC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1152B7" w:rsidRPr="00D8546C" w14:paraId="34961AB6" w14:textId="77777777" w:rsidTr="0039682B">
        <w:trPr>
          <w:trHeight w:val="320"/>
        </w:trPr>
        <w:tc>
          <w:tcPr>
            <w:tcW w:w="95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D19C5C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10C699DA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08F938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4D9596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7076D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8B8CF8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ABB36D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0F3251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0A1F79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663AD2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EB90A4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576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5C188AE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</w:tr>
      <w:tr w:rsidR="001152B7" w:rsidRPr="00D8546C" w14:paraId="222076CB" w14:textId="77777777" w:rsidTr="0039682B">
        <w:trPr>
          <w:trHeight w:val="320"/>
        </w:trPr>
        <w:tc>
          <w:tcPr>
            <w:tcW w:w="95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7D8B7A93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tcBorders>
              <w:left w:val="nil"/>
            </w:tcBorders>
            <w:noWrap/>
            <w:vAlign w:val="center"/>
            <w:hideMark/>
          </w:tcPr>
          <w:p w14:paraId="6AEA5E06" w14:textId="77777777" w:rsidR="001152B7" w:rsidRPr="00D8546C" w:rsidRDefault="001152B7" w:rsidP="007770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Magnitude of loss</w:t>
            </w:r>
          </w:p>
        </w:tc>
        <w:tc>
          <w:tcPr>
            <w:tcW w:w="558" w:type="dxa"/>
            <w:noWrap/>
            <w:vAlign w:val="center"/>
            <w:hideMark/>
          </w:tcPr>
          <w:p w14:paraId="3C25F980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1,25</w:t>
            </w:r>
          </w:p>
        </w:tc>
        <w:tc>
          <w:tcPr>
            <w:tcW w:w="558" w:type="dxa"/>
            <w:noWrap/>
            <w:vAlign w:val="center"/>
            <w:hideMark/>
          </w:tcPr>
          <w:p w14:paraId="17E17DF1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1,25</w:t>
            </w:r>
          </w:p>
        </w:tc>
        <w:tc>
          <w:tcPr>
            <w:tcW w:w="558" w:type="dxa"/>
            <w:noWrap/>
            <w:vAlign w:val="center"/>
            <w:hideMark/>
          </w:tcPr>
          <w:p w14:paraId="40A9433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1,5</w:t>
            </w:r>
          </w:p>
        </w:tc>
        <w:tc>
          <w:tcPr>
            <w:tcW w:w="558" w:type="dxa"/>
            <w:noWrap/>
            <w:vAlign w:val="center"/>
            <w:hideMark/>
          </w:tcPr>
          <w:p w14:paraId="3885804F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1,5</w:t>
            </w:r>
          </w:p>
        </w:tc>
        <w:tc>
          <w:tcPr>
            <w:tcW w:w="558" w:type="dxa"/>
            <w:noWrap/>
            <w:vAlign w:val="center"/>
            <w:hideMark/>
          </w:tcPr>
          <w:p w14:paraId="749827EB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0C405EAE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1,5</w:t>
            </w:r>
          </w:p>
        </w:tc>
        <w:tc>
          <w:tcPr>
            <w:tcW w:w="558" w:type="dxa"/>
            <w:noWrap/>
            <w:vAlign w:val="center"/>
            <w:hideMark/>
          </w:tcPr>
          <w:p w14:paraId="1C7CF9E0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1,25</w:t>
            </w:r>
          </w:p>
        </w:tc>
        <w:tc>
          <w:tcPr>
            <w:tcW w:w="558" w:type="dxa"/>
            <w:noWrap/>
            <w:vAlign w:val="center"/>
            <w:hideMark/>
          </w:tcPr>
          <w:p w14:paraId="018AD6DA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14:paraId="46611FD1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1,25</w:t>
            </w:r>
          </w:p>
        </w:tc>
        <w:tc>
          <w:tcPr>
            <w:tcW w:w="576" w:type="dxa"/>
            <w:tcBorders>
              <w:right w:val="nil"/>
            </w:tcBorders>
            <w:noWrap/>
            <w:vAlign w:val="center"/>
            <w:hideMark/>
          </w:tcPr>
          <w:p w14:paraId="170E7EBB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1,25</w:t>
            </w:r>
          </w:p>
        </w:tc>
      </w:tr>
      <w:tr w:rsidR="001152B7" w:rsidRPr="00D8546C" w14:paraId="7034A20F" w14:textId="77777777" w:rsidTr="0039682B">
        <w:trPr>
          <w:trHeight w:val="320"/>
        </w:trPr>
        <w:tc>
          <w:tcPr>
            <w:tcW w:w="95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527A1FB0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69" w:type="dxa"/>
            <w:tcBorders>
              <w:left w:val="nil"/>
            </w:tcBorders>
            <w:noWrap/>
            <w:vAlign w:val="center"/>
            <w:hideMark/>
          </w:tcPr>
          <w:p w14:paraId="321E89E4" w14:textId="77777777" w:rsidR="001152B7" w:rsidRPr="00D8546C" w:rsidRDefault="001152B7" w:rsidP="0077707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 DR weighted on ML</w:t>
            </w:r>
          </w:p>
        </w:tc>
        <w:tc>
          <w:tcPr>
            <w:tcW w:w="558" w:type="dxa"/>
            <w:noWrap/>
            <w:vAlign w:val="center"/>
            <w:hideMark/>
          </w:tcPr>
          <w:p w14:paraId="589CB95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27,5</w:t>
            </w:r>
          </w:p>
        </w:tc>
        <w:tc>
          <w:tcPr>
            <w:tcW w:w="558" w:type="dxa"/>
            <w:noWrap/>
            <w:vAlign w:val="center"/>
            <w:hideMark/>
          </w:tcPr>
          <w:p w14:paraId="0F7ED2FD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27,5</w:t>
            </w:r>
          </w:p>
        </w:tc>
        <w:tc>
          <w:tcPr>
            <w:tcW w:w="558" w:type="dxa"/>
            <w:noWrap/>
            <w:vAlign w:val="center"/>
            <w:hideMark/>
          </w:tcPr>
          <w:p w14:paraId="0F70F6F9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46,5</w:t>
            </w:r>
          </w:p>
        </w:tc>
        <w:tc>
          <w:tcPr>
            <w:tcW w:w="558" w:type="dxa"/>
            <w:noWrap/>
            <w:vAlign w:val="center"/>
            <w:hideMark/>
          </w:tcPr>
          <w:p w14:paraId="7BBF77BC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34,5</w:t>
            </w:r>
          </w:p>
        </w:tc>
        <w:tc>
          <w:tcPr>
            <w:tcW w:w="558" w:type="dxa"/>
            <w:noWrap/>
            <w:vAlign w:val="center"/>
            <w:hideMark/>
          </w:tcPr>
          <w:p w14:paraId="7B6159DC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18,0</w:t>
            </w:r>
          </w:p>
        </w:tc>
        <w:tc>
          <w:tcPr>
            <w:tcW w:w="558" w:type="dxa"/>
            <w:noWrap/>
            <w:vAlign w:val="center"/>
            <w:hideMark/>
          </w:tcPr>
          <w:p w14:paraId="60C142C8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36,0</w:t>
            </w:r>
          </w:p>
        </w:tc>
        <w:tc>
          <w:tcPr>
            <w:tcW w:w="558" w:type="dxa"/>
            <w:noWrap/>
            <w:vAlign w:val="center"/>
            <w:hideMark/>
          </w:tcPr>
          <w:p w14:paraId="712BE837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23,8</w:t>
            </w:r>
          </w:p>
        </w:tc>
        <w:tc>
          <w:tcPr>
            <w:tcW w:w="558" w:type="dxa"/>
            <w:noWrap/>
            <w:vAlign w:val="center"/>
            <w:hideMark/>
          </w:tcPr>
          <w:p w14:paraId="3C7885F5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24,0</w:t>
            </w:r>
          </w:p>
        </w:tc>
        <w:tc>
          <w:tcPr>
            <w:tcW w:w="558" w:type="dxa"/>
            <w:noWrap/>
            <w:vAlign w:val="center"/>
            <w:hideMark/>
          </w:tcPr>
          <w:p w14:paraId="76B7EB22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40</w:t>
            </w:r>
          </w:p>
        </w:tc>
        <w:tc>
          <w:tcPr>
            <w:tcW w:w="576" w:type="dxa"/>
            <w:tcBorders>
              <w:right w:val="nil"/>
            </w:tcBorders>
            <w:noWrap/>
            <w:vAlign w:val="center"/>
            <w:hideMark/>
          </w:tcPr>
          <w:p w14:paraId="08C45D1C" w14:textId="77777777" w:rsidR="001152B7" w:rsidRPr="00D8546C" w:rsidRDefault="001152B7" w:rsidP="0077707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54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38,75</w:t>
            </w:r>
          </w:p>
        </w:tc>
      </w:tr>
    </w:tbl>
    <w:p w14:paraId="1DFD9C7D" w14:textId="77777777" w:rsidR="00985F13" w:rsidRDefault="00985F13"/>
    <w:sectPr w:rsidR="00985F13" w:rsidSect="008B213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CD"/>
    <w:rsid w:val="001152B7"/>
    <w:rsid w:val="001E167C"/>
    <w:rsid w:val="00325415"/>
    <w:rsid w:val="0039682B"/>
    <w:rsid w:val="003C2B77"/>
    <w:rsid w:val="003E79A9"/>
    <w:rsid w:val="0049064C"/>
    <w:rsid w:val="005D1C49"/>
    <w:rsid w:val="006A3521"/>
    <w:rsid w:val="00714EFA"/>
    <w:rsid w:val="007B1604"/>
    <w:rsid w:val="008244E1"/>
    <w:rsid w:val="008B2136"/>
    <w:rsid w:val="00985F13"/>
    <w:rsid w:val="00A1116E"/>
    <w:rsid w:val="00B81079"/>
    <w:rsid w:val="00CC20EE"/>
    <w:rsid w:val="00D6285B"/>
    <w:rsid w:val="00D8546C"/>
    <w:rsid w:val="00D91B3D"/>
    <w:rsid w:val="00DE67CD"/>
    <w:rsid w:val="00F744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0ED1FC"/>
  <w15:chartTrackingRefBased/>
  <w15:docId w15:val="{1E8F0849-75FB-9C4E-A431-02A4412B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6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6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6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6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6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67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67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67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67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6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6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6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67C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67C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67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67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67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67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67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6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67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6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67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67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E67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67C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6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67C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67CD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DE67CD"/>
    <w:pPr>
      <w:spacing w:after="200"/>
    </w:pPr>
    <w:rPr>
      <w:rFonts w:ascii="Calibri Light" w:hAnsi="Calibri Light" w:cs="Calibri Light"/>
      <w:i/>
      <w:iCs/>
      <w:color w:val="0E2841" w:themeColor="text2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115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dra.gianoglio@edu.unig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329</Words>
  <Characters>1264</Characters>
  <Application>Microsoft Office Word</Application>
  <DocSecurity>0</DocSecurity>
  <Lines>210</Lines>
  <Paragraphs>227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Fedra Gianoglio</dc:creator>
  <cp:keywords/>
  <dc:description/>
  <cp:lastModifiedBy>Fedra Gianoglio</cp:lastModifiedBy>
  <cp:revision>5</cp:revision>
  <dcterms:created xsi:type="dcterms:W3CDTF">2026-02-19T13:33:00Z</dcterms:created>
  <dcterms:modified xsi:type="dcterms:W3CDTF">2026-02-24T16:28:00Z</dcterms:modified>
</cp:coreProperties>
</file>