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0B1" w:rsidRDefault="00E150B1" w:rsidP="00E150B1">
      <w:pPr>
        <w:spacing w:after="0" w:line="480" w:lineRule="auto"/>
        <w:jc w:val="both"/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</w:pPr>
    </w:p>
    <w:p w:rsidR="00E150B1" w:rsidRDefault="00E150B1" w:rsidP="00C30AD1">
      <w:pPr>
        <w:spacing w:after="0" w:line="480" w:lineRule="auto"/>
        <w:jc w:val="center"/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Details of </w:t>
      </w:r>
      <w:r w:rsidRPr="00824D46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HM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s and PAH</w:t>
      </w:r>
      <w:r w:rsidRPr="00824D46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concentration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determination</w:t>
      </w:r>
      <w:r w:rsidRPr="00123CAD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and </w:t>
      </w:r>
      <w:r w:rsidRPr="002E1D42">
        <w:rPr>
          <w:rStyle w:val="jlqj4b"/>
          <w:rFonts w:ascii="Times New Roman" w:hAnsi="Times New Roman" w:cs="Times New Roman"/>
          <w:sz w:val="24"/>
          <w:szCs w:val="24"/>
          <w:lang w:val="en"/>
        </w:rPr>
        <w:t>quality control of analyzes</w:t>
      </w:r>
    </w:p>
    <w:p w:rsidR="00E150B1" w:rsidRPr="00BC7B6E" w:rsidRDefault="00E150B1" w:rsidP="00E150B1">
      <w:pPr>
        <w:spacing w:after="0" w:line="480" w:lineRule="auto"/>
        <w:jc w:val="both"/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</w:pP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The concentrations of Cd, </w:t>
      </w:r>
      <w:proofErr w:type="spellStart"/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Pb</w:t>
      </w:r>
      <w:proofErr w:type="spellEnd"/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and Zn were measured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,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following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digestion of the 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sample</w:t>
      </w:r>
      <w:r w:rsidRPr="001A792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in a mixture (1:3 v/v) of concentrated acids (HClO</w:t>
      </w:r>
      <w:r w:rsidRPr="00BC7B6E">
        <w:rPr>
          <w:rFonts w:ascii="Times New Roman" w:hAnsi="Times New Roman" w:cs="Times New Roman"/>
          <w:color w:val="2E2E2E"/>
          <w:sz w:val="24"/>
          <w:szCs w:val="24"/>
          <w:vertAlign w:val="subscript"/>
          <w:lang w:val="en-GB"/>
        </w:rPr>
        <w:t>4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and HNO</w:t>
      </w:r>
      <w:r w:rsidRPr="00BC7B6E">
        <w:rPr>
          <w:rFonts w:ascii="Times New Roman" w:hAnsi="Times New Roman" w:cs="Times New Roman"/>
          <w:color w:val="2E2E2E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) in a closed microwave 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oven (</w:t>
      </w:r>
      <w:proofErr w:type="spellStart"/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Mu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ltiwave</w:t>
      </w:r>
      <w:proofErr w:type="spellEnd"/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3000, Anton </w:t>
      </w:r>
      <w:proofErr w:type="spellStart"/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Paar</w:t>
      </w:r>
      <w:proofErr w:type="spellEnd"/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),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and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pass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ing it through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a 100-mesh sieve. The digestion was carried out at 1400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W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and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240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vertAlign w:val="superscript"/>
          <w:lang w:val="en-GB"/>
        </w:rPr>
        <w:t>o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C, 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with the 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time 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to 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reaching maximum power 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being 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5 min, 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and the 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time of maintaining maximum power 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being 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15 min. The concentrations of the elements were measured using an atomic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-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emission spectrometer (PerkinElmer ICP-OES Optima 7300 DV) and a multi-element standard solution (ICP-IV, Merck). The quality of the data was verified using the </w:t>
      </w:r>
      <w:r w:rsidRPr="008D54DB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certified reference material (CRM)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023–050 – Trace Metals – Sandy Loam 7 (RT Corporation). The precision and accuracy of the method for determin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ing HMs</w:t>
      </w:r>
      <w:r w:rsidR="00C30AD1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in the soils </w:t>
      </w: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were controlled as follows:</w:t>
      </w:r>
    </w:p>
    <w:p w:rsidR="00E150B1" w:rsidRPr="00BC7B6E" w:rsidRDefault="00E150B1" w:rsidP="00E150B1">
      <w:pPr>
        <w:spacing w:after="0" w:line="480" w:lineRule="auto"/>
        <w:ind w:firstLine="708"/>
        <w:jc w:val="both"/>
        <w:rPr>
          <w:rFonts w:ascii="Times New Roman" w:eastAsiaTheme="minorEastAsia" w:hAnsi="Times New Roman" w:cs="Times New Roman"/>
          <w:color w:val="2E2E2E"/>
          <w:sz w:val="24"/>
          <w:szCs w:val="24"/>
          <w:shd w:val="clear" w:color="auto" w:fill="FFFFFF"/>
          <w:lang w:val="en-GB"/>
        </w:rPr>
      </w:pPr>
      <w:r w:rsidRPr="00BC7B6E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                          Precision = </w:t>
      </w:r>
      <m:oMath>
        <m:f>
          <m:fPr>
            <m:ctrlPr>
              <w:rPr>
                <w:rFonts w:ascii="Cambria Math" w:hAnsi="Cambria Math" w:cs="Times New Roman"/>
                <w:color w:val="2E2E2E"/>
                <w:sz w:val="24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2E2E2E"/>
                <w:sz w:val="24"/>
                <w:szCs w:val="24"/>
                <w:shd w:val="clear" w:color="auto" w:fill="FFFFFF"/>
                <w:lang w:val="en-GB"/>
              </w:rPr>
              <m:t>standard deviation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2E2E2E"/>
                <w:sz w:val="24"/>
                <w:szCs w:val="24"/>
                <w:shd w:val="clear" w:color="auto" w:fill="FFFFFF"/>
                <w:lang w:val="en-GB"/>
              </w:rPr>
              <m:t>mean element content</m:t>
            </m:r>
          </m:den>
        </m:f>
      </m:oMath>
      <w:r w:rsidRPr="00BC7B6E">
        <w:rPr>
          <w:rFonts w:ascii="Times New Roman" w:eastAsiaTheme="minorEastAsia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x 100%                                            [1]</w:t>
      </w:r>
    </w:p>
    <w:p w:rsidR="00E150B1" w:rsidRPr="00BC7B6E" w:rsidRDefault="00E150B1" w:rsidP="00E150B1">
      <w:pPr>
        <w:spacing w:after="0" w:line="480" w:lineRule="auto"/>
        <w:ind w:firstLine="708"/>
        <w:jc w:val="both"/>
        <w:rPr>
          <w:rFonts w:ascii="Times New Roman" w:eastAsiaTheme="minorEastAsia" w:hAnsi="Times New Roman" w:cs="Times New Roman"/>
          <w:color w:val="2E2E2E"/>
          <w:sz w:val="24"/>
          <w:szCs w:val="24"/>
          <w:shd w:val="clear" w:color="auto" w:fill="FFFFFF"/>
          <w:lang w:val="en-GB"/>
        </w:rPr>
      </w:pPr>
      <w:r w:rsidRPr="00BC7B6E">
        <w:rPr>
          <w:rFonts w:ascii="Times New Roman" w:eastAsiaTheme="minorEastAsia" w:hAnsi="Times New Roman" w:cs="Times New Roman"/>
          <w:color w:val="2E2E2E"/>
          <w:sz w:val="24"/>
          <w:szCs w:val="24"/>
          <w:shd w:val="clear" w:color="auto" w:fill="FFFFFF"/>
          <w:lang w:val="en-GB"/>
        </w:rPr>
        <w:tab/>
      </w:r>
      <w:r w:rsidRPr="00BC7B6E">
        <w:rPr>
          <w:rFonts w:ascii="Times New Roman" w:eastAsiaTheme="minorEastAsia" w:hAnsi="Times New Roman" w:cs="Times New Roman"/>
          <w:color w:val="2E2E2E"/>
          <w:sz w:val="24"/>
          <w:szCs w:val="24"/>
          <w:shd w:val="clear" w:color="auto" w:fill="FFFFFF"/>
          <w:lang w:val="en-GB"/>
        </w:rPr>
        <w:tab/>
        <w:t xml:space="preserve">Accuracy = </w:t>
      </w:r>
      <m:oMath>
        <m:f>
          <m:fPr>
            <m:ctrlPr>
              <w:rPr>
                <w:rFonts w:ascii="Cambria Math" w:eastAsiaTheme="minorEastAsia" w:hAnsi="Cambria Math" w:cs="Times New Roman"/>
                <w:color w:val="2E2E2E"/>
                <w:sz w:val="24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2E2E2E"/>
                <w:sz w:val="24"/>
                <w:szCs w:val="24"/>
                <w:shd w:val="clear" w:color="auto" w:fill="FFFFFF"/>
                <w:lang w:val="en-GB"/>
              </w:rPr>
              <m:t>measured content-reference content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2E2E2E"/>
                <w:sz w:val="24"/>
                <w:szCs w:val="24"/>
                <w:shd w:val="clear" w:color="auto" w:fill="FFFFFF"/>
                <w:lang w:val="en-GB"/>
              </w:rPr>
              <m:t>reference content</m:t>
            </m:r>
          </m:den>
        </m:f>
      </m:oMath>
      <w:r w:rsidRPr="00BC7B6E">
        <w:rPr>
          <w:rFonts w:ascii="Times New Roman" w:eastAsiaTheme="minorEastAsia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x 100%                           [2]</w:t>
      </w:r>
    </w:p>
    <w:p w:rsidR="00C30AD1" w:rsidRDefault="00C30AD1" w:rsidP="00C30AD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30AD1" w:rsidRPr="009A7179" w:rsidRDefault="00C30AD1" w:rsidP="00C30AD1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9A7179">
        <w:rPr>
          <w:rFonts w:ascii="Times New Roman" w:hAnsi="Times New Roman" w:cs="Times New Roman"/>
          <w:sz w:val="24"/>
          <w:szCs w:val="24"/>
          <w:lang w:val="en-GB"/>
        </w:rPr>
        <w:t>Table 1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9A717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9A7179">
        <w:rPr>
          <w:rFonts w:ascii="Times New Roman" w:eastAsiaTheme="minorEastAsia" w:hAnsi="Times New Roman" w:cs="Times New Roman"/>
          <w:sz w:val="24"/>
          <w:szCs w:val="24"/>
          <w:lang w:val="en-GB"/>
        </w:rPr>
        <w:t>Parameters of the validation method of HMs determination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C30AD1" w:rsidRPr="003B1CC2" w:rsidTr="00FF6F94">
        <w:tc>
          <w:tcPr>
            <w:tcW w:w="1510" w:type="dxa"/>
            <w:vMerge w:val="restart"/>
            <w:tcBorders>
              <w:left w:val="nil"/>
              <w:right w:val="nil"/>
            </w:tcBorders>
            <w:vAlign w:val="center"/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</w:t>
            </w:r>
          </w:p>
        </w:tc>
        <w:tc>
          <w:tcPr>
            <w:tcW w:w="3020" w:type="dxa"/>
            <w:gridSpan w:val="2"/>
            <w:tcBorders>
              <w:left w:val="nil"/>
              <w:right w:val="nil"/>
            </w:tcBorders>
            <w:vAlign w:val="center"/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Content</w:t>
            </w:r>
          </w:p>
        </w:tc>
        <w:tc>
          <w:tcPr>
            <w:tcW w:w="1510" w:type="dxa"/>
            <w:vMerge w:val="restart"/>
            <w:tcBorders>
              <w:left w:val="nil"/>
              <w:right w:val="nil"/>
            </w:tcBorders>
            <w:vAlign w:val="center"/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Precision</w:t>
            </w:r>
          </w:p>
        </w:tc>
        <w:tc>
          <w:tcPr>
            <w:tcW w:w="1511" w:type="dxa"/>
            <w:vMerge w:val="restart"/>
            <w:tcBorders>
              <w:left w:val="nil"/>
              <w:right w:val="nil"/>
            </w:tcBorders>
            <w:vAlign w:val="center"/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Accuracy</w:t>
            </w:r>
          </w:p>
        </w:tc>
        <w:tc>
          <w:tcPr>
            <w:tcW w:w="1511" w:type="dxa"/>
            <w:vMerge w:val="restart"/>
            <w:tcBorders>
              <w:left w:val="nil"/>
              <w:right w:val="nil"/>
            </w:tcBorders>
            <w:vAlign w:val="center"/>
          </w:tcPr>
          <w:p w:rsidR="00C30AD1" w:rsidRPr="004E0D3A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LOD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</w:tr>
      <w:tr w:rsidR="00C30AD1" w:rsidRPr="003B1CC2" w:rsidTr="00FF6F94">
        <w:tc>
          <w:tcPr>
            <w:tcW w:w="1510" w:type="dxa"/>
            <w:vMerge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Measured</w:t>
            </w:r>
          </w:p>
        </w:tc>
        <w:tc>
          <w:tcPr>
            <w:tcW w:w="1510" w:type="dxa"/>
            <w:tcBorders>
              <w:left w:val="nil"/>
              <w:right w:val="nil"/>
            </w:tcBorders>
            <w:vAlign w:val="center"/>
          </w:tcPr>
          <w:p w:rsidR="00C30AD1" w:rsidRPr="004E0D3A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510" w:type="dxa"/>
            <w:vMerge/>
            <w:tcBorders>
              <w:left w:val="nil"/>
              <w:right w:val="nil"/>
            </w:tcBorders>
            <w:vAlign w:val="center"/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  <w:vMerge/>
            <w:tcBorders>
              <w:left w:val="nil"/>
              <w:right w:val="nil"/>
            </w:tcBorders>
            <w:vAlign w:val="center"/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  <w:vMerge/>
            <w:tcBorders>
              <w:left w:val="nil"/>
              <w:right w:val="nil"/>
            </w:tcBorders>
            <w:vAlign w:val="center"/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30AD1" w:rsidRPr="003B1CC2" w:rsidTr="00FF6F94">
        <w:tc>
          <w:tcPr>
            <w:tcW w:w="1510" w:type="dxa"/>
            <w:vMerge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20" w:type="dxa"/>
            <w:gridSpan w:val="2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mg kg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  <w:tc>
          <w:tcPr>
            <w:tcW w:w="3021" w:type="dxa"/>
            <w:gridSpan w:val="2"/>
            <w:tcBorders>
              <w:left w:val="nil"/>
              <w:right w:val="nil"/>
            </w:tcBorders>
            <w:vAlign w:val="center"/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1511" w:type="dxa"/>
            <w:tcBorders>
              <w:left w:val="nil"/>
              <w:right w:val="nil"/>
            </w:tcBorders>
            <w:vAlign w:val="center"/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µg dm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</w:tr>
      <w:tr w:rsidR="00C30AD1" w:rsidRPr="003B1CC2" w:rsidTr="00FF6F94">
        <w:tc>
          <w:tcPr>
            <w:tcW w:w="1510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Zn</w:t>
            </w:r>
          </w:p>
        </w:tc>
        <w:tc>
          <w:tcPr>
            <w:tcW w:w="1510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</w:t>
            </w:r>
          </w:p>
        </w:tc>
        <w:tc>
          <w:tcPr>
            <w:tcW w:w="1510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</w:t>
            </w:r>
          </w:p>
        </w:tc>
        <w:tc>
          <w:tcPr>
            <w:tcW w:w="1510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1.31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7.00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0.0071</w:t>
            </w:r>
          </w:p>
        </w:tc>
      </w:tr>
      <w:tr w:rsidR="00C30AD1" w:rsidRPr="009A7179" w:rsidTr="00FF6F94">
        <w:tc>
          <w:tcPr>
            <w:tcW w:w="1510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Pb</w:t>
            </w:r>
            <w:proofErr w:type="spellEnd"/>
          </w:p>
        </w:tc>
        <w:tc>
          <w:tcPr>
            <w:tcW w:w="1510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7.15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</w:t>
            </w:r>
          </w:p>
        </w:tc>
        <w:tc>
          <w:tcPr>
            <w:tcW w:w="1510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7.10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1.10</w:t>
            </w:r>
          </w:p>
        </w:tc>
        <w:tc>
          <w:tcPr>
            <w:tcW w:w="1510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3.22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0.70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0.0482</w:t>
            </w:r>
          </w:p>
        </w:tc>
      </w:tr>
      <w:tr w:rsidR="00C30AD1" w:rsidRPr="009A7179" w:rsidTr="00FF6F94">
        <w:tc>
          <w:tcPr>
            <w:tcW w:w="1510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Cd</w:t>
            </w:r>
          </w:p>
        </w:tc>
        <w:tc>
          <w:tcPr>
            <w:tcW w:w="1510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</w:t>
            </w:r>
          </w:p>
        </w:tc>
        <w:tc>
          <w:tcPr>
            <w:tcW w:w="1510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</w:t>
            </w:r>
          </w:p>
        </w:tc>
        <w:tc>
          <w:tcPr>
            <w:tcW w:w="1510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6.78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14.3</w:t>
            </w:r>
          </w:p>
        </w:tc>
        <w:tc>
          <w:tcPr>
            <w:tcW w:w="1511" w:type="dxa"/>
            <w:tcBorders>
              <w:left w:val="nil"/>
              <w:right w:val="nil"/>
            </w:tcBorders>
          </w:tcPr>
          <w:p w:rsidR="00C30AD1" w:rsidRPr="009A7179" w:rsidRDefault="00C30AD1" w:rsidP="00FF6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1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0.0038</w:t>
            </w:r>
          </w:p>
        </w:tc>
      </w:tr>
    </w:tbl>
    <w:p w:rsidR="00C30AD1" w:rsidRPr="003B1CC2" w:rsidRDefault="00C30AD1" w:rsidP="00C30AD1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B1CC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3B1CC2">
        <w:rPr>
          <w:rFonts w:ascii="Times New Roman" w:hAnsi="Times New Roman" w:cs="Times New Roman"/>
          <w:sz w:val="24"/>
          <w:szCs w:val="24"/>
          <w:lang w:val="en-GB"/>
        </w:rPr>
        <w:t xml:space="preserve">certified reference material, </w:t>
      </w:r>
      <w:r w:rsidRPr="003B1CC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3B1CC2">
        <w:rPr>
          <w:rFonts w:ascii="Times New Roman" w:hAnsi="Times New Roman" w:cs="Times New Roman"/>
          <w:sz w:val="24"/>
          <w:szCs w:val="24"/>
          <w:lang w:val="en-GB"/>
        </w:rPr>
        <w:t>limit of detection</w:t>
      </w:r>
    </w:p>
    <w:p w:rsidR="00E150B1" w:rsidRPr="00BC7B6E" w:rsidRDefault="00E150B1" w:rsidP="00E150B1">
      <w:pPr>
        <w:spacing w:after="0" w:line="480" w:lineRule="auto"/>
        <w:ind w:firstLine="708"/>
        <w:jc w:val="both"/>
        <w:rPr>
          <w:rFonts w:ascii="Times New Roman" w:eastAsiaTheme="minorEastAsia" w:hAnsi="Times New Roman" w:cs="Times New Roman"/>
          <w:color w:val="2E2E2E"/>
          <w:sz w:val="24"/>
          <w:szCs w:val="24"/>
          <w:shd w:val="clear" w:color="auto" w:fill="FFFFFF"/>
          <w:lang w:val="en-GB"/>
        </w:rPr>
      </w:pPr>
    </w:p>
    <w:p w:rsidR="00E150B1" w:rsidRPr="00BC7B6E" w:rsidRDefault="00E150B1" w:rsidP="00E150B1">
      <w:pPr>
        <w:spacing w:after="0" w:line="480" w:lineRule="auto"/>
        <w:jc w:val="both"/>
        <w:rPr>
          <w:rFonts w:ascii="Times New Roman" w:eastAsiaTheme="minorEastAsia" w:hAnsi="Times New Roman" w:cs="Times New Roman"/>
          <w:color w:val="2E2E2E"/>
          <w:sz w:val="24"/>
          <w:szCs w:val="24"/>
          <w:shd w:val="clear" w:color="auto" w:fill="FFFFFF"/>
          <w:lang w:val="en-GB"/>
        </w:rPr>
      </w:pPr>
      <w:r w:rsidRPr="00BC7B6E">
        <w:rPr>
          <w:rFonts w:ascii="Times New Roman" w:eastAsiaTheme="minorEastAsia" w:hAnsi="Times New Roman" w:cs="Times New Roman"/>
          <w:color w:val="2E2E2E"/>
          <w:sz w:val="24"/>
          <w:szCs w:val="24"/>
          <w:shd w:val="clear" w:color="auto" w:fill="FFFFFF"/>
          <w:lang w:val="en-GB"/>
        </w:rPr>
        <w:t>2.2.3. PAH determination</w:t>
      </w:r>
    </w:p>
    <w:p w:rsidR="00E150B1" w:rsidRPr="00BC7B6E" w:rsidRDefault="00E150B1" w:rsidP="00E150B1">
      <w:pPr>
        <w:spacing w:after="0" w:line="480" w:lineRule="auto"/>
        <w:jc w:val="both"/>
        <w:rPr>
          <w:rFonts w:ascii="Times New Roman" w:eastAsiaTheme="minorEastAsia" w:hAnsi="Times New Roman" w:cs="Times New Roman"/>
          <w:i/>
          <w:color w:val="2E2E2E"/>
          <w:sz w:val="24"/>
          <w:szCs w:val="24"/>
          <w:shd w:val="clear" w:color="auto" w:fill="FFFFFF"/>
          <w:lang w:val="en-GB"/>
        </w:rPr>
      </w:pPr>
      <w:r w:rsidRPr="00BC7B6E">
        <w:rPr>
          <w:rFonts w:ascii="Times New Roman" w:eastAsiaTheme="minorEastAsia" w:hAnsi="Times New Roman" w:cs="Times New Roman"/>
          <w:i/>
          <w:color w:val="2E2E2E"/>
          <w:sz w:val="24"/>
          <w:szCs w:val="24"/>
          <w:shd w:val="clear" w:color="auto" w:fill="FFFFFF"/>
          <w:lang w:val="en-GB"/>
        </w:rPr>
        <w:t xml:space="preserve">Sample preparation for PAH analysis </w:t>
      </w:r>
    </w:p>
    <w:p w:rsidR="00E150B1" w:rsidRPr="00BC7B6E" w:rsidRDefault="00E150B1" w:rsidP="00E150B1">
      <w:pPr>
        <w:spacing w:after="0" w:line="480" w:lineRule="auto"/>
        <w:jc w:val="both"/>
        <w:rPr>
          <w:rFonts w:ascii="Times New Roman" w:eastAsiaTheme="minorEastAsia" w:hAnsi="Times New Roman" w:cs="Times New Roman"/>
          <w:color w:val="2E2E2E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The PAH fraction was extracted from the soil sample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according to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pplication </w:t>
      </w: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ote 133 of </w:t>
      </w:r>
      <w:proofErr w:type="spellStart"/>
      <w:r w:rsidRPr="00BC7B6E">
        <w:rPr>
          <w:rFonts w:ascii="Times New Roman" w:hAnsi="Times New Roman" w:cs="Times New Roman"/>
          <w:sz w:val="24"/>
          <w:szCs w:val="24"/>
          <w:lang w:val="en-GB"/>
        </w:rPr>
        <w:t>Marcherey</w:t>
      </w:r>
      <w:proofErr w:type="spellEnd"/>
      <w:r w:rsidRPr="00BC7B6E">
        <w:rPr>
          <w:rFonts w:ascii="Times New Roman" w:hAnsi="Times New Roman" w:cs="Times New Roman"/>
          <w:sz w:val="24"/>
          <w:szCs w:val="24"/>
          <w:lang w:val="en-GB"/>
        </w:rPr>
        <w:t>-Nagel GmbH Co. KG</w:t>
      </w:r>
      <w:r>
        <w:rPr>
          <w:rFonts w:ascii="Times New Roman" w:hAnsi="Times New Roman" w:cs="Times New Roman"/>
          <w:sz w:val="24"/>
          <w:szCs w:val="24"/>
          <w:lang w:val="en-GB"/>
        </w:rPr>
        <w:t>’s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Sample Preparation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sheet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1998).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 aliquot of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30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ml of 2-propanol was added 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o 5 g of air-dr</w:t>
      </w:r>
      <w:r>
        <w:rPr>
          <w:rFonts w:ascii="Times New Roman" w:hAnsi="Times New Roman" w:cs="Times New Roman"/>
          <w:sz w:val="24"/>
          <w:szCs w:val="24"/>
          <w:lang w:val="en-GB"/>
        </w:rPr>
        <w:t>ied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soil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ground to pass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through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a 100-mesh sieve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The sample was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homogeni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ed for 20 min in an ultrasonic bath, then shaken for 20 min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before being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filtered into a 250-ml flask already filled with redistilled water. Each sample was passed through conditioned </w:t>
      </w:r>
      <w:proofErr w:type="spellStart"/>
      <w:r w:rsidRPr="00BC7B6E">
        <w:rPr>
          <w:rFonts w:ascii="Times New Roman" w:hAnsi="Times New Roman" w:cs="Times New Roman"/>
          <w:sz w:val="24"/>
          <w:szCs w:val="24"/>
          <w:lang w:val="en-GB"/>
        </w:rPr>
        <w:t>Chromabond</w:t>
      </w:r>
      <w:proofErr w:type="spellEnd"/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C18ec columns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hen 1 ml of the mixture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1 ml of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redistilled water/2-propanol (85:15, v/v) was passed twice through </w:t>
      </w:r>
      <w:r>
        <w:rPr>
          <w:rFonts w:ascii="Times New Roman" w:hAnsi="Times New Roman" w:cs="Times New Roman"/>
          <w:sz w:val="24"/>
          <w:szCs w:val="24"/>
          <w:lang w:val="en-GB"/>
        </w:rPr>
        <w:t>an SPE-column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bed to wash out impurities from the bed. The SPE column bed was dried using a stream of </w:t>
      </w: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to remove the excess water. The PAHs were eluted </w:t>
      </w:r>
      <w:r>
        <w:rPr>
          <w:rFonts w:ascii="Times New Roman" w:hAnsi="Times New Roman" w:cs="Times New Roman"/>
          <w:sz w:val="24"/>
          <w:szCs w:val="24"/>
          <w:lang w:val="en-GB"/>
        </w:rPr>
        <w:t>using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small amounts of dichloromethane until 2 x 500 </w:t>
      </w:r>
      <w:r w:rsidRPr="00BC7B6E">
        <w:rPr>
          <w:rFonts w:ascii="Times New Roman" w:hAnsi="Times New Roman" w:cs="Times New Roman"/>
          <w:sz w:val="24"/>
          <w:szCs w:val="24"/>
        </w:rPr>
        <w:t>μ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l of eluate was collected. The separated PAH fraction was analysed by gas chromatography. </w:t>
      </w:r>
      <w:r>
        <w:rPr>
          <w:rFonts w:ascii="Times New Roman" w:hAnsi="Times New Roman" w:cs="Times New Roman"/>
          <w:sz w:val="24"/>
          <w:szCs w:val="24"/>
          <w:lang w:val="en-GB"/>
        </w:rPr>
        <w:t>The s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oil samples were analysed in three replications. Whe</w:t>
      </w:r>
      <w:r>
        <w:rPr>
          <w:rFonts w:ascii="Times New Roman" w:hAnsi="Times New Roman" w:cs="Times New Roman"/>
          <w:sz w:val="24"/>
          <w:szCs w:val="24"/>
          <w:lang w:val="en-GB"/>
        </w:rPr>
        <w:t>re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variation </w:t>
      </w:r>
      <w:r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the results exceeded 10%, the analysis was repeated. The CRM assays were performed in </w:t>
      </w:r>
      <w:r>
        <w:rPr>
          <w:rFonts w:ascii="Times New Roman" w:hAnsi="Times New Roman" w:cs="Times New Roman"/>
          <w:sz w:val="24"/>
          <w:szCs w:val="24"/>
          <w:lang w:val="en-GB"/>
        </w:rPr>
        <w:t>five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replicates.</w:t>
      </w:r>
    </w:p>
    <w:p w:rsidR="00E150B1" w:rsidRPr="00BC7B6E" w:rsidRDefault="00E150B1" w:rsidP="00E150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BC7B6E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>PAH detection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>: G</w:t>
      </w:r>
      <w:r w:rsidRPr="00BC7B6E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 xml:space="preserve">as </w:t>
      </w:r>
      <w:r w:rsidRPr="00BC7B6E">
        <w:rPr>
          <w:rFonts w:ascii="Times New Roman" w:hAnsi="Times New Roman" w:cs="Times New Roman"/>
          <w:i/>
          <w:sz w:val="24"/>
          <w:szCs w:val="24"/>
          <w:lang w:val="en-GB"/>
        </w:rPr>
        <w:t>chromatography/mass spectrometry</w:t>
      </w:r>
    </w:p>
    <w:p w:rsidR="00E150B1" w:rsidRPr="00BC7B6E" w:rsidRDefault="00E150B1" w:rsidP="00E150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D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etermination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PAHs was </w:t>
      </w:r>
      <w:r>
        <w:rPr>
          <w:rFonts w:ascii="Times New Roman" w:hAnsi="Times New Roman" w:cs="Times New Roman"/>
          <w:sz w:val="24"/>
          <w:szCs w:val="24"/>
          <w:lang w:val="en-GB"/>
        </w:rPr>
        <w:t>performed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on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Varian GC/MS/MS 4000</w:t>
      </w:r>
      <w:r w:rsidRPr="00BC7B6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equipped with a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capillary column, using </w:t>
      </w:r>
      <w:proofErr w:type="spellStart"/>
      <w:r w:rsidRPr="00BC7B6E">
        <w:rPr>
          <w:rFonts w:ascii="Times New Roman" w:hAnsi="Times New Roman" w:cs="Times New Roman"/>
          <w:sz w:val="24"/>
          <w:szCs w:val="24"/>
          <w:lang w:val="en-GB"/>
        </w:rPr>
        <w:t>FactorFour</w:t>
      </w:r>
      <w:proofErr w:type="spellEnd"/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VF-17MS, with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length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20 m, internal diameter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0.15 mm and film thickness 0.05 </w:t>
      </w:r>
      <w:r w:rsidRPr="00BC7B6E">
        <w:rPr>
          <w:rFonts w:ascii="Times New Roman" w:hAnsi="Times New Roman" w:cs="Times New Roman"/>
          <w:sz w:val="24"/>
          <w:szCs w:val="24"/>
        </w:rPr>
        <w:t>μ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m. The analysis was performed at the initial temperature of the column 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40ºC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2 min, then the temperature was increased to 250ºC at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rate of 30ºC/min, and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then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again from 250 to 320ºC at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rate of 10ºC/min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with </w:t>
      </w:r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final temperature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320ºC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being maintained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for 0.5 min. The total analysis time was 16.5 min. The dispenser had a temperature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320ºC, the ion source 150ºC, the ion trap 150ºC and the transfer line 325ºC. The carrier gas (</w:t>
      </w:r>
      <w:r>
        <w:rPr>
          <w:rFonts w:ascii="Times New Roman" w:hAnsi="Times New Roman" w:cs="Times New Roman"/>
          <w:sz w:val="24"/>
          <w:szCs w:val="24"/>
          <w:lang w:val="en-GB"/>
        </w:rPr>
        <w:t>He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) flowed through the column at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rate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1 ml/min. 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mass spectrometer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detector w</w:t>
      </w:r>
      <w:r>
        <w:rPr>
          <w:rFonts w:ascii="Times New Roman" w:hAnsi="Times New Roman" w:cs="Times New Roman"/>
          <w:sz w:val="24"/>
          <w:szCs w:val="24"/>
          <w:lang w:val="en-GB"/>
        </w:rPr>
        <w:t>as used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in the SCAN mode, monitoring mass </w:t>
      </w:r>
      <w:r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the range 70</w:t>
      </w:r>
      <w:r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300 m/z. The PAH content was measured </w:t>
      </w:r>
      <w:r>
        <w:rPr>
          <w:rFonts w:ascii="Times New Roman" w:hAnsi="Times New Roman" w:cs="Times New Roman"/>
          <w:sz w:val="24"/>
          <w:szCs w:val="24"/>
          <w:lang w:val="en-GB"/>
        </w:rPr>
        <w:t>using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a calibration curve prepared </w:t>
      </w:r>
      <w:r>
        <w:rPr>
          <w:rFonts w:ascii="Times New Roman" w:hAnsi="Times New Roman" w:cs="Times New Roman"/>
          <w:sz w:val="24"/>
          <w:szCs w:val="24"/>
          <w:lang w:val="en-GB"/>
        </w:rPr>
        <w:t>from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the external standard solution </w:t>
      </w:r>
      <w:proofErr w:type="spellStart"/>
      <w:r w:rsidRPr="00BC7B6E">
        <w:rPr>
          <w:rFonts w:ascii="Times New Roman" w:hAnsi="Times New Roman" w:cs="Times New Roman"/>
          <w:sz w:val="24"/>
          <w:szCs w:val="24"/>
          <w:lang w:val="en-GB"/>
        </w:rPr>
        <w:t>Restek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610 PAH Calibration Mix A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containing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16 PAHs in methylene chloride at 500</w:t>
      </w:r>
      <w:r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1000 </w:t>
      </w:r>
      <w:r w:rsidRPr="00BC7B6E">
        <w:rPr>
          <w:rFonts w:ascii="Times New Roman" w:hAnsi="Times New Roman" w:cs="Times New Roman"/>
          <w:sz w:val="24"/>
          <w:szCs w:val="24"/>
        </w:rPr>
        <w:t>μ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g/ml).</w:t>
      </w:r>
      <w:r w:rsidR="00C031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0" w:name="_GoBack"/>
      <w:bookmarkEnd w:id="0"/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The detection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limit (LOD)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measured PAHs was 2±1.5 µg kg</w:t>
      </w:r>
      <w:r w:rsidRPr="00BC7B6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C7B6E">
        <w:rPr>
          <w:rFonts w:ascii="Times New Roman" w:hAnsi="Times New Roman" w:cs="Times New Roman"/>
          <w:sz w:val="24"/>
          <w:szCs w:val="24"/>
          <w:lang w:val="en-GB"/>
        </w:rPr>
        <w:t>d.m</w:t>
      </w:r>
      <w:proofErr w:type="spellEnd"/>
      <w:r w:rsidRPr="00BC7B6E">
        <w:rPr>
          <w:rFonts w:ascii="Times New Roman" w:hAnsi="Times New Roman" w:cs="Times New Roman"/>
          <w:sz w:val="24"/>
          <w:szCs w:val="24"/>
          <w:lang w:val="en-GB"/>
        </w:rPr>
        <w:t>. The</w:t>
      </w:r>
      <w:r w:rsidRPr="003F1329">
        <w:rPr>
          <w:rFonts w:ascii="Times New Roman" w:hAnsi="Times New Roman" w:cs="Times New Roman"/>
          <w:sz w:val="24"/>
          <w:szCs w:val="24"/>
          <w:lang w:val="en-GB"/>
        </w:rPr>
        <w:t xml:space="preserve"> quantification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limit (LOQ)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was 6±4 µg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kg</w:t>
      </w:r>
      <w:r w:rsidRPr="00BC7B6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-1 </w:t>
      </w:r>
      <w:proofErr w:type="spellStart"/>
      <w:r w:rsidRPr="00BC7B6E">
        <w:rPr>
          <w:rFonts w:ascii="Times New Roman" w:hAnsi="Times New Roman" w:cs="Times New Roman"/>
          <w:sz w:val="24"/>
          <w:szCs w:val="24"/>
          <w:lang w:val="en-GB"/>
        </w:rPr>
        <w:t>d.m</w:t>
      </w:r>
      <w:proofErr w:type="spellEnd"/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. The accuracy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method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was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controlled using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CRM for PAHs </w:t>
      </w:r>
      <w:r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Loamy clay 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–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CRM 141 </w:t>
      </w:r>
      <w:r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50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g (ISO/EC 17025 Cert# AT-1467).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The recovery rate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of the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16 measured PAHs using th</w:t>
      </w:r>
      <w:r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method </w:t>
      </w:r>
      <w:r>
        <w:rPr>
          <w:rFonts w:ascii="Times New Roman" w:hAnsi="Times New Roman" w:cs="Times New Roman"/>
          <w:sz w:val="24"/>
          <w:szCs w:val="24"/>
          <w:lang w:val="en-GB"/>
        </w:rPr>
        <w:t>ranged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 from 77% (for </w:t>
      </w:r>
      <w:r>
        <w:rPr>
          <w:rFonts w:ascii="Times New Roman" w:hAnsi="Times New Roman" w:cs="Times New Roman"/>
          <w:sz w:val="24"/>
          <w:szCs w:val="24"/>
          <w:lang w:val="en-GB"/>
        </w:rPr>
        <w:t>Ant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) to 97.5% (for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Naf</w:t>
      </w:r>
      <w:proofErr w:type="spellEnd"/>
      <w:r w:rsidRPr="00BC7B6E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this </w:t>
      </w:r>
      <w:r w:rsidRPr="00BC7B6E">
        <w:rPr>
          <w:rFonts w:ascii="Times New Roman" w:hAnsi="Times New Roman" w:cs="Times New Roman"/>
          <w:sz w:val="24"/>
          <w:szCs w:val="24"/>
          <w:lang w:val="en-GB"/>
        </w:rPr>
        <w:t>was used to correct the raw data.</w:t>
      </w:r>
    </w:p>
    <w:p w:rsidR="001D492E" w:rsidRPr="00E150B1" w:rsidRDefault="001D492E">
      <w:pPr>
        <w:rPr>
          <w:lang w:val="en-GB"/>
        </w:rPr>
      </w:pPr>
    </w:p>
    <w:sectPr w:rsidR="001D492E" w:rsidRPr="00E15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B1"/>
    <w:rsid w:val="001D492E"/>
    <w:rsid w:val="00C0313B"/>
    <w:rsid w:val="00C30AD1"/>
    <w:rsid w:val="00E1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4B2822-C29A-49B2-9A10-6DDCBD56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50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E150B1"/>
  </w:style>
  <w:style w:type="table" w:styleId="Tabela-Siatka">
    <w:name w:val="Table Grid"/>
    <w:basedOn w:val="Standardowy"/>
    <w:uiPriority w:val="39"/>
    <w:rsid w:val="00C30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2021-03-15T11:11:00Z</dcterms:created>
  <dcterms:modified xsi:type="dcterms:W3CDTF">2021-03-15T11:14:00Z</dcterms:modified>
</cp:coreProperties>
</file>