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0B38" w:rsidRPr="0092630D" w:rsidRDefault="00DC0B38" w:rsidP="00DC0B38">
      <w:pPr>
        <w:spacing w:line="360" w:lineRule="auto"/>
        <w:rPr>
          <w:rFonts w:ascii="Arial" w:hAnsi="Arial" w:cs="Arial"/>
          <w:b/>
        </w:rPr>
      </w:pPr>
      <w:r w:rsidRPr="0092630D">
        <w:rPr>
          <w:rFonts w:ascii="Arial" w:hAnsi="Arial" w:cs="Arial"/>
          <w:b/>
        </w:rPr>
        <w:t>Supplementary Material</w:t>
      </w:r>
    </w:p>
    <w:p w:rsidR="00DC0B38" w:rsidRPr="0092630D" w:rsidRDefault="00DC0B38" w:rsidP="00DC0B38">
      <w:pPr>
        <w:spacing w:line="360" w:lineRule="auto"/>
        <w:rPr>
          <w:rFonts w:ascii="Arial" w:hAnsi="Arial" w:cs="Arial"/>
        </w:rPr>
      </w:pPr>
      <w:r w:rsidRPr="0092630D">
        <w:rPr>
          <w:rFonts w:ascii="Arial" w:hAnsi="Arial" w:cs="Arial"/>
        </w:rPr>
        <w:t>Article title: The challenge of global aflatoxins legislation with a focus on peanuts and peanut products.</w:t>
      </w:r>
    </w:p>
    <w:p w:rsidR="00DC0B38" w:rsidRPr="0092630D" w:rsidRDefault="00DC0B38" w:rsidP="00DC0B38">
      <w:pPr>
        <w:spacing w:line="360" w:lineRule="auto"/>
        <w:rPr>
          <w:rFonts w:ascii="Arial" w:hAnsi="Arial" w:cs="Arial"/>
        </w:rPr>
      </w:pPr>
      <w:r w:rsidRPr="0092630D">
        <w:rPr>
          <w:rFonts w:ascii="Arial" w:hAnsi="Arial" w:cs="Arial"/>
        </w:rPr>
        <w:t>Journal: Exposure and Health</w:t>
      </w:r>
    </w:p>
    <w:p w:rsidR="00DC0B38" w:rsidRPr="0092630D" w:rsidRDefault="00DC0B38" w:rsidP="00DC0B38">
      <w:pPr>
        <w:spacing w:line="360" w:lineRule="auto"/>
        <w:rPr>
          <w:rFonts w:ascii="Arial" w:hAnsi="Arial" w:cs="Arial"/>
        </w:rPr>
      </w:pPr>
      <w:r w:rsidRPr="0092630D">
        <w:rPr>
          <w:rFonts w:ascii="Arial" w:hAnsi="Arial" w:cs="Arial"/>
        </w:rPr>
        <w:t>Julie P. Meneely</w:t>
      </w:r>
      <w:r w:rsidRPr="0092630D">
        <w:rPr>
          <w:rFonts w:ascii="Arial" w:hAnsi="Arial" w:cs="Arial"/>
          <w:vertAlign w:val="superscript"/>
        </w:rPr>
        <w:t>a</w:t>
      </w:r>
      <w:r w:rsidRPr="0092630D">
        <w:rPr>
          <w:rFonts w:ascii="Arial" w:hAnsi="Arial" w:cs="Arial"/>
        </w:rPr>
        <w:t>*, Oluwatobi Kolawole</w:t>
      </w:r>
      <w:r w:rsidRPr="0092630D">
        <w:rPr>
          <w:rFonts w:ascii="Arial" w:hAnsi="Arial" w:cs="Arial"/>
          <w:vertAlign w:val="superscript"/>
        </w:rPr>
        <w:t>a</w:t>
      </w:r>
      <w:r w:rsidRPr="0092630D">
        <w:rPr>
          <w:rFonts w:ascii="Arial" w:hAnsi="Arial" w:cs="Arial"/>
        </w:rPr>
        <w:t>, Simon A. Haughey</w:t>
      </w:r>
      <w:r w:rsidRPr="0092630D">
        <w:rPr>
          <w:rFonts w:ascii="Arial" w:hAnsi="Arial" w:cs="Arial"/>
          <w:vertAlign w:val="superscript"/>
        </w:rPr>
        <w:t>a</w:t>
      </w:r>
      <w:r w:rsidRPr="0092630D">
        <w:rPr>
          <w:rFonts w:ascii="Arial" w:hAnsi="Arial" w:cs="Arial"/>
        </w:rPr>
        <w:t>, Sarah J. Miller</w:t>
      </w:r>
      <w:r w:rsidRPr="0092630D">
        <w:rPr>
          <w:rFonts w:ascii="Arial" w:hAnsi="Arial" w:cs="Arial"/>
          <w:vertAlign w:val="superscript"/>
        </w:rPr>
        <w:t>b</w:t>
      </w:r>
      <w:r w:rsidRPr="0092630D">
        <w:rPr>
          <w:rFonts w:ascii="Arial" w:hAnsi="Arial" w:cs="Arial"/>
        </w:rPr>
        <w:t>, Rudolf Krska</w:t>
      </w:r>
      <w:r w:rsidRPr="0092630D">
        <w:rPr>
          <w:rFonts w:ascii="Arial" w:hAnsi="Arial" w:cs="Arial"/>
          <w:vertAlign w:val="superscript"/>
        </w:rPr>
        <w:t>a,c</w:t>
      </w:r>
      <w:r w:rsidRPr="0092630D">
        <w:rPr>
          <w:rFonts w:ascii="Arial" w:hAnsi="Arial" w:cs="Arial"/>
        </w:rPr>
        <w:t xml:space="preserve"> &amp; Christopher T. Elliott</w:t>
      </w:r>
      <w:r w:rsidRPr="0092630D">
        <w:rPr>
          <w:rFonts w:ascii="Arial" w:hAnsi="Arial" w:cs="Arial"/>
          <w:vertAlign w:val="superscript"/>
        </w:rPr>
        <w:t>a</w:t>
      </w:r>
    </w:p>
    <w:p w:rsidR="00DC0B38" w:rsidRPr="0092630D" w:rsidRDefault="00DC0B38" w:rsidP="00DC0B38">
      <w:pPr>
        <w:spacing w:line="360" w:lineRule="auto"/>
        <w:rPr>
          <w:rFonts w:ascii="Arial" w:hAnsi="Arial" w:cs="Arial"/>
        </w:rPr>
      </w:pPr>
      <w:r w:rsidRPr="0092630D">
        <w:rPr>
          <w:rFonts w:ascii="Arial" w:hAnsi="Arial" w:cs="Arial"/>
          <w:vertAlign w:val="superscript"/>
        </w:rPr>
        <w:t>a</w:t>
      </w:r>
      <w:r w:rsidRPr="0092630D">
        <w:rPr>
          <w:rFonts w:ascii="Arial" w:hAnsi="Arial" w:cs="Arial"/>
        </w:rPr>
        <w:t>Institute for Global Food Security, Biological Sciences, Queen’s University Belfast, Belfast, Northern Ireland, United Kingdom</w:t>
      </w:r>
    </w:p>
    <w:p w:rsidR="00DC0B38" w:rsidRPr="0092630D" w:rsidRDefault="00DC0B38" w:rsidP="00DC0B38">
      <w:pPr>
        <w:spacing w:line="360" w:lineRule="auto"/>
        <w:rPr>
          <w:rFonts w:ascii="Arial" w:hAnsi="Arial" w:cs="Arial"/>
        </w:rPr>
      </w:pPr>
      <w:r w:rsidRPr="0092630D">
        <w:rPr>
          <w:rFonts w:ascii="Arial" w:hAnsi="Arial" w:cs="Arial"/>
          <w:vertAlign w:val="superscript"/>
        </w:rPr>
        <w:t>b</w:t>
      </w:r>
      <w:r w:rsidRPr="0092630D">
        <w:rPr>
          <w:rFonts w:ascii="Arial" w:hAnsi="Arial" w:cs="Arial"/>
        </w:rPr>
        <w:t>School of Social Sciences, Education and Social Work, Queen’s University Belfast, Belfast, Northern Ireland, United Kingdom</w:t>
      </w:r>
    </w:p>
    <w:p w:rsidR="00DC0B38" w:rsidRPr="0092630D" w:rsidRDefault="00DC0B38" w:rsidP="00DC0B38">
      <w:pPr>
        <w:spacing w:line="360" w:lineRule="auto"/>
        <w:rPr>
          <w:rFonts w:ascii="Arial" w:hAnsi="Arial" w:cs="Arial"/>
        </w:rPr>
      </w:pPr>
      <w:r w:rsidRPr="0092630D">
        <w:rPr>
          <w:rFonts w:ascii="Arial" w:hAnsi="Arial" w:cs="Arial"/>
          <w:vertAlign w:val="superscript"/>
        </w:rPr>
        <w:t>c</w:t>
      </w:r>
      <w:r w:rsidRPr="0092630D">
        <w:rPr>
          <w:rFonts w:ascii="Arial" w:hAnsi="Arial" w:cs="Arial"/>
        </w:rPr>
        <w:t>Institute of Bioanalytics and Agro-Metabolomics, Department of Agrobiotechnology (IFA-Tulln), University of Natural Resources and Life Sciences Vienna (BOKU), Tulln, Austria</w:t>
      </w:r>
    </w:p>
    <w:p w:rsidR="00DC0B38" w:rsidRPr="0092630D" w:rsidRDefault="00DC0B38" w:rsidP="00DC0B38">
      <w:pPr>
        <w:spacing w:line="360" w:lineRule="auto"/>
        <w:rPr>
          <w:rFonts w:ascii="Arial" w:hAnsi="Arial" w:cs="Arial"/>
        </w:rPr>
      </w:pPr>
      <w:r w:rsidRPr="0092630D">
        <w:rPr>
          <w:rFonts w:ascii="Arial" w:hAnsi="Arial" w:cs="Arial"/>
        </w:rPr>
        <w:t>*Corresponding Author: Julie P. Meneely</w:t>
      </w:r>
    </w:p>
    <w:p w:rsidR="00DC0B38" w:rsidRPr="0092630D" w:rsidRDefault="00DC0B38" w:rsidP="00DC0B38">
      <w:pPr>
        <w:spacing w:line="360" w:lineRule="auto"/>
        <w:rPr>
          <w:rFonts w:ascii="Arial" w:hAnsi="Arial" w:cs="Arial"/>
        </w:rPr>
      </w:pPr>
      <w:r w:rsidRPr="0092630D">
        <w:rPr>
          <w:rFonts w:ascii="Arial" w:hAnsi="Arial" w:cs="Arial"/>
        </w:rPr>
        <w:t>Email: j.p.meneely@qub.ac.uk</w:t>
      </w:r>
    </w:p>
    <w:p w:rsidR="00DC0B38" w:rsidRPr="0092630D" w:rsidRDefault="00DC0B38" w:rsidP="00DC0B38">
      <w:pPr>
        <w:spacing w:line="360" w:lineRule="auto"/>
        <w:rPr>
          <w:rFonts w:ascii="Arial" w:hAnsi="Arial" w:cs="Arial"/>
        </w:rPr>
      </w:pPr>
      <w:r w:rsidRPr="0092630D">
        <w:rPr>
          <w:rFonts w:ascii="Arial" w:hAnsi="Arial" w:cs="Arial"/>
        </w:rPr>
        <w:t>Tel: +44(0)2890 972083</w:t>
      </w:r>
    </w:p>
    <w:p w:rsidR="00DC0B38" w:rsidRPr="0092630D" w:rsidRDefault="00DC0B38" w:rsidP="00DC0B38">
      <w:pPr>
        <w:spacing w:line="360" w:lineRule="auto"/>
        <w:rPr>
          <w:rFonts w:ascii="Arial" w:hAnsi="Arial" w:cs="Arial"/>
        </w:rPr>
      </w:pPr>
    </w:p>
    <w:p w:rsidR="00DC0B38" w:rsidRPr="0092630D" w:rsidRDefault="00DC0B38" w:rsidP="00DC0B38">
      <w:pPr>
        <w:spacing w:line="360" w:lineRule="auto"/>
        <w:rPr>
          <w:rFonts w:ascii="Arial" w:hAnsi="Arial" w:cs="Arial"/>
        </w:rPr>
      </w:pPr>
      <w:r w:rsidRPr="0092630D">
        <w:rPr>
          <w:rFonts w:ascii="Arial" w:hAnsi="Arial" w:cs="Arial"/>
        </w:rPr>
        <w:t>Contents:</w:t>
      </w:r>
    </w:p>
    <w:p w:rsidR="00DC0B38" w:rsidRPr="0092630D" w:rsidRDefault="00DC0B38" w:rsidP="00DC0B38">
      <w:pPr>
        <w:spacing w:line="360" w:lineRule="auto"/>
        <w:rPr>
          <w:rFonts w:ascii="Arial" w:hAnsi="Arial" w:cs="Arial"/>
        </w:rPr>
      </w:pPr>
      <w:r w:rsidRPr="0092630D">
        <w:rPr>
          <w:rFonts w:ascii="Arial" w:hAnsi="Arial" w:cs="Arial"/>
        </w:rPr>
        <w:t>Online Resources 1 &amp; 2 and headings</w:t>
      </w:r>
    </w:p>
    <w:p w:rsidR="00DC0B38" w:rsidRPr="0092630D" w:rsidRDefault="00DC0B38" w:rsidP="00DC0B38">
      <w:pPr>
        <w:spacing w:line="360" w:lineRule="auto"/>
        <w:rPr>
          <w:rFonts w:ascii="Arial" w:hAnsi="Arial" w:cs="Arial"/>
        </w:rPr>
      </w:pPr>
    </w:p>
    <w:p w:rsidR="00DC0B38" w:rsidRPr="0092630D" w:rsidRDefault="00DC0B38" w:rsidP="00DC0B38">
      <w:pPr>
        <w:spacing w:line="360" w:lineRule="auto"/>
        <w:rPr>
          <w:rFonts w:ascii="Arial" w:hAnsi="Arial" w:cs="Arial"/>
        </w:rPr>
      </w:pPr>
    </w:p>
    <w:p w:rsidR="00DC0B38" w:rsidRPr="0092630D" w:rsidRDefault="00DC0B38" w:rsidP="00DC0B38">
      <w:pPr>
        <w:spacing w:line="360" w:lineRule="auto"/>
        <w:rPr>
          <w:rFonts w:ascii="Arial" w:hAnsi="Arial" w:cs="Arial"/>
        </w:rPr>
      </w:pPr>
    </w:p>
    <w:p w:rsidR="00DC0B38" w:rsidRPr="0092630D" w:rsidRDefault="00DC0B38" w:rsidP="00DC0B38">
      <w:pPr>
        <w:spacing w:line="360" w:lineRule="auto"/>
        <w:rPr>
          <w:rFonts w:ascii="Arial" w:hAnsi="Arial" w:cs="Arial"/>
        </w:rPr>
      </w:pPr>
    </w:p>
    <w:p w:rsidR="00DC0B38" w:rsidRPr="0092630D" w:rsidRDefault="00DC0B38" w:rsidP="00DC0B38">
      <w:pPr>
        <w:spacing w:line="360" w:lineRule="auto"/>
        <w:rPr>
          <w:rFonts w:ascii="Arial" w:hAnsi="Arial" w:cs="Arial"/>
        </w:rPr>
      </w:pPr>
    </w:p>
    <w:p w:rsidR="00DC0B38" w:rsidRPr="0092630D" w:rsidRDefault="00DC0B38" w:rsidP="00DC0B38">
      <w:pPr>
        <w:spacing w:line="360" w:lineRule="auto"/>
        <w:rPr>
          <w:rFonts w:ascii="Arial" w:hAnsi="Arial" w:cs="Arial"/>
        </w:rPr>
      </w:pPr>
    </w:p>
    <w:p w:rsidR="00DC0B38" w:rsidRPr="0092630D" w:rsidRDefault="00DC0B38" w:rsidP="00DC0B38">
      <w:pPr>
        <w:spacing w:line="360" w:lineRule="auto"/>
        <w:rPr>
          <w:rFonts w:ascii="Arial" w:hAnsi="Arial" w:cs="Arial"/>
        </w:rPr>
      </w:pPr>
    </w:p>
    <w:p w:rsidR="00DC0B38" w:rsidRPr="0092630D" w:rsidRDefault="00DC0B38" w:rsidP="00DC0B38">
      <w:pPr>
        <w:spacing w:line="360" w:lineRule="auto"/>
        <w:rPr>
          <w:rFonts w:ascii="Arial" w:hAnsi="Arial" w:cs="Arial"/>
        </w:rPr>
        <w:sectPr w:rsidR="00DC0B38" w:rsidRPr="0092630D" w:rsidSect="00DC0B38">
          <w:pgSz w:w="11906" w:h="16838"/>
          <w:pgMar w:top="1440" w:right="1440" w:bottom="1440" w:left="1440" w:header="709" w:footer="709" w:gutter="0"/>
          <w:cols w:space="708"/>
          <w:docGrid w:linePitch="360"/>
        </w:sectPr>
      </w:pPr>
    </w:p>
    <w:p w:rsidR="00DC0B38" w:rsidRPr="0092630D" w:rsidRDefault="00DC0B38" w:rsidP="00DC0B38">
      <w:pPr>
        <w:spacing w:line="360" w:lineRule="auto"/>
        <w:rPr>
          <w:rFonts w:ascii="Arial" w:hAnsi="Arial" w:cs="Arial"/>
          <w:b/>
        </w:rPr>
      </w:pPr>
      <w:r w:rsidRPr="0092630D">
        <w:rPr>
          <w:rFonts w:ascii="Arial" w:hAnsi="Arial" w:cs="Arial"/>
          <w:b/>
        </w:rPr>
        <w:lastRenderedPageBreak/>
        <w:t>Online Resource 1. Summary of the Critical Appraisal (Literature included)</w:t>
      </w:r>
    </w:p>
    <w:tbl>
      <w:tblPr>
        <w:tblStyle w:val="TableGrid"/>
        <w:tblW w:w="0" w:type="auto"/>
        <w:tblLook w:val="04A0" w:firstRow="1" w:lastRow="0" w:firstColumn="1" w:lastColumn="0" w:noHBand="0" w:noVBand="1"/>
      </w:tblPr>
      <w:tblGrid>
        <w:gridCol w:w="1571"/>
        <w:gridCol w:w="1691"/>
        <w:gridCol w:w="1178"/>
        <w:gridCol w:w="2523"/>
        <w:gridCol w:w="2053"/>
      </w:tblGrid>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Reference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Aim of Study</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Type of Study</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Conclusions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Strengths/Limitations</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 xml:space="preserve">Abbott 2003 </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Review of the regulations for contaminants and natural toxicants in Australia and New Zealand</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A1: The new joint standard aims at protecting public health. They are established only when other control measures are deemed inadequate to protect consumers.</w:t>
            </w:r>
          </w:p>
          <w:p w:rsidR="00DC0B38" w:rsidRPr="0092630D" w:rsidRDefault="00DC0B38" w:rsidP="00270469">
            <w:pPr>
              <w:spacing w:after="160" w:line="360" w:lineRule="auto"/>
              <w:rPr>
                <w:rFonts w:ascii="Arial" w:hAnsi="Arial" w:cs="Arial"/>
              </w:rPr>
            </w:pPr>
            <w:r w:rsidRPr="0092630D">
              <w:rPr>
                <w:rFonts w:ascii="Arial" w:hAnsi="Arial" w:cs="Arial"/>
              </w:rPr>
              <w:t>A2: Based on the ALARA principle of CAC and risk assessment to provide overall risk management. Standards must not be used to impede international trade.</w:t>
            </w:r>
          </w:p>
          <w:p w:rsidR="00DC0B38" w:rsidRPr="0092630D" w:rsidRDefault="00DC0B38" w:rsidP="00270469">
            <w:pPr>
              <w:spacing w:after="160" w:line="360" w:lineRule="auto"/>
              <w:rPr>
                <w:rFonts w:ascii="Arial" w:hAnsi="Arial" w:cs="Arial"/>
              </w:rPr>
            </w:pPr>
            <w:r w:rsidRPr="0092630D">
              <w:rPr>
                <w:rFonts w:ascii="Arial" w:hAnsi="Arial" w:cs="Arial"/>
              </w:rPr>
              <w:t>A3: Standards developed using food contamination survey data and dietary exposure data from Australia and New Zealand.</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Old.</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Agyekum and Jolly 2017</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 xml:space="preserve">Evaluation of the economic impacts of strict aflatoxin legislation in Europe for </w:t>
            </w:r>
            <w:r w:rsidRPr="0092630D">
              <w:rPr>
                <w:rFonts w:ascii="Arial" w:hAnsi="Arial" w:cs="Arial"/>
              </w:rPr>
              <w:lastRenderedPageBreak/>
              <w:t>peanuts – in terms of commodity price and quantity</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lastRenderedPageBreak/>
              <w:t>Economic model</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 xml:space="preserve">A4: Stricter regulation in Europe lead to a drop in commodity price and quantity for US and other exporters, whereas </w:t>
            </w:r>
            <w:r w:rsidRPr="0092630D">
              <w:rPr>
                <w:rFonts w:ascii="Arial" w:hAnsi="Arial" w:cs="Arial"/>
              </w:rPr>
              <w:lastRenderedPageBreak/>
              <w:t xml:space="preserve">China benefits. Compliance costs passed on to European consumers. </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lastRenderedPageBreak/>
              <w:t xml:space="preserve">Model used. </w:t>
            </w:r>
          </w:p>
          <w:p w:rsidR="00DC0B38" w:rsidRPr="0092630D" w:rsidRDefault="00DC0B38" w:rsidP="00270469">
            <w:pPr>
              <w:spacing w:after="160" w:line="360" w:lineRule="auto"/>
              <w:rPr>
                <w:rFonts w:ascii="Arial" w:hAnsi="Arial" w:cs="Arial"/>
              </w:rPr>
            </w:pPr>
            <w:r w:rsidRPr="0092630D">
              <w:rPr>
                <w:rFonts w:ascii="Arial" w:hAnsi="Arial" w:cs="Arial"/>
              </w:rPr>
              <w:t xml:space="preserve">Confounding variables accounted for. </w:t>
            </w:r>
          </w:p>
          <w:p w:rsidR="00DC0B38" w:rsidRPr="0092630D" w:rsidRDefault="00DC0B38" w:rsidP="00270469">
            <w:pPr>
              <w:spacing w:after="160" w:line="360" w:lineRule="auto"/>
              <w:rPr>
                <w:rFonts w:ascii="Arial" w:hAnsi="Arial" w:cs="Arial"/>
              </w:rPr>
            </w:pPr>
            <w:r w:rsidRPr="0092630D">
              <w:rPr>
                <w:rFonts w:ascii="Arial" w:hAnsi="Arial" w:cs="Arial"/>
              </w:rPr>
              <w:t>Quantitative study.</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Anukul et al. 2013</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Review of the regulatory limits and national risk management programmes in Asia</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A3: JECFA risk assessments used in the establishment of regulatory limits. Contamination and dietary exposure data needed for risk assessment/management.</w:t>
            </w:r>
          </w:p>
          <w:p w:rsidR="00DC0B38" w:rsidRPr="0092630D" w:rsidRDefault="00DC0B38" w:rsidP="00270469">
            <w:pPr>
              <w:spacing w:after="160" w:line="360" w:lineRule="auto"/>
              <w:rPr>
                <w:rFonts w:ascii="Arial" w:hAnsi="Arial" w:cs="Arial"/>
              </w:rPr>
            </w:pPr>
            <w:r w:rsidRPr="0092630D">
              <w:rPr>
                <w:rFonts w:ascii="Arial" w:hAnsi="Arial" w:cs="Arial"/>
              </w:rPr>
              <w:t xml:space="preserve">A5: More occurrence and exposure data is required to allow for reliable risk management. </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Synthesis of data not documented. May be subject to bias.</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Azaman et al. 2016</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To identify differences in stakeholders’ knowledge, attitude and practices in relation to aflatoxin contamination of peanut products in Malaysia</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Survey</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A5: Lack of consumer knowledge of the detrimental effects of aflatoxins. Improved awareness and knowledge of food safety necessary for food company managers and handlers.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Structured questionnaire. Statistical analysis.</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Barlow et al. 2006</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 xml:space="preserve">Report on discussion between </w:t>
            </w:r>
            <w:r w:rsidRPr="0092630D">
              <w:rPr>
                <w:rFonts w:ascii="Arial" w:hAnsi="Arial" w:cs="Arial"/>
              </w:rPr>
              <w:lastRenderedPageBreak/>
              <w:t>EFSA, WHO and ILSI Europe on how risks of genotoxic and carcinogenic food contaminants are evaluated</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lastRenderedPageBreak/>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 xml:space="preserve">A2: Discussion on the best approaches to risk assessment. The </w:t>
            </w:r>
            <w:r w:rsidRPr="0092630D">
              <w:rPr>
                <w:rFonts w:ascii="Arial" w:hAnsi="Arial" w:cs="Arial"/>
              </w:rPr>
              <w:lastRenderedPageBreak/>
              <w:t xml:space="preserve">margin of exposure was considered the best approach, as it is based on animal response data and human exposure.  </w:t>
            </w:r>
          </w:p>
          <w:p w:rsidR="00DC0B38" w:rsidRPr="0092630D" w:rsidRDefault="00DC0B38" w:rsidP="00270469">
            <w:pPr>
              <w:spacing w:after="160" w:line="360" w:lineRule="auto"/>
              <w:rPr>
                <w:rFonts w:ascii="Arial" w:hAnsi="Arial" w:cs="Arial"/>
              </w:rPr>
            </w:pPr>
            <w:r w:rsidRPr="0092630D">
              <w:rPr>
                <w:rFonts w:ascii="Arial" w:hAnsi="Arial" w:cs="Arial"/>
              </w:rPr>
              <w:t xml:space="preserve">A3: Potency and exposure are not accounted for with ALARA. Quantitative extrapolation of dose-response experiments in animals, the choice of mathematical models and extrapolation to levels of human exposure provide scientific uncertainty. </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lastRenderedPageBreak/>
              <w:t xml:space="preserve">Main bodies associated with risk assessments </w:t>
            </w:r>
            <w:r w:rsidRPr="0092630D">
              <w:rPr>
                <w:rFonts w:ascii="Arial" w:hAnsi="Arial" w:cs="Arial"/>
              </w:rPr>
              <w:lastRenderedPageBreak/>
              <w:t>of food contaminants.</w:t>
            </w:r>
          </w:p>
          <w:p w:rsidR="00DC0B38" w:rsidRPr="0092630D" w:rsidRDefault="00DC0B38" w:rsidP="00270469">
            <w:pPr>
              <w:spacing w:after="160" w:line="360" w:lineRule="auto"/>
              <w:rPr>
                <w:rFonts w:ascii="Arial" w:hAnsi="Arial" w:cs="Arial"/>
              </w:rPr>
            </w:pPr>
            <w:r w:rsidRPr="0092630D">
              <w:rPr>
                <w:rFonts w:ascii="Arial" w:hAnsi="Arial" w:cs="Arial"/>
              </w:rPr>
              <w:t>Discussions based on the available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Old.</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lastRenderedPageBreak/>
              <w:t>Bennett and Klich 2003</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Review on mycotoxins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A1: Toxicity of aflatoxins to humans and animals.</w:t>
            </w:r>
          </w:p>
          <w:p w:rsidR="00DC0B38" w:rsidRPr="0092630D" w:rsidRDefault="00DC0B38" w:rsidP="00270469">
            <w:pPr>
              <w:spacing w:after="160" w:line="360" w:lineRule="auto"/>
              <w:rPr>
                <w:rFonts w:ascii="Arial" w:hAnsi="Arial" w:cs="Arial"/>
              </w:rPr>
            </w:pPr>
            <w:r w:rsidRPr="0092630D">
              <w:rPr>
                <w:rFonts w:ascii="Arial" w:hAnsi="Arial" w:cs="Arial"/>
              </w:rPr>
              <w:t>A5: Exposes knowledge gaps in terms of the potential causal role of aflatoxins in certain diseases.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Old</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Berg 2003</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How international standards are established for food and feed</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A1: Standards developed to protect human and animal health.</w:t>
            </w:r>
          </w:p>
          <w:p w:rsidR="00DC0B38" w:rsidRPr="0092630D" w:rsidRDefault="00DC0B38" w:rsidP="00270469">
            <w:pPr>
              <w:spacing w:after="160" w:line="360" w:lineRule="auto"/>
              <w:rPr>
                <w:rFonts w:ascii="Arial" w:hAnsi="Arial" w:cs="Arial"/>
              </w:rPr>
            </w:pPr>
            <w:r w:rsidRPr="0092630D">
              <w:rPr>
                <w:rFonts w:ascii="Arial" w:hAnsi="Arial" w:cs="Arial"/>
              </w:rPr>
              <w:t xml:space="preserve">A2: Codex standards are based on the ALARA principle and </w:t>
            </w:r>
            <w:r w:rsidRPr="0092630D">
              <w:rPr>
                <w:rFonts w:ascii="Arial" w:hAnsi="Arial" w:cs="Arial"/>
              </w:rPr>
              <w:lastRenderedPageBreak/>
              <w:t xml:space="preserve">risk assessment to provide overall risk management. </w:t>
            </w:r>
          </w:p>
          <w:p w:rsidR="00DC0B38" w:rsidRPr="0092630D" w:rsidRDefault="00DC0B38" w:rsidP="00270469">
            <w:pPr>
              <w:spacing w:after="160" w:line="360" w:lineRule="auto"/>
              <w:rPr>
                <w:rFonts w:ascii="Arial" w:hAnsi="Arial" w:cs="Arial"/>
              </w:rPr>
            </w:pPr>
            <w:r w:rsidRPr="0092630D">
              <w:rPr>
                <w:rFonts w:ascii="Arial" w:hAnsi="Arial" w:cs="Arial"/>
              </w:rPr>
              <w:t>A3: JECFA risk assessments used in the establishment of regulatory limits. The SCF in Europe perform a similar role.</w:t>
            </w:r>
          </w:p>
          <w:p w:rsidR="00DC0B38" w:rsidRPr="0092630D" w:rsidRDefault="00DC0B38" w:rsidP="00270469">
            <w:pPr>
              <w:spacing w:after="160" w:line="360" w:lineRule="auto"/>
              <w:rPr>
                <w:rFonts w:ascii="Arial" w:hAnsi="Arial" w:cs="Arial"/>
              </w:rPr>
            </w:pPr>
            <w:r w:rsidRPr="0092630D">
              <w:rPr>
                <w:rFonts w:ascii="Arial" w:hAnsi="Arial" w:cs="Arial"/>
              </w:rPr>
              <w:t>A5: More reliable data is key to establishing MLs.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lastRenderedPageBreak/>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Old.</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Chang et al. 2013</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Food safety: Peanuts and peanut products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A1: Toxicity of aflatoxins to humans and animals.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Synthesis of data not documented. May be subject to bias.</w:t>
            </w:r>
          </w:p>
        </w:tc>
      </w:tr>
      <w:tr w:rsidR="00DC0B38" w:rsidRPr="0092630D" w:rsidTr="00270469">
        <w:tc>
          <w:tcPr>
            <w:tcW w:w="0" w:type="auto"/>
          </w:tcPr>
          <w:p w:rsidR="00DC0B38" w:rsidRPr="0092630D" w:rsidRDefault="00DC0B38" w:rsidP="00270469">
            <w:pPr>
              <w:spacing w:line="360" w:lineRule="auto"/>
              <w:rPr>
                <w:rFonts w:ascii="Arial" w:hAnsi="Arial" w:cs="Arial"/>
                <w:noProof/>
              </w:rPr>
            </w:pPr>
            <w:r w:rsidRPr="0092630D">
              <w:rPr>
                <w:rFonts w:ascii="Arial" w:hAnsi="Arial" w:cs="Arial"/>
                <w:noProof/>
              </w:rPr>
              <w:t>Chu et al. 2018</w:t>
            </w:r>
          </w:p>
        </w:tc>
        <w:tc>
          <w:tcPr>
            <w:tcW w:w="0" w:type="auto"/>
          </w:tcPr>
          <w:p w:rsidR="00DC0B38" w:rsidRPr="0092630D" w:rsidRDefault="00DC0B38" w:rsidP="00270469">
            <w:pPr>
              <w:spacing w:line="360" w:lineRule="auto"/>
              <w:rPr>
                <w:rFonts w:ascii="Arial" w:hAnsi="Arial" w:cs="Arial"/>
              </w:rPr>
            </w:pPr>
            <w:r w:rsidRPr="0092630D">
              <w:rPr>
                <w:rFonts w:ascii="Arial" w:hAnsi="Arial" w:cs="Arial"/>
              </w:rPr>
              <w:t>Aflatoxin B1 exposure and the risk of hepatocellular</w:t>
            </w:r>
          </w:p>
          <w:p w:rsidR="00DC0B38" w:rsidRPr="0092630D" w:rsidRDefault="00DC0B38" w:rsidP="00270469">
            <w:pPr>
              <w:spacing w:line="360" w:lineRule="auto"/>
              <w:rPr>
                <w:rFonts w:ascii="Arial" w:hAnsi="Arial" w:cs="Arial"/>
              </w:rPr>
            </w:pPr>
            <w:r w:rsidRPr="0092630D">
              <w:rPr>
                <w:rFonts w:ascii="Arial" w:hAnsi="Arial" w:cs="Arial"/>
              </w:rPr>
              <w:t>carcinoma associated with hepatitis C virus infection or alcohol consumption</w:t>
            </w:r>
          </w:p>
        </w:tc>
        <w:tc>
          <w:tcPr>
            <w:tcW w:w="0" w:type="auto"/>
          </w:tcPr>
          <w:p w:rsidR="00DC0B38" w:rsidRPr="0092630D" w:rsidRDefault="00DC0B38" w:rsidP="00270469">
            <w:pPr>
              <w:spacing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line="360" w:lineRule="auto"/>
              <w:rPr>
                <w:rFonts w:ascii="Arial" w:hAnsi="Arial" w:cs="Arial"/>
              </w:rPr>
            </w:pPr>
            <w:r w:rsidRPr="0092630D">
              <w:rPr>
                <w:rFonts w:ascii="Arial" w:hAnsi="Arial" w:cs="Arial"/>
              </w:rPr>
              <w:t>A1: Toxicity of aflatoxins to humans and animals.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Consistent with the scientific literature.</w:t>
            </w:r>
          </w:p>
          <w:p w:rsidR="00DC0B38" w:rsidRPr="0092630D" w:rsidRDefault="00DC0B38" w:rsidP="00270469">
            <w:pPr>
              <w:spacing w:line="360" w:lineRule="auto"/>
              <w:rPr>
                <w:rFonts w:ascii="Arial" w:hAnsi="Arial" w:cs="Arial"/>
              </w:rPr>
            </w:pP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Cressey 2009</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 xml:space="preserve">Risk management of mycotoxins in New </w:t>
            </w:r>
            <w:r w:rsidRPr="0092630D">
              <w:rPr>
                <w:rFonts w:ascii="Arial" w:hAnsi="Arial" w:cs="Arial"/>
              </w:rPr>
              <w:lastRenderedPageBreak/>
              <w:t>Zealand and Australia</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lastRenderedPageBreak/>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A1: Toxicity of aflatoxins to humans and animals.</w:t>
            </w:r>
          </w:p>
          <w:p w:rsidR="00DC0B38" w:rsidRPr="0092630D" w:rsidRDefault="00DC0B38" w:rsidP="00270469">
            <w:pPr>
              <w:spacing w:after="160" w:line="360" w:lineRule="auto"/>
              <w:rPr>
                <w:rFonts w:ascii="Arial" w:hAnsi="Arial" w:cs="Arial"/>
              </w:rPr>
            </w:pPr>
            <w:r w:rsidRPr="0092630D">
              <w:rPr>
                <w:rFonts w:ascii="Arial" w:hAnsi="Arial" w:cs="Arial"/>
              </w:rPr>
              <w:lastRenderedPageBreak/>
              <w:t>A2: Using MLs for imports but a risk based approach for domestic produce, supported by increased industry monitoring of mycotoxins.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lastRenderedPageBreak/>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lastRenderedPageBreak/>
              <w:t>Old.</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lastRenderedPageBreak/>
              <w:t>Dhanshetty et al. 2021</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 xml:space="preserve">Decontamination of aflatoxin B1 in peanuts </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A2: Cooking as a mitigation strategies to reduce aflatoxin B1 contamination.</w:t>
            </w:r>
          </w:p>
          <w:p w:rsidR="00DC0B38" w:rsidRPr="0092630D" w:rsidRDefault="00DC0B38" w:rsidP="00270469">
            <w:pPr>
              <w:spacing w:after="160" w:line="360" w:lineRule="auto"/>
              <w:rPr>
                <w:rFonts w:ascii="Arial" w:hAnsi="Arial" w:cs="Arial"/>
              </w:rPr>
            </w:pPr>
            <w:r w:rsidRPr="0092630D">
              <w:rPr>
                <w:rFonts w:ascii="Arial" w:hAnsi="Arial" w:cs="Arial"/>
              </w:rPr>
              <w:t>A4: If exports are non-compliant, the product is probably consumed in the domestic market. Any mitigation strategy will reduce the health burden.</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Synthesis of data not documented. May be subject to bias.</w:t>
            </w:r>
          </w:p>
        </w:tc>
      </w:tr>
      <w:tr w:rsidR="00DC0B38" w:rsidRPr="0092630D" w:rsidTr="00270469">
        <w:tc>
          <w:tcPr>
            <w:tcW w:w="0" w:type="auto"/>
          </w:tcPr>
          <w:p w:rsidR="00DC0B38" w:rsidRPr="0092630D" w:rsidRDefault="00DC0B38" w:rsidP="00270469">
            <w:pPr>
              <w:spacing w:line="360" w:lineRule="auto"/>
              <w:rPr>
                <w:rFonts w:ascii="Arial" w:hAnsi="Arial" w:cs="Arial"/>
                <w:noProof/>
              </w:rPr>
            </w:pPr>
            <w:r w:rsidRPr="0092630D">
              <w:rPr>
                <w:rFonts w:ascii="Arial" w:hAnsi="Arial" w:cs="Arial"/>
                <w:noProof/>
              </w:rPr>
              <w:t>Diaz 2005</w:t>
            </w:r>
          </w:p>
        </w:tc>
        <w:tc>
          <w:tcPr>
            <w:tcW w:w="0" w:type="auto"/>
          </w:tcPr>
          <w:p w:rsidR="00DC0B38" w:rsidRPr="0092630D" w:rsidRDefault="00DC0B38" w:rsidP="00270469">
            <w:pPr>
              <w:spacing w:line="360" w:lineRule="auto"/>
              <w:rPr>
                <w:rFonts w:ascii="Arial" w:hAnsi="Arial" w:cs="Arial"/>
              </w:rPr>
            </w:pPr>
            <w:r w:rsidRPr="0092630D">
              <w:rPr>
                <w:rFonts w:ascii="Arial" w:hAnsi="Arial" w:cs="Arial"/>
              </w:rPr>
              <w:t>The Mycotoxin Blue Book</w:t>
            </w:r>
          </w:p>
        </w:tc>
        <w:tc>
          <w:tcPr>
            <w:tcW w:w="0" w:type="auto"/>
          </w:tcPr>
          <w:p w:rsidR="00DC0B38" w:rsidRPr="0092630D" w:rsidRDefault="00DC0B38" w:rsidP="00270469">
            <w:pPr>
              <w:spacing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line="360" w:lineRule="auto"/>
              <w:rPr>
                <w:rFonts w:ascii="Arial" w:hAnsi="Arial" w:cs="Arial"/>
              </w:rPr>
            </w:pPr>
            <w:r w:rsidRPr="0092630D">
              <w:rPr>
                <w:rFonts w:ascii="Arial" w:hAnsi="Arial" w:cs="Arial"/>
              </w:rPr>
              <w:t>A1: Toxicity of aflatoxins to humans and animals.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Consistent with the scientific literature.</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EFSA 2005</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EFSA opinion on a harmonised approach for the risk assessment of genotoxic and carcinogenic substances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 xml:space="preserve">A2: Best risk assessment approach for these substances is based on margin of exposure. </w:t>
            </w:r>
          </w:p>
          <w:p w:rsidR="00DC0B38" w:rsidRPr="0092630D" w:rsidRDefault="00DC0B38" w:rsidP="00270469">
            <w:pPr>
              <w:spacing w:after="160" w:line="360" w:lineRule="auto"/>
              <w:rPr>
                <w:rFonts w:ascii="Arial" w:hAnsi="Arial" w:cs="Arial"/>
              </w:rPr>
            </w:pPr>
            <w:r w:rsidRPr="0092630D">
              <w:rPr>
                <w:rFonts w:ascii="Arial" w:hAnsi="Arial" w:cs="Arial"/>
              </w:rPr>
              <w:t xml:space="preserve">A3: Human epidemiological data are lacking and if data from high-dose animal bioassays are used this requires extrapolation to the low levels to which humans are </w:t>
            </w:r>
            <w:r w:rsidRPr="0092630D">
              <w:rPr>
                <w:rFonts w:ascii="Arial" w:hAnsi="Arial" w:cs="Arial"/>
              </w:rPr>
              <w:lastRenderedPageBreak/>
              <w:t>generally exposed. Huge uncertainties are associated with this approach. Potency and exposure are not accounted for with ALARA.</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lastRenderedPageBreak/>
              <w:t>One of the main bodies associated with risk assessments of food contaminants.</w:t>
            </w:r>
          </w:p>
          <w:p w:rsidR="00DC0B38" w:rsidRPr="0092630D" w:rsidRDefault="00DC0B38" w:rsidP="00270469">
            <w:pPr>
              <w:spacing w:after="160" w:line="360" w:lineRule="auto"/>
              <w:rPr>
                <w:rFonts w:ascii="Arial" w:hAnsi="Arial" w:cs="Arial"/>
              </w:rPr>
            </w:pPr>
            <w:r w:rsidRPr="0092630D">
              <w:rPr>
                <w:rFonts w:ascii="Arial" w:hAnsi="Arial" w:cs="Arial"/>
              </w:rPr>
              <w:t>Discussions based on the available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Old.</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Eskola et al. 2018</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Activities of EFSA on mycotoxins in food and feed.</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A1: Toxicity of aflatoxins to humans and animals.</w:t>
            </w:r>
          </w:p>
          <w:p w:rsidR="00DC0B38" w:rsidRPr="0092630D" w:rsidRDefault="00DC0B38" w:rsidP="00270469">
            <w:pPr>
              <w:spacing w:after="160" w:line="360" w:lineRule="auto"/>
              <w:rPr>
                <w:rFonts w:ascii="Arial" w:hAnsi="Arial" w:cs="Arial"/>
              </w:rPr>
            </w:pPr>
            <w:r w:rsidRPr="0092630D">
              <w:rPr>
                <w:rFonts w:ascii="Arial" w:hAnsi="Arial" w:cs="Arial"/>
              </w:rPr>
              <w:t>A2: Risk assessment procedures outlined.</w:t>
            </w:r>
          </w:p>
          <w:p w:rsidR="00DC0B38" w:rsidRPr="0092630D" w:rsidRDefault="00DC0B38" w:rsidP="00270469">
            <w:pPr>
              <w:spacing w:after="160" w:line="360" w:lineRule="auto"/>
              <w:rPr>
                <w:rFonts w:ascii="Arial" w:hAnsi="Arial" w:cs="Arial"/>
              </w:rPr>
            </w:pPr>
            <w:r w:rsidRPr="0092630D">
              <w:rPr>
                <w:rFonts w:ascii="Arial" w:hAnsi="Arial" w:cs="Arial"/>
              </w:rPr>
              <w:t>A3: Published scientific data on toxicokinetics and toxicity in experimental animals, humans, and farm and companion animals, analytical methods, occurrence data, and evaluations on human and animal exposure data are used in the risk assessments.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One of the main bodies associated with risk assessments of food contaminants.</w:t>
            </w:r>
          </w:p>
          <w:p w:rsidR="00DC0B38" w:rsidRPr="0092630D" w:rsidRDefault="00DC0B38" w:rsidP="00270469">
            <w:pPr>
              <w:spacing w:after="160" w:line="360" w:lineRule="auto"/>
              <w:rPr>
                <w:rFonts w:ascii="Arial" w:hAnsi="Arial" w:cs="Arial"/>
              </w:rPr>
            </w:pP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Eskola et al. 2020</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Assessing the rational for the widely quoted ‘FAO 25% estimate’ of food crops contaminated with mycotoxins.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 xml:space="preserve">A3: Validation of this estimate for non-compliant samples (CODEX and EU). Highlights that detectable levels of mycotoxins are much greater (60-80%) and the importance of this </w:t>
            </w:r>
            <w:r w:rsidRPr="0092630D">
              <w:rPr>
                <w:rFonts w:ascii="Arial" w:hAnsi="Arial" w:cs="Arial"/>
              </w:rPr>
              <w:lastRenderedPageBreak/>
              <w:t xml:space="preserve">data in estimating human exposure. </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lastRenderedPageBreak/>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Synthesis of data not documented. May be subject to bias.</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Giorgi 2013</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 xml:space="preserve">Investigating the downside of risk regulation. </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A1: Toxicity of aflatoxins to humans.</w:t>
            </w:r>
          </w:p>
          <w:p w:rsidR="00DC0B38" w:rsidRPr="0092630D" w:rsidRDefault="00DC0B38" w:rsidP="00270469">
            <w:pPr>
              <w:spacing w:after="160" w:line="360" w:lineRule="auto"/>
              <w:rPr>
                <w:rFonts w:ascii="Arial" w:hAnsi="Arial" w:cs="Arial"/>
              </w:rPr>
            </w:pPr>
            <w:r w:rsidRPr="0092630D">
              <w:rPr>
                <w:rFonts w:ascii="Arial" w:hAnsi="Arial" w:cs="Arial"/>
              </w:rPr>
              <w:t xml:space="preserve">A2: Risk assessment, risk management and risk communication. Comparison of JECFA and EFSA risk assessment studies. </w:t>
            </w:r>
          </w:p>
          <w:p w:rsidR="00DC0B38" w:rsidRPr="0092630D" w:rsidRDefault="00DC0B38" w:rsidP="00270469">
            <w:pPr>
              <w:spacing w:after="160" w:line="360" w:lineRule="auto"/>
              <w:rPr>
                <w:rFonts w:ascii="Arial" w:hAnsi="Arial" w:cs="Arial"/>
              </w:rPr>
            </w:pPr>
            <w:r w:rsidRPr="0092630D">
              <w:rPr>
                <w:rFonts w:ascii="Arial" w:hAnsi="Arial" w:cs="Arial"/>
              </w:rPr>
              <w:t>A3: Highlights the lack of evidence regarding occurrence data and human exposure data.</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Synthesis of data not documented. May be subject to bias.</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Giorgi and Tandon 2010</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Review of how the EU and CAC establish MLs for aflatoxins.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A1: Toxicity of aflatoxins to humans.</w:t>
            </w:r>
          </w:p>
          <w:p w:rsidR="00DC0B38" w:rsidRPr="0092630D" w:rsidRDefault="00DC0B38" w:rsidP="00270469">
            <w:pPr>
              <w:spacing w:after="160" w:line="360" w:lineRule="auto"/>
              <w:rPr>
                <w:rFonts w:ascii="Arial" w:hAnsi="Arial" w:cs="Arial"/>
              </w:rPr>
            </w:pPr>
            <w:r w:rsidRPr="0092630D">
              <w:rPr>
                <w:rFonts w:ascii="Arial" w:hAnsi="Arial" w:cs="Arial"/>
              </w:rPr>
              <w:t xml:space="preserve">A2: Risk assessment, risk management and risk communication. Comparison of JECFA and EFSA risk assessment studies for aflatoxins in nuts. </w:t>
            </w:r>
          </w:p>
          <w:p w:rsidR="00DC0B38" w:rsidRPr="0092630D" w:rsidRDefault="00DC0B38" w:rsidP="00270469">
            <w:pPr>
              <w:spacing w:after="160" w:line="360" w:lineRule="auto"/>
              <w:rPr>
                <w:rFonts w:ascii="Arial" w:hAnsi="Arial" w:cs="Arial"/>
              </w:rPr>
            </w:pPr>
            <w:r w:rsidRPr="0092630D">
              <w:rPr>
                <w:rFonts w:ascii="Arial" w:hAnsi="Arial" w:cs="Arial"/>
              </w:rPr>
              <w:t>A4: No evidence to suggest a negative Impact on exports from African countries because of tighter EU standards.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Synthesis of data not documented. May be subject to bias.</w:t>
            </w:r>
          </w:p>
        </w:tc>
      </w:tr>
      <w:tr w:rsidR="00DC0B38" w:rsidRPr="0092630D" w:rsidTr="00270469">
        <w:tc>
          <w:tcPr>
            <w:tcW w:w="0" w:type="auto"/>
          </w:tcPr>
          <w:p w:rsidR="00DC0B38" w:rsidRPr="0092630D" w:rsidRDefault="00DC0B38" w:rsidP="00270469">
            <w:pPr>
              <w:spacing w:line="360" w:lineRule="auto"/>
              <w:rPr>
                <w:rFonts w:ascii="Arial" w:hAnsi="Arial" w:cs="Arial"/>
                <w:noProof/>
              </w:rPr>
            </w:pPr>
            <w:r w:rsidRPr="0092630D">
              <w:rPr>
                <w:rFonts w:ascii="Arial" w:hAnsi="Arial" w:cs="Arial"/>
                <w:noProof/>
              </w:rPr>
              <w:t>Gong et al. 2004</w:t>
            </w:r>
          </w:p>
        </w:tc>
        <w:tc>
          <w:tcPr>
            <w:tcW w:w="0" w:type="auto"/>
          </w:tcPr>
          <w:p w:rsidR="00DC0B38" w:rsidRPr="0092630D" w:rsidRDefault="00DC0B38" w:rsidP="00270469">
            <w:pPr>
              <w:spacing w:line="360" w:lineRule="auto"/>
              <w:rPr>
                <w:rFonts w:ascii="Arial" w:hAnsi="Arial" w:cs="Arial"/>
              </w:rPr>
            </w:pPr>
            <w:r w:rsidRPr="0092630D">
              <w:rPr>
                <w:rFonts w:ascii="Arial" w:hAnsi="Arial" w:cs="Arial"/>
              </w:rPr>
              <w:t>Aflatoxins and impaired child growth.</w:t>
            </w:r>
          </w:p>
        </w:tc>
        <w:tc>
          <w:tcPr>
            <w:tcW w:w="0" w:type="auto"/>
          </w:tcPr>
          <w:p w:rsidR="00DC0B38" w:rsidRPr="0092630D" w:rsidRDefault="00DC0B38" w:rsidP="00270469">
            <w:pPr>
              <w:spacing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A1: Toxicity of aflatoxins to humans.</w:t>
            </w:r>
          </w:p>
          <w:p w:rsidR="00DC0B38" w:rsidRPr="0092630D" w:rsidRDefault="00DC0B38" w:rsidP="00270469">
            <w:pPr>
              <w:spacing w:line="360" w:lineRule="auto"/>
              <w:rPr>
                <w:rFonts w:ascii="Arial" w:hAnsi="Arial" w:cs="Arial"/>
              </w:rPr>
            </w:pPr>
            <w:r w:rsidRPr="0092630D">
              <w:rPr>
                <w:rFonts w:ascii="Arial" w:hAnsi="Arial" w:cs="Arial"/>
              </w:rPr>
              <w:t>A2: Implications for risk assessment.</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Consistent with the scientific literature.</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lastRenderedPageBreak/>
              <w:t>Haerani et al. 2020</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Impact of climate change on the future distribution of aflatoxin in peanuts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 xml:space="preserve">A2: Altered patterns of aflatoxin contamination may require re-evaluation of risk assessments. </w:t>
            </w:r>
          </w:p>
          <w:p w:rsidR="00DC0B38" w:rsidRPr="0092630D" w:rsidRDefault="00DC0B38" w:rsidP="00270469">
            <w:pPr>
              <w:spacing w:after="160" w:line="360" w:lineRule="auto"/>
              <w:rPr>
                <w:rFonts w:ascii="Arial" w:hAnsi="Arial" w:cs="Arial"/>
              </w:rPr>
            </w:pPr>
            <w:r w:rsidRPr="0092630D">
              <w:rPr>
                <w:rFonts w:ascii="Arial" w:hAnsi="Arial" w:cs="Arial"/>
              </w:rPr>
              <w:t>A4: This will have an economic impact in terms of mitigation strategies to meet regulatory limits.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Synthesis of data not documented. May be subject to bias.</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Henry et al. 1993</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US approach to risk assessment of aflatoxins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A2: Describes the common approach to the development of food standards using risk assessment, risk management and risk communication in the US. Same approach as Codex and EU.</w:t>
            </w:r>
          </w:p>
          <w:p w:rsidR="00DC0B38" w:rsidRPr="0092630D" w:rsidRDefault="00DC0B38" w:rsidP="00270469">
            <w:pPr>
              <w:spacing w:after="160" w:line="360" w:lineRule="auto"/>
              <w:rPr>
                <w:rFonts w:ascii="Arial" w:hAnsi="Arial" w:cs="Arial"/>
              </w:rPr>
            </w:pPr>
            <w:r w:rsidRPr="0092630D">
              <w:rPr>
                <w:rFonts w:ascii="Arial" w:hAnsi="Arial" w:cs="Arial"/>
              </w:rPr>
              <w:t>A3: Published scientific data on toxicokinetics and toxicity in experimental animals, humans, and farm and companion animals, analytical methods, occurrence data, and evaluations on human and animal exposure data are used in the risk assessments.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Synthesis of data not documented. May be subject to bias.</w:t>
            </w:r>
          </w:p>
          <w:p w:rsidR="00DC0B38" w:rsidRPr="0092630D" w:rsidRDefault="00DC0B38" w:rsidP="00270469">
            <w:pPr>
              <w:spacing w:after="160" w:line="360" w:lineRule="auto"/>
              <w:rPr>
                <w:rFonts w:ascii="Arial" w:hAnsi="Arial" w:cs="Arial"/>
              </w:rPr>
            </w:pPr>
            <w:r w:rsidRPr="0092630D">
              <w:rPr>
                <w:rFonts w:ascii="Arial" w:hAnsi="Arial" w:cs="Arial"/>
              </w:rPr>
              <w:t>Old.</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Huggett et al. 1998</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 xml:space="preserve">International use of risk analysis for </w:t>
            </w:r>
            <w:r w:rsidRPr="0092630D">
              <w:rPr>
                <w:rFonts w:ascii="Arial" w:hAnsi="Arial" w:cs="Arial"/>
              </w:rPr>
              <w:lastRenderedPageBreak/>
              <w:t>food contaminants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lastRenderedPageBreak/>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 xml:space="preserve">A2: Key step used to define food standards including differences </w:t>
            </w:r>
            <w:r w:rsidRPr="0092630D">
              <w:rPr>
                <w:rFonts w:ascii="Arial" w:hAnsi="Arial" w:cs="Arial"/>
              </w:rPr>
              <w:lastRenderedPageBreak/>
              <w:t>between the principles used by Codex and the EU.</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lastRenderedPageBreak/>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lastRenderedPageBreak/>
              <w:t>Synthesis of data not documented. May be subject to bias.</w:t>
            </w:r>
          </w:p>
          <w:p w:rsidR="00DC0B38" w:rsidRPr="0092630D" w:rsidRDefault="00DC0B38" w:rsidP="00270469">
            <w:pPr>
              <w:spacing w:after="160" w:line="360" w:lineRule="auto"/>
              <w:rPr>
                <w:rFonts w:ascii="Arial" w:hAnsi="Arial" w:cs="Arial"/>
              </w:rPr>
            </w:pPr>
            <w:r w:rsidRPr="0092630D">
              <w:rPr>
                <w:rFonts w:ascii="Arial" w:hAnsi="Arial" w:cs="Arial"/>
              </w:rPr>
              <w:t>Old.</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lastRenderedPageBreak/>
              <w:t>Jallow et al. 2021</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Occurrence and control of aflatoxin contamination in food products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A1: Toxicity of aflatoxins to humans and animals.</w:t>
            </w:r>
          </w:p>
          <w:p w:rsidR="00DC0B38" w:rsidRPr="0092630D" w:rsidRDefault="00DC0B38" w:rsidP="00270469">
            <w:pPr>
              <w:spacing w:after="160" w:line="360" w:lineRule="auto"/>
              <w:rPr>
                <w:rFonts w:ascii="Arial" w:hAnsi="Arial" w:cs="Arial"/>
              </w:rPr>
            </w:pPr>
            <w:r w:rsidRPr="0092630D">
              <w:rPr>
                <w:rFonts w:ascii="Arial" w:hAnsi="Arial" w:cs="Arial"/>
              </w:rPr>
              <w:t>A2: Procedures for establishing standards.</w:t>
            </w:r>
          </w:p>
          <w:p w:rsidR="00DC0B38" w:rsidRPr="0092630D" w:rsidRDefault="00DC0B38" w:rsidP="00270469">
            <w:pPr>
              <w:spacing w:after="160" w:line="360" w:lineRule="auto"/>
              <w:rPr>
                <w:rFonts w:ascii="Arial" w:hAnsi="Arial" w:cs="Arial"/>
              </w:rPr>
            </w:pPr>
            <w:r w:rsidRPr="0092630D">
              <w:rPr>
                <w:rFonts w:ascii="Arial" w:hAnsi="Arial" w:cs="Arial"/>
              </w:rPr>
              <w:t>A3: Data required to develop standards including occurrence data. Includes the analytical methodologies used to acquire this data.</w:t>
            </w:r>
          </w:p>
          <w:p w:rsidR="00DC0B38" w:rsidRPr="0092630D" w:rsidRDefault="00DC0B38" w:rsidP="00270469">
            <w:pPr>
              <w:spacing w:after="160" w:line="360" w:lineRule="auto"/>
              <w:rPr>
                <w:rFonts w:ascii="Arial" w:hAnsi="Arial" w:cs="Arial"/>
              </w:rPr>
            </w:pPr>
            <w:r w:rsidRPr="0092630D">
              <w:rPr>
                <w:rFonts w:ascii="Arial" w:hAnsi="Arial" w:cs="Arial"/>
              </w:rPr>
              <w:t>A4: Describes the impact of aflatoxin contamination on trade.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Synthesis of data not documented. May be subject to bias.</w:t>
            </w:r>
          </w:p>
          <w:p w:rsidR="00DC0B38" w:rsidRPr="0092630D" w:rsidRDefault="00DC0B38" w:rsidP="00270469">
            <w:pPr>
              <w:spacing w:after="160" w:line="360" w:lineRule="auto"/>
              <w:rPr>
                <w:rFonts w:ascii="Arial" w:hAnsi="Arial" w:cs="Arial"/>
              </w:rPr>
            </w:pPr>
          </w:p>
        </w:tc>
      </w:tr>
      <w:tr w:rsidR="00DC0B38" w:rsidRPr="0092630D" w:rsidTr="00270469">
        <w:tc>
          <w:tcPr>
            <w:tcW w:w="0" w:type="auto"/>
          </w:tcPr>
          <w:p w:rsidR="00DC0B38" w:rsidRPr="0092630D" w:rsidRDefault="00DC0B38" w:rsidP="00270469">
            <w:pPr>
              <w:spacing w:line="360" w:lineRule="auto"/>
              <w:rPr>
                <w:rFonts w:ascii="Arial" w:hAnsi="Arial" w:cs="Arial"/>
                <w:noProof/>
              </w:rPr>
            </w:pPr>
            <w:r w:rsidRPr="0092630D">
              <w:rPr>
                <w:rFonts w:ascii="Arial" w:hAnsi="Arial" w:cs="Arial"/>
                <w:noProof/>
              </w:rPr>
              <w:t>Khlangwiset et al. 2011</w:t>
            </w:r>
          </w:p>
        </w:tc>
        <w:tc>
          <w:tcPr>
            <w:tcW w:w="0" w:type="auto"/>
          </w:tcPr>
          <w:p w:rsidR="00DC0B38" w:rsidRPr="0092630D" w:rsidRDefault="00DC0B38" w:rsidP="00270469">
            <w:pPr>
              <w:spacing w:line="360" w:lineRule="auto"/>
              <w:rPr>
                <w:rFonts w:ascii="Arial" w:hAnsi="Arial" w:cs="Arial"/>
              </w:rPr>
            </w:pPr>
            <w:r w:rsidRPr="0092630D">
              <w:rPr>
                <w:rFonts w:ascii="Arial" w:hAnsi="Arial" w:cs="Arial"/>
              </w:rPr>
              <w:t>Aflatoxins and growth impairment</w:t>
            </w:r>
          </w:p>
        </w:tc>
        <w:tc>
          <w:tcPr>
            <w:tcW w:w="0" w:type="auto"/>
          </w:tcPr>
          <w:p w:rsidR="00DC0B38" w:rsidRPr="0092630D" w:rsidRDefault="00DC0B38" w:rsidP="00270469">
            <w:pPr>
              <w:spacing w:line="360" w:lineRule="auto"/>
              <w:rPr>
                <w:rFonts w:ascii="Arial" w:hAnsi="Arial" w:cs="Arial"/>
              </w:rPr>
            </w:pPr>
            <w:r w:rsidRPr="0092630D">
              <w:rPr>
                <w:rFonts w:ascii="Arial" w:hAnsi="Arial" w:cs="Arial"/>
              </w:rPr>
              <w:t>Review</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A1: Toxicity of aflatoxins to humans.</w:t>
            </w:r>
          </w:p>
          <w:p w:rsidR="00DC0B38" w:rsidRPr="0092630D" w:rsidRDefault="00DC0B38" w:rsidP="00270469">
            <w:pPr>
              <w:spacing w:line="360" w:lineRule="auto"/>
              <w:rPr>
                <w:rFonts w:ascii="Arial" w:hAnsi="Arial" w:cs="Arial"/>
              </w:rPr>
            </w:pPr>
            <w:r w:rsidRPr="0092630D">
              <w:rPr>
                <w:rFonts w:ascii="Arial" w:hAnsi="Arial" w:cs="Arial"/>
              </w:rPr>
              <w:t>A2: Implications for risk assessment.</w:t>
            </w:r>
          </w:p>
        </w:tc>
        <w:tc>
          <w:tcPr>
            <w:tcW w:w="0" w:type="auto"/>
          </w:tcPr>
          <w:p w:rsidR="00DC0B38" w:rsidRPr="0092630D" w:rsidRDefault="00DC0B38" w:rsidP="00270469">
            <w:pPr>
              <w:spacing w:line="360" w:lineRule="auto"/>
              <w:rPr>
                <w:rFonts w:ascii="Arial" w:hAnsi="Arial" w:cs="Arial"/>
              </w:rPr>
            </w:pPr>
            <w:r w:rsidRPr="0092630D">
              <w:rPr>
                <w:rFonts w:ascii="Arial" w:hAnsi="Arial" w:cs="Arial"/>
              </w:rPr>
              <w:t>Consistent with the scientific literature.</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Knutsen et al. 2018</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EFSA report on the impact of increasing the ML for total aflatoxins from 4 – 10 µg/kg</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A2: Highlights the different criteria used between JECFA and EFSA in assessing risk.</w:t>
            </w:r>
          </w:p>
          <w:p w:rsidR="00DC0B38" w:rsidRPr="0092630D" w:rsidRDefault="00DC0B38" w:rsidP="00270469">
            <w:pPr>
              <w:spacing w:after="160" w:line="360" w:lineRule="auto"/>
              <w:rPr>
                <w:rFonts w:ascii="Arial" w:hAnsi="Arial" w:cs="Arial"/>
              </w:rPr>
            </w:pPr>
            <w:r w:rsidRPr="0092630D">
              <w:rPr>
                <w:rFonts w:ascii="Arial" w:hAnsi="Arial" w:cs="Arial"/>
              </w:rPr>
              <w:t>A3: Different data used to assess dietary exposure.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One of the main bodies associated with risk assessments of food contaminants.</w:t>
            </w:r>
          </w:p>
          <w:p w:rsidR="00DC0B38" w:rsidRPr="0092630D" w:rsidRDefault="00DC0B38" w:rsidP="00270469">
            <w:pPr>
              <w:spacing w:after="160" w:line="360" w:lineRule="auto"/>
              <w:rPr>
                <w:rFonts w:ascii="Arial" w:hAnsi="Arial" w:cs="Arial"/>
              </w:rPr>
            </w:pP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lastRenderedPageBreak/>
              <w:t>Kumar and Popat 2010</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Farmers’ perception, knowledge and management of aflatoxin in peanuts in India</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Survey</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A5: Knowledge gaps exposed. Farmers need training to recognise contamination and mitigation strategies they can enact to reduce this.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Structured questionnaire. Statistical analysis.</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Ladeira et al. 2017</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One health approach to mycotoxins in Africa</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A4: Highlights the health impacts of aflatoxin consumption and the trade-off between food security and food safety.</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Synthesis of data not documented. May be subject to bias.</w:t>
            </w:r>
          </w:p>
          <w:p w:rsidR="00DC0B38" w:rsidRPr="0092630D" w:rsidRDefault="00DC0B38" w:rsidP="00270469">
            <w:pPr>
              <w:spacing w:after="160" w:line="360" w:lineRule="auto"/>
              <w:rPr>
                <w:rFonts w:ascii="Arial" w:hAnsi="Arial" w:cs="Arial"/>
              </w:rPr>
            </w:pP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Magan et al. 2011</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Effects of climate change on mycotoxin contamination of crops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A3: Climate change is having a profound effect on the production and distribution of mycotoxins in crops. This information is vital for the formation of food standards alongside other data.</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Synthesis of data not documented. May be subject to bias.</w:t>
            </w:r>
          </w:p>
          <w:p w:rsidR="00DC0B38" w:rsidRPr="0092630D" w:rsidRDefault="00DC0B38" w:rsidP="00270469">
            <w:pPr>
              <w:spacing w:after="160" w:line="360" w:lineRule="auto"/>
              <w:rPr>
                <w:rFonts w:ascii="Arial" w:hAnsi="Arial" w:cs="Arial"/>
              </w:rPr>
            </w:pPr>
            <w:r w:rsidRPr="0092630D">
              <w:rPr>
                <w:rFonts w:ascii="Arial" w:hAnsi="Arial" w:cs="Arial"/>
              </w:rPr>
              <w:t>Old.</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Mamo et al. 2020</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Occurrence and impacts of mycotoxins in Ethiopia.</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A4: Discusses the economic impacts of aflatoxins, health and trade.</w:t>
            </w:r>
          </w:p>
          <w:p w:rsidR="00DC0B38" w:rsidRPr="0092630D" w:rsidRDefault="00DC0B38" w:rsidP="00270469">
            <w:pPr>
              <w:spacing w:after="160" w:line="360" w:lineRule="auto"/>
              <w:rPr>
                <w:rFonts w:ascii="Arial" w:hAnsi="Arial" w:cs="Arial"/>
              </w:rPr>
            </w:pPr>
            <w:r w:rsidRPr="0092630D">
              <w:rPr>
                <w:rFonts w:ascii="Arial" w:hAnsi="Arial" w:cs="Arial"/>
              </w:rPr>
              <w:t xml:space="preserve">A5: Highlights the need to educate farmers as to the detrimental effects of aflatoxins, </w:t>
            </w:r>
            <w:r w:rsidRPr="0092630D">
              <w:rPr>
                <w:rFonts w:ascii="Arial" w:hAnsi="Arial" w:cs="Arial"/>
              </w:rPr>
              <w:lastRenderedPageBreak/>
              <w:t>prevention and mitigations strategies.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lastRenderedPageBreak/>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Synthesis of data not documented. May be subject to bias.</w:t>
            </w:r>
          </w:p>
          <w:p w:rsidR="00DC0B38" w:rsidRPr="0092630D" w:rsidRDefault="00DC0B38" w:rsidP="00270469">
            <w:pPr>
              <w:spacing w:after="160" w:line="360" w:lineRule="auto"/>
              <w:rPr>
                <w:rFonts w:ascii="Arial" w:hAnsi="Arial" w:cs="Arial"/>
              </w:rPr>
            </w:pP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Marroquín-Cardona et al. 2014</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Mycotoxins in a changing global environment</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 xml:space="preserve">A2: Altered patterns of aflatoxin contamination may require re-evaluation of risk assessments. </w:t>
            </w:r>
          </w:p>
          <w:p w:rsidR="00DC0B38" w:rsidRPr="0092630D" w:rsidRDefault="00DC0B38" w:rsidP="00270469">
            <w:pPr>
              <w:spacing w:after="160" w:line="360" w:lineRule="auto"/>
              <w:rPr>
                <w:rFonts w:ascii="Arial" w:hAnsi="Arial" w:cs="Arial"/>
              </w:rPr>
            </w:pPr>
            <w:r w:rsidRPr="0092630D">
              <w:rPr>
                <w:rFonts w:ascii="Arial" w:hAnsi="Arial" w:cs="Arial"/>
              </w:rPr>
              <w:t>A4: This will have an economic impact in terms of mitigation strategies to meet regulatory limits.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Synthesis of data not documented. May be subject to bias.</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Marshall et al. 2020</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Decontamination strategies for aflatoxins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A2: Mitigation strategies to reduce contamination levels.</w:t>
            </w:r>
          </w:p>
          <w:p w:rsidR="00DC0B38" w:rsidRPr="0092630D" w:rsidRDefault="00DC0B38" w:rsidP="00270469">
            <w:pPr>
              <w:spacing w:after="160" w:line="360" w:lineRule="auto"/>
              <w:rPr>
                <w:rFonts w:ascii="Arial" w:hAnsi="Arial" w:cs="Arial"/>
              </w:rPr>
            </w:pPr>
            <w:r w:rsidRPr="0092630D">
              <w:rPr>
                <w:rFonts w:ascii="Arial" w:hAnsi="Arial" w:cs="Arial"/>
              </w:rPr>
              <w:t>A4: Any reduction in contamination will reduce the economic burden of aflatoxins.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Synthesis of data not documented. May be subject to bias.</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Matumba et al. 2017</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Impact of mycotoxin regulations in Africa</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A4: Highlights the health impacts of aflatoxin consumption and the trade-off between food security and food safety. Impact of increased contamination levels, lack of regulatory control and lack of mitigation knowledge.</w:t>
            </w:r>
          </w:p>
          <w:p w:rsidR="00DC0B38" w:rsidRPr="0092630D" w:rsidRDefault="00DC0B38" w:rsidP="00270469">
            <w:pPr>
              <w:spacing w:after="160" w:line="360" w:lineRule="auto"/>
              <w:rPr>
                <w:rFonts w:ascii="Arial" w:hAnsi="Arial" w:cs="Arial"/>
              </w:rPr>
            </w:pPr>
            <w:r w:rsidRPr="0092630D">
              <w:rPr>
                <w:rFonts w:ascii="Arial" w:hAnsi="Arial" w:cs="Arial"/>
              </w:rPr>
              <w:t xml:space="preserve">A5: Farmers’ lack of knowledge in relation to mitigation strategies.  </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Synthesis of data not documented. May be subject to bias.</w:t>
            </w:r>
          </w:p>
        </w:tc>
      </w:tr>
      <w:tr w:rsidR="00DC0B38" w:rsidRPr="0092630D" w:rsidTr="00270469">
        <w:tc>
          <w:tcPr>
            <w:tcW w:w="0" w:type="auto"/>
          </w:tcPr>
          <w:p w:rsidR="00DC0B38" w:rsidRPr="0092630D" w:rsidRDefault="00DC0B38" w:rsidP="00270469">
            <w:pPr>
              <w:spacing w:line="360" w:lineRule="auto"/>
              <w:rPr>
                <w:rFonts w:ascii="Arial" w:hAnsi="Arial" w:cs="Arial"/>
                <w:noProof/>
              </w:rPr>
            </w:pPr>
            <w:r w:rsidRPr="0092630D">
              <w:rPr>
                <w:rFonts w:ascii="Arial" w:hAnsi="Arial" w:cs="Arial"/>
                <w:noProof/>
              </w:rPr>
              <w:lastRenderedPageBreak/>
              <w:t>Medina et al. 2017</w:t>
            </w:r>
          </w:p>
        </w:tc>
        <w:tc>
          <w:tcPr>
            <w:tcW w:w="0" w:type="auto"/>
          </w:tcPr>
          <w:p w:rsidR="00DC0B38" w:rsidRPr="0092630D" w:rsidRDefault="00DC0B38" w:rsidP="00270469">
            <w:pPr>
              <w:spacing w:line="360" w:lineRule="auto"/>
              <w:rPr>
                <w:rFonts w:ascii="Arial" w:hAnsi="Arial" w:cs="Arial"/>
              </w:rPr>
            </w:pPr>
            <w:r w:rsidRPr="0092630D">
              <w:rPr>
                <w:rFonts w:ascii="Arial" w:hAnsi="Arial" w:cs="Arial"/>
              </w:rPr>
              <w:t>Impact of global warming on mycotoxins</w:t>
            </w:r>
          </w:p>
        </w:tc>
        <w:tc>
          <w:tcPr>
            <w:tcW w:w="0" w:type="auto"/>
          </w:tcPr>
          <w:p w:rsidR="00DC0B38" w:rsidRPr="0092630D" w:rsidRDefault="00DC0B38" w:rsidP="00270469">
            <w:pPr>
              <w:spacing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line="360" w:lineRule="auto"/>
              <w:rPr>
                <w:rFonts w:ascii="Arial" w:hAnsi="Arial" w:cs="Arial"/>
              </w:rPr>
            </w:pPr>
            <w:r w:rsidRPr="0092630D">
              <w:rPr>
                <w:rFonts w:ascii="Arial" w:hAnsi="Arial" w:cs="Arial"/>
              </w:rPr>
              <w:t>A3: Climate change is having a profound effect on the production and distribution of mycotoxins in crops. This information is vital for the formation of food standards alongside other data.</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Consistent with the scientific literature.</w:t>
            </w:r>
          </w:p>
          <w:p w:rsidR="00DC0B38" w:rsidRPr="0092630D" w:rsidRDefault="00DC0B38" w:rsidP="00270469">
            <w:pPr>
              <w:spacing w:line="360" w:lineRule="auto"/>
              <w:rPr>
                <w:rFonts w:ascii="Arial" w:hAnsi="Arial" w:cs="Arial"/>
              </w:rPr>
            </w:pPr>
            <w:r w:rsidRPr="0092630D">
              <w:rPr>
                <w:rFonts w:ascii="Arial" w:hAnsi="Arial" w:cs="Arial"/>
              </w:rPr>
              <w:t>Synthesis of data not documented. May be subject to bias.</w:t>
            </w:r>
          </w:p>
        </w:tc>
      </w:tr>
      <w:tr w:rsidR="00DC0B38" w:rsidRPr="0092630D" w:rsidTr="00270469">
        <w:tc>
          <w:tcPr>
            <w:tcW w:w="0" w:type="auto"/>
          </w:tcPr>
          <w:p w:rsidR="00DC0B38" w:rsidRPr="0092630D" w:rsidRDefault="00DC0B38" w:rsidP="00270469">
            <w:pPr>
              <w:spacing w:line="360" w:lineRule="auto"/>
              <w:rPr>
                <w:rFonts w:ascii="Arial" w:hAnsi="Arial" w:cs="Arial"/>
                <w:noProof/>
              </w:rPr>
            </w:pPr>
            <w:r w:rsidRPr="0092630D">
              <w:rPr>
                <w:rFonts w:ascii="Arial" w:hAnsi="Arial" w:cs="Arial"/>
                <w:noProof/>
              </w:rPr>
              <w:t>Meijer et al. 2021</w:t>
            </w:r>
          </w:p>
        </w:tc>
        <w:tc>
          <w:tcPr>
            <w:tcW w:w="0" w:type="auto"/>
          </w:tcPr>
          <w:p w:rsidR="00DC0B38" w:rsidRPr="0092630D" w:rsidRDefault="00DC0B38" w:rsidP="00270469">
            <w:pPr>
              <w:spacing w:line="360" w:lineRule="auto"/>
              <w:rPr>
                <w:rFonts w:ascii="Arial" w:hAnsi="Arial" w:cs="Arial"/>
              </w:rPr>
            </w:pPr>
            <w:r w:rsidRPr="0092630D">
              <w:rPr>
                <w:rFonts w:ascii="Arial" w:hAnsi="Arial" w:cs="Arial"/>
              </w:rPr>
              <w:t>The aflatoxin situation in Africa</w:t>
            </w:r>
          </w:p>
        </w:tc>
        <w:tc>
          <w:tcPr>
            <w:tcW w:w="0" w:type="auto"/>
          </w:tcPr>
          <w:p w:rsidR="00DC0B38" w:rsidRPr="0092630D" w:rsidRDefault="00DC0B38" w:rsidP="00270469">
            <w:pPr>
              <w:spacing w:line="360" w:lineRule="auto"/>
              <w:rPr>
                <w:rFonts w:ascii="Arial" w:hAnsi="Arial" w:cs="Arial"/>
              </w:rPr>
            </w:pPr>
            <w:r w:rsidRPr="0092630D">
              <w:rPr>
                <w:rFonts w:ascii="Arial" w:hAnsi="Arial" w:cs="Arial"/>
              </w:rPr>
              <w:t>Systematic Review</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A2: Highlights lack of data for meaningful risk assessments.</w:t>
            </w:r>
          </w:p>
          <w:p w:rsidR="00DC0B38" w:rsidRPr="0092630D" w:rsidRDefault="00DC0B38" w:rsidP="00270469">
            <w:pPr>
              <w:spacing w:after="160" w:line="360" w:lineRule="auto"/>
              <w:rPr>
                <w:rFonts w:ascii="Arial" w:hAnsi="Arial" w:cs="Arial"/>
              </w:rPr>
            </w:pPr>
            <w:r w:rsidRPr="0092630D">
              <w:rPr>
                <w:rFonts w:ascii="Arial" w:hAnsi="Arial" w:cs="Arial"/>
              </w:rPr>
              <w:t>A5: Highlights the need to educate farmers as to the detrimental effects of aflatoxins, prevention and mitigations strategies.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Consistent with the scientific literature.</w:t>
            </w:r>
          </w:p>
          <w:p w:rsidR="00DC0B38" w:rsidRPr="0092630D" w:rsidRDefault="00DC0B38" w:rsidP="00270469">
            <w:pPr>
              <w:spacing w:line="360" w:lineRule="auto"/>
              <w:rPr>
                <w:rFonts w:ascii="Arial" w:hAnsi="Arial" w:cs="Arial"/>
              </w:rPr>
            </w:pP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Moretti et al. 2017</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The role of mycotoxins in food safety</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A4: Highlights the impact of increased contamination levels, lack of regulatory control and lack of mitigation knowledge.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Synthesis of data not documented. May be subject to bias.</w:t>
            </w:r>
          </w:p>
        </w:tc>
      </w:tr>
      <w:tr w:rsidR="00DC0B38" w:rsidRPr="0092630D" w:rsidTr="00270469">
        <w:tc>
          <w:tcPr>
            <w:tcW w:w="0" w:type="auto"/>
          </w:tcPr>
          <w:p w:rsidR="00DC0B38" w:rsidRPr="0092630D" w:rsidRDefault="00DC0B38" w:rsidP="00270469">
            <w:pPr>
              <w:spacing w:line="360" w:lineRule="auto"/>
              <w:rPr>
                <w:rFonts w:ascii="Arial" w:hAnsi="Arial" w:cs="Arial"/>
                <w:noProof/>
              </w:rPr>
            </w:pPr>
            <w:r w:rsidRPr="0092630D">
              <w:rPr>
                <w:rFonts w:ascii="Arial" w:hAnsi="Arial" w:cs="Arial"/>
                <w:noProof/>
              </w:rPr>
              <w:t>Mupunga et al. 2017</w:t>
            </w:r>
          </w:p>
        </w:tc>
        <w:tc>
          <w:tcPr>
            <w:tcW w:w="0" w:type="auto"/>
          </w:tcPr>
          <w:p w:rsidR="00DC0B38" w:rsidRPr="0092630D" w:rsidRDefault="00DC0B38" w:rsidP="00270469">
            <w:pPr>
              <w:spacing w:line="360" w:lineRule="auto"/>
              <w:rPr>
                <w:rFonts w:ascii="Arial" w:hAnsi="Arial" w:cs="Arial"/>
              </w:rPr>
            </w:pPr>
            <w:r w:rsidRPr="0092630D">
              <w:rPr>
                <w:rFonts w:ascii="Arial" w:hAnsi="Arial" w:cs="Arial"/>
              </w:rPr>
              <w:t>Peanuts, Aflatoxins and Undernutrition in Children in Sub-Saharan Africa</w:t>
            </w:r>
          </w:p>
        </w:tc>
        <w:tc>
          <w:tcPr>
            <w:tcW w:w="0" w:type="auto"/>
          </w:tcPr>
          <w:p w:rsidR="00DC0B38" w:rsidRPr="0092630D" w:rsidRDefault="00DC0B38" w:rsidP="00270469">
            <w:pPr>
              <w:spacing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A1: Toxicity of aflatoxins to humans.</w:t>
            </w:r>
          </w:p>
          <w:p w:rsidR="00DC0B38" w:rsidRPr="0092630D" w:rsidRDefault="00DC0B38" w:rsidP="00270469">
            <w:pPr>
              <w:spacing w:line="360" w:lineRule="auto"/>
              <w:rPr>
                <w:rFonts w:ascii="Arial" w:hAnsi="Arial" w:cs="Arial"/>
              </w:rPr>
            </w:pPr>
            <w:r w:rsidRPr="0092630D">
              <w:rPr>
                <w:rFonts w:ascii="Arial" w:hAnsi="Arial" w:cs="Arial"/>
              </w:rPr>
              <w:t>A2: Implications for risk assessment.</w:t>
            </w:r>
          </w:p>
        </w:tc>
        <w:tc>
          <w:tcPr>
            <w:tcW w:w="0" w:type="auto"/>
          </w:tcPr>
          <w:p w:rsidR="00DC0B38" w:rsidRPr="0092630D" w:rsidRDefault="00DC0B38" w:rsidP="00270469">
            <w:pPr>
              <w:spacing w:line="360" w:lineRule="auto"/>
              <w:rPr>
                <w:rFonts w:ascii="Arial" w:hAnsi="Arial" w:cs="Arial"/>
              </w:rPr>
            </w:pPr>
            <w:r w:rsidRPr="0092630D">
              <w:rPr>
                <w:rFonts w:ascii="Arial" w:hAnsi="Arial" w:cs="Arial"/>
              </w:rPr>
              <w:t>Consistent with the scientific literature.</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Norlia et al. 2019</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 xml:space="preserve">Occurrence, detection and identification of aflatoxins in peanuts and </w:t>
            </w:r>
            <w:r w:rsidRPr="0092630D">
              <w:rPr>
                <w:rFonts w:ascii="Arial" w:hAnsi="Arial" w:cs="Arial"/>
              </w:rPr>
              <w:lastRenderedPageBreak/>
              <w:t>peanut products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lastRenderedPageBreak/>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A1: Toxicity of aflatoxins to humans and animals.</w:t>
            </w:r>
          </w:p>
          <w:p w:rsidR="00DC0B38" w:rsidRPr="0092630D" w:rsidRDefault="00DC0B38" w:rsidP="00270469">
            <w:pPr>
              <w:spacing w:after="160" w:line="360" w:lineRule="auto"/>
              <w:rPr>
                <w:rFonts w:ascii="Arial" w:hAnsi="Arial" w:cs="Arial"/>
              </w:rPr>
            </w:pPr>
            <w:r w:rsidRPr="0092630D">
              <w:rPr>
                <w:rFonts w:ascii="Arial" w:hAnsi="Arial" w:cs="Arial"/>
              </w:rPr>
              <w:lastRenderedPageBreak/>
              <w:t xml:space="preserve">Background information on peanuts and peanut production. </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lastRenderedPageBreak/>
              <w:t>Synthesis of data not documented. May be subject to bias.</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O'Brien et al. 2006</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Risk assessment of genotoxic carcinogens in food</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 xml:space="preserve">A2: Approaches to risk assessment for contaminants in foods. </w:t>
            </w:r>
          </w:p>
          <w:p w:rsidR="00DC0B38" w:rsidRPr="0092630D" w:rsidRDefault="00DC0B38" w:rsidP="00270469">
            <w:pPr>
              <w:spacing w:after="160" w:line="360" w:lineRule="auto"/>
              <w:rPr>
                <w:rFonts w:ascii="Arial" w:hAnsi="Arial" w:cs="Arial"/>
              </w:rPr>
            </w:pPr>
            <w:r w:rsidRPr="0092630D">
              <w:rPr>
                <w:rFonts w:ascii="Arial" w:hAnsi="Arial" w:cs="Arial"/>
              </w:rPr>
              <w:t xml:space="preserve">A3: Potency and exposure are not accounted for with ALARA. </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Main bodies associated with risk assessments of food contaminants.</w:t>
            </w:r>
          </w:p>
          <w:p w:rsidR="00DC0B38" w:rsidRPr="0092630D" w:rsidRDefault="00DC0B38" w:rsidP="00270469">
            <w:pPr>
              <w:spacing w:after="160" w:line="360" w:lineRule="auto"/>
              <w:rPr>
                <w:rFonts w:ascii="Arial" w:hAnsi="Arial" w:cs="Arial"/>
              </w:rPr>
            </w:pPr>
            <w:r w:rsidRPr="0092630D">
              <w:rPr>
                <w:rFonts w:ascii="Arial" w:hAnsi="Arial" w:cs="Arial"/>
              </w:rPr>
              <w:t>Discussions based on the available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Old.</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Otsuki et al. 2001</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Study of the economic impact of regulatory limits for the African peanut trade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Economic model</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 xml:space="preserve">A4: Stricter regulation in Europe will lead to reduced trade flow when compared to following Codex standards. </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 xml:space="preserve">Model used. </w:t>
            </w:r>
          </w:p>
          <w:p w:rsidR="00DC0B38" w:rsidRPr="0092630D" w:rsidRDefault="00DC0B38" w:rsidP="00270469">
            <w:pPr>
              <w:spacing w:after="160" w:line="360" w:lineRule="auto"/>
              <w:rPr>
                <w:rFonts w:ascii="Arial" w:hAnsi="Arial" w:cs="Arial"/>
              </w:rPr>
            </w:pPr>
            <w:r w:rsidRPr="0092630D">
              <w:rPr>
                <w:rFonts w:ascii="Arial" w:hAnsi="Arial" w:cs="Arial"/>
              </w:rPr>
              <w:t xml:space="preserve">Confounding variables accounted for. </w:t>
            </w:r>
          </w:p>
          <w:p w:rsidR="00DC0B38" w:rsidRPr="0092630D" w:rsidRDefault="00DC0B38" w:rsidP="00270469">
            <w:pPr>
              <w:spacing w:after="160" w:line="360" w:lineRule="auto"/>
              <w:rPr>
                <w:rFonts w:ascii="Arial" w:hAnsi="Arial" w:cs="Arial"/>
              </w:rPr>
            </w:pPr>
            <w:r w:rsidRPr="0092630D">
              <w:rPr>
                <w:rFonts w:ascii="Arial" w:hAnsi="Arial" w:cs="Arial"/>
              </w:rPr>
              <w:t>Quantitative study.</w:t>
            </w:r>
          </w:p>
          <w:p w:rsidR="00DC0B38" w:rsidRPr="0092630D" w:rsidRDefault="00DC0B38" w:rsidP="00270469">
            <w:pPr>
              <w:spacing w:after="160" w:line="360" w:lineRule="auto"/>
              <w:rPr>
                <w:rFonts w:ascii="Arial" w:hAnsi="Arial" w:cs="Arial"/>
              </w:rPr>
            </w:pPr>
            <w:r w:rsidRPr="0092630D">
              <w:rPr>
                <w:rFonts w:ascii="Arial" w:hAnsi="Arial" w:cs="Arial"/>
              </w:rPr>
              <w:t>Old.</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Park and Stoloff 1989</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Risk management of aflatoxin by the FDA</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A2: Describes the common approach to the development of food standards using risk assessment, risk management and risk communication in the US. Same approach as Codex and EU.</w:t>
            </w:r>
          </w:p>
          <w:p w:rsidR="00DC0B38" w:rsidRPr="0092630D" w:rsidRDefault="00DC0B38" w:rsidP="00270469">
            <w:pPr>
              <w:spacing w:after="160" w:line="360" w:lineRule="auto"/>
              <w:rPr>
                <w:rFonts w:ascii="Arial" w:hAnsi="Arial" w:cs="Arial"/>
              </w:rPr>
            </w:pPr>
            <w:r w:rsidRPr="0092630D">
              <w:rPr>
                <w:rFonts w:ascii="Arial" w:hAnsi="Arial" w:cs="Arial"/>
              </w:rPr>
              <w:t xml:space="preserve">A3: Published scientific data on toxicokinetics and toxicity in experimental animals, humans, and farm and </w:t>
            </w:r>
            <w:r w:rsidRPr="0092630D">
              <w:rPr>
                <w:rFonts w:ascii="Arial" w:hAnsi="Arial" w:cs="Arial"/>
              </w:rPr>
              <w:lastRenderedPageBreak/>
              <w:t>companion animals, analytical methods, occurrence data, and evaluations on human and animal exposure data are used in the risk assessments.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lastRenderedPageBreak/>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Synthesis of data not documented. May be subject to bias.</w:t>
            </w:r>
          </w:p>
          <w:p w:rsidR="00DC0B38" w:rsidRPr="0092630D" w:rsidRDefault="00DC0B38" w:rsidP="00270469">
            <w:pPr>
              <w:spacing w:after="160" w:line="360" w:lineRule="auto"/>
              <w:rPr>
                <w:rFonts w:ascii="Arial" w:hAnsi="Arial" w:cs="Arial"/>
              </w:rPr>
            </w:pPr>
            <w:r w:rsidRPr="0092630D">
              <w:rPr>
                <w:rFonts w:ascii="Arial" w:hAnsi="Arial" w:cs="Arial"/>
              </w:rPr>
              <w:t>Old.</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Richard 2008</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History of aflatoxins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Background information on aflatoxins.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Synthesis of data not documented. May be subject to bias.</w:t>
            </w:r>
          </w:p>
          <w:p w:rsidR="00DC0B38" w:rsidRPr="0092630D" w:rsidRDefault="00DC0B38" w:rsidP="00270469">
            <w:pPr>
              <w:spacing w:after="160" w:line="360" w:lineRule="auto"/>
              <w:rPr>
                <w:rFonts w:ascii="Arial" w:hAnsi="Arial" w:cs="Arial"/>
              </w:rPr>
            </w:pPr>
            <w:r w:rsidRPr="0092630D">
              <w:rPr>
                <w:rFonts w:ascii="Arial" w:hAnsi="Arial" w:cs="Arial"/>
              </w:rPr>
              <w:t>Old.</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Robens and Cardwell 2003</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Cost of mycotoxin management in the US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A4: Economic losses associated with aflatoxin contamination of peanuts.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Synthesis of data not documented. May be subject to bias.</w:t>
            </w:r>
          </w:p>
          <w:p w:rsidR="00DC0B38" w:rsidRPr="0092630D" w:rsidRDefault="00DC0B38" w:rsidP="00270469">
            <w:pPr>
              <w:spacing w:after="160" w:line="360" w:lineRule="auto"/>
              <w:rPr>
                <w:rFonts w:ascii="Arial" w:hAnsi="Arial" w:cs="Arial"/>
              </w:rPr>
            </w:pPr>
            <w:r w:rsidRPr="0092630D">
              <w:rPr>
                <w:rFonts w:ascii="Arial" w:hAnsi="Arial" w:cs="Arial"/>
              </w:rPr>
              <w:t>Old.</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Scussel 2004</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South American perspective on aflatoxins and food safety</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A3: lack of exposure data in these countries to assess the risk accurately.</w:t>
            </w:r>
          </w:p>
          <w:p w:rsidR="00DC0B38" w:rsidRPr="0092630D" w:rsidRDefault="00DC0B38" w:rsidP="00270469">
            <w:pPr>
              <w:spacing w:after="160" w:line="360" w:lineRule="auto"/>
              <w:rPr>
                <w:rFonts w:ascii="Arial" w:hAnsi="Arial" w:cs="Arial"/>
              </w:rPr>
            </w:pPr>
            <w:r w:rsidRPr="0092630D">
              <w:rPr>
                <w:rFonts w:ascii="Arial" w:hAnsi="Arial" w:cs="Arial"/>
              </w:rPr>
              <w:t xml:space="preserve">A4: Highlights the health impacts of aflatoxin consumption and the trade-off </w:t>
            </w:r>
            <w:r w:rsidRPr="0092630D">
              <w:rPr>
                <w:rFonts w:ascii="Arial" w:hAnsi="Arial" w:cs="Arial"/>
              </w:rPr>
              <w:lastRenderedPageBreak/>
              <w:t>between food security and food safety.</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lastRenderedPageBreak/>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Synthesis of data not documented. May be subject to bias.</w:t>
            </w:r>
          </w:p>
          <w:p w:rsidR="00DC0B38" w:rsidRPr="0092630D" w:rsidRDefault="00DC0B38" w:rsidP="00270469">
            <w:pPr>
              <w:spacing w:after="160" w:line="360" w:lineRule="auto"/>
              <w:rPr>
                <w:rFonts w:ascii="Arial" w:hAnsi="Arial" w:cs="Arial"/>
              </w:rPr>
            </w:pPr>
            <w:r w:rsidRPr="0092630D">
              <w:rPr>
                <w:rFonts w:ascii="Arial" w:hAnsi="Arial" w:cs="Arial"/>
              </w:rPr>
              <w:t>Old.</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Shephard 2003</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African perspective on aflatoxins and food safety</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A4: Highlights the health impacts of aflatoxin consumption and the trade-off between food security and food safety. Impact of increased contamination levels due to climatic conditions and the lack of regulatory control.</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Synthesis of data not documented. May be subject to bias.</w:t>
            </w:r>
          </w:p>
          <w:p w:rsidR="00DC0B38" w:rsidRPr="0092630D" w:rsidRDefault="00DC0B38" w:rsidP="00270469">
            <w:pPr>
              <w:spacing w:after="160" w:line="360" w:lineRule="auto"/>
              <w:rPr>
                <w:rFonts w:ascii="Arial" w:hAnsi="Arial" w:cs="Arial"/>
              </w:rPr>
            </w:pPr>
            <w:r w:rsidRPr="0092630D">
              <w:rPr>
                <w:rFonts w:ascii="Arial" w:hAnsi="Arial" w:cs="Arial"/>
              </w:rPr>
              <w:t>Old.</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Shephard 2008</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Risk assessment of aflatoxins in food in Africa</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A4: Lack of regulatory control.</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Synthesis of data not documented. May be subject to bias.</w:t>
            </w:r>
          </w:p>
          <w:p w:rsidR="00DC0B38" w:rsidRPr="0092630D" w:rsidRDefault="00DC0B38" w:rsidP="00270469">
            <w:pPr>
              <w:spacing w:after="160" w:line="360" w:lineRule="auto"/>
              <w:rPr>
                <w:rFonts w:ascii="Arial" w:hAnsi="Arial" w:cs="Arial"/>
              </w:rPr>
            </w:pPr>
            <w:r w:rsidRPr="0092630D">
              <w:rPr>
                <w:rFonts w:ascii="Arial" w:hAnsi="Arial" w:cs="Arial"/>
              </w:rPr>
              <w:t>Old.</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Sirma et al. 2018</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Health impacts of regulations on aflatoxins in Kenya</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A4: Lack of regulatory control.</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Synthesis of data not documented. May be subject to bias.</w:t>
            </w:r>
          </w:p>
          <w:p w:rsidR="00DC0B38" w:rsidRPr="0092630D" w:rsidRDefault="00DC0B38" w:rsidP="00270469">
            <w:pPr>
              <w:spacing w:after="160" w:line="360" w:lineRule="auto"/>
              <w:rPr>
                <w:rFonts w:ascii="Arial" w:hAnsi="Arial" w:cs="Arial"/>
              </w:rPr>
            </w:pP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Songsermsakul 2015</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Mycotoxin contamination in Thailand</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 xml:space="preserve">A3: Lack of relevant data to ensure accurate risk assessment and </w:t>
            </w:r>
            <w:r w:rsidRPr="0092630D">
              <w:rPr>
                <w:rFonts w:ascii="Arial" w:hAnsi="Arial" w:cs="Arial"/>
              </w:rPr>
              <w:lastRenderedPageBreak/>
              <w:t>management of mycotoxins.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lastRenderedPageBreak/>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lastRenderedPageBreak/>
              <w:t>Synthesis of data not documented. May be subject to bias.</w:t>
            </w:r>
          </w:p>
          <w:p w:rsidR="00DC0B38" w:rsidRPr="0092630D" w:rsidRDefault="00DC0B38" w:rsidP="00270469">
            <w:pPr>
              <w:spacing w:after="160" w:line="360" w:lineRule="auto"/>
              <w:rPr>
                <w:rFonts w:ascii="Arial" w:hAnsi="Arial" w:cs="Arial"/>
              </w:rPr>
            </w:pP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lastRenderedPageBreak/>
              <w:t>Stepman 2018</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Role of social sciences in aflatoxin research</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A5: Highlights the need to educate farmers as to the detrimental effects of aflatoxins, prevention and mitigations strategies.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Synthesis of data not documented. May be subject to bias.</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Sugita-Konishi et al. 2010</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Risk assessment for aflatoxin B1 in Japan</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 xml:space="preserve">A4: Aflatoxin standards are protective of health and the risk of HCC. </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Synthesis of data not documented. May be subject to bias.</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Udomkun et al. 2017</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Study of the present situation, impact, awareness and outlook of mycotoxins in Sub-Saharan Africa</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A4: Lack of regulatory control. Impact of the control of mycotoxins to meet regulations must be considered.</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Synthesis of data not documented. May be subject to bias.</w:t>
            </w:r>
          </w:p>
        </w:tc>
      </w:tr>
      <w:tr w:rsidR="00DC0B38" w:rsidRPr="0092630D" w:rsidTr="00270469">
        <w:tc>
          <w:tcPr>
            <w:tcW w:w="0" w:type="auto"/>
          </w:tcPr>
          <w:p w:rsidR="00DC0B38" w:rsidRPr="0092630D" w:rsidRDefault="00DC0B38" w:rsidP="00270469">
            <w:pPr>
              <w:spacing w:after="160" w:line="360" w:lineRule="auto"/>
              <w:rPr>
                <w:rFonts w:ascii="Arial" w:hAnsi="Arial" w:cs="Arial"/>
                <w:lang w:val="de-AT"/>
              </w:rPr>
            </w:pPr>
            <w:r w:rsidRPr="0092630D">
              <w:rPr>
                <w:rFonts w:ascii="Arial" w:hAnsi="Arial" w:cs="Arial"/>
                <w:noProof/>
                <w:lang w:val="de-AT"/>
              </w:rPr>
              <w:t>Van Der Fels-Klerx et al. 2016</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Modelling the impact of climate change on mycotoxins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 xml:space="preserve">A3: Climate change is having a profound effect on the production and distribution of mycotoxins in crops. </w:t>
            </w:r>
            <w:r w:rsidRPr="0092630D">
              <w:rPr>
                <w:rFonts w:ascii="Arial" w:hAnsi="Arial" w:cs="Arial"/>
              </w:rPr>
              <w:lastRenderedPageBreak/>
              <w:t>This information is vital for the formation of food standards alongside other data.</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lastRenderedPageBreak/>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 xml:space="preserve">Synthesis of data not documented. </w:t>
            </w:r>
            <w:r w:rsidRPr="0092630D">
              <w:rPr>
                <w:rFonts w:ascii="Arial" w:hAnsi="Arial" w:cs="Arial"/>
              </w:rPr>
              <w:lastRenderedPageBreak/>
              <w:t>May be subject to bias.</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lastRenderedPageBreak/>
              <w:t>Van Egmond and Jonker 2004</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Worldwide regulations on mycotoxins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A1: Food safety standards establishment driven by the need to protect human and animal health. The number of countries enforcing regulations has grown over time.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Synthesis of data not documented. May be subject to bias.</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Van Egmond et al. 2007</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Mycotoxin regulations, a global and EU perspective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A3: Describes the risk analysis protocol. Includes the assessment of toxicological data, exposure data, knowledge of the concentration distributions in commodities or lots, what analytical methodologies are available, legislation adopted by trading partners and the need for food security. Discusses sampling, a vital component of analysis.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Synthesis of data not documented. May be subject to bias.</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lastRenderedPageBreak/>
              <w:t>Wambui et al. 2016</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Aflatoxin contamination management – a climate change perspective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A3: Forecasting future aflatoxin contamination in Kenya. This data is vital for risk assessments.</w:t>
            </w:r>
          </w:p>
          <w:p w:rsidR="00DC0B38" w:rsidRPr="0092630D" w:rsidRDefault="00DC0B38" w:rsidP="00270469">
            <w:pPr>
              <w:spacing w:after="160" w:line="360" w:lineRule="auto"/>
              <w:rPr>
                <w:rFonts w:ascii="Arial" w:hAnsi="Arial" w:cs="Arial"/>
              </w:rPr>
            </w:pPr>
            <w:r w:rsidRPr="0092630D">
              <w:rPr>
                <w:rFonts w:ascii="Arial" w:hAnsi="Arial" w:cs="Arial"/>
              </w:rPr>
              <w:t>A4: The biggest impact of aflatoxin contamination is seen in developing countries. To reduce this, crop management, adaptation and mitigation strategies will become increasingly important.</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Synthesis of data not documented. May be subject to bias.</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Warnatzsch et al. 2020</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Impact of climate change on aflatoxin contamination in maize in Malawi.</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A3: Increase aflatoxin contamination likely due to climate change. This data is vital for risk assessments.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Synthesis of data not documented. May be subject to bias.</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Wilson et al. 2002</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 xml:space="preserve">Mycotoxigenic </w:t>
            </w:r>
            <w:r w:rsidRPr="0092630D">
              <w:rPr>
                <w:rFonts w:ascii="Arial" w:hAnsi="Arial" w:cs="Arial"/>
                <w:i/>
              </w:rPr>
              <w:t>Aspergillus</w:t>
            </w:r>
            <w:r w:rsidRPr="0092630D">
              <w:rPr>
                <w:rFonts w:ascii="Arial" w:hAnsi="Arial" w:cs="Arial"/>
              </w:rPr>
              <w:t xml:space="preserve"> Species - Economic and health concerns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Background information on aflatoxins.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Synthesis of data not documented. May be subject to bias.</w:t>
            </w:r>
          </w:p>
          <w:p w:rsidR="00DC0B38" w:rsidRPr="0092630D" w:rsidRDefault="00DC0B38" w:rsidP="00270469">
            <w:pPr>
              <w:spacing w:after="160" w:line="360" w:lineRule="auto"/>
              <w:rPr>
                <w:rFonts w:ascii="Arial" w:hAnsi="Arial" w:cs="Arial"/>
              </w:rPr>
            </w:pPr>
            <w:r w:rsidRPr="0092630D">
              <w:rPr>
                <w:rFonts w:ascii="Arial" w:hAnsi="Arial" w:cs="Arial"/>
              </w:rPr>
              <w:t>Old.</w:t>
            </w:r>
          </w:p>
        </w:tc>
      </w:tr>
      <w:tr w:rsidR="00DC0B38" w:rsidRPr="0092630D" w:rsidTr="00270469">
        <w:tc>
          <w:tcPr>
            <w:tcW w:w="0" w:type="auto"/>
          </w:tcPr>
          <w:p w:rsidR="00DC0B38" w:rsidRPr="0092630D" w:rsidRDefault="00DC0B38" w:rsidP="00270469">
            <w:pPr>
              <w:spacing w:line="360" w:lineRule="auto"/>
              <w:rPr>
                <w:rFonts w:ascii="Arial" w:hAnsi="Arial" w:cs="Arial"/>
                <w:noProof/>
              </w:rPr>
            </w:pPr>
            <w:r w:rsidRPr="0092630D">
              <w:rPr>
                <w:rFonts w:ascii="Arial" w:hAnsi="Arial" w:cs="Arial"/>
                <w:noProof/>
              </w:rPr>
              <w:t>Wu. 2004</w:t>
            </w:r>
          </w:p>
        </w:tc>
        <w:tc>
          <w:tcPr>
            <w:tcW w:w="0" w:type="auto"/>
          </w:tcPr>
          <w:p w:rsidR="00DC0B38" w:rsidRPr="0092630D" w:rsidRDefault="00DC0B38" w:rsidP="00270469">
            <w:pPr>
              <w:spacing w:line="360" w:lineRule="auto"/>
              <w:rPr>
                <w:rFonts w:ascii="Arial" w:hAnsi="Arial" w:cs="Arial"/>
              </w:rPr>
            </w:pPr>
            <w:r w:rsidRPr="0092630D">
              <w:rPr>
                <w:rFonts w:ascii="Arial" w:hAnsi="Arial" w:cs="Arial"/>
              </w:rPr>
              <w:t xml:space="preserve">Mycotoxin Risk Assessment </w:t>
            </w:r>
            <w:r w:rsidRPr="0092630D">
              <w:rPr>
                <w:rFonts w:ascii="Arial" w:hAnsi="Arial" w:cs="Arial"/>
              </w:rPr>
              <w:lastRenderedPageBreak/>
              <w:t>for the Purpose of Setting International Regulatory Standards</w:t>
            </w:r>
          </w:p>
        </w:tc>
        <w:tc>
          <w:tcPr>
            <w:tcW w:w="0" w:type="auto"/>
          </w:tcPr>
          <w:p w:rsidR="00DC0B38" w:rsidRPr="0092630D" w:rsidRDefault="00DC0B38" w:rsidP="00270469">
            <w:pPr>
              <w:spacing w:line="360" w:lineRule="auto"/>
              <w:rPr>
                <w:rFonts w:ascii="Arial" w:hAnsi="Arial" w:cs="Arial"/>
              </w:rPr>
            </w:pPr>
            <w:r w:rsidRPr="0092630D">
              <w:rPr>
                <w:rFonts w:ascii="Arial" w:hAnsi="Arial" w:cs="Arial"/>
              </w:rPr>
              <w:lastRenderedPageBreak/>
              <w:t>Narrative</w:t>
            </w:r>
          </w:p>
        </w:tc>
        <w:tc>
          <w:tcPr>
            <w:tcW w:w="0" w:type="auto"/>
          </w:tcPr>
          <w:p w:rsidR="00DC0B38" w:rsidRPr="0092630D" w:rsidRDefault="00DC0B38" w:rsidP="00270469">
            <w:pPr>
              <w:spacing w:line="360" w:lineRule="auto"/>
              <w:rPr>
                <w:rFonts w:ascii="Arial" w:hAnsi="Arial" w:cs="Arial"/>
              </w:rPr>
            </w:pPr>
            <w:r w:rsidRPr="0092630D">
              <w:rPr>
                <w:rFonts w:ascii="Arial" w:hAnsi="Arial" w:cs="Arial"/>
              </w:rPr>
              <w:t xml:space="preserve">A4: Stricter regulation in Europe does not have a negative impact </w:t>
            </w:r>
            <w:r w:rsidRPr="0092630D">
              <w:rPr>
                <w:rFonts w:ascii="Arial" w:hAnsi="Arial" w:cs="Arial"/>
              </w:rPr>
              <w:lastRenderedPageBreak/>
              <w:t>on peanut exports from Africa.</w:t>
            </w:r>
          </w:p>
          <w:p w:rsidR="00DC0B38" w:rsidRPr="0092630D" w:rsidRDefault="00DC0B38" w:rsidP="00270469">
            <w:pPr>
              <w:spacing w:line="360" w:lineRule="auto"/>
              <w:rPr>
                <w:rFonts w:ascii="Arial" w:hAnsi="Arial" w:cs="Arial"/>
              </w:rPr>
            </w:pP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lastRenderedPageBreak/>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lastRenderedPageBreak/>
              <w:t>Old.</w:t>
            </w:r>
          </w:p>
          <w:p w:rsidR="00DC0B38" w:rsidRPr="0092630D" w:rsidRDefault="00DC0B38" w:rsidP="00270469">
            <w:pPr>
              <w:spacing w:line="360" w:lineRule="auto"/>
              <w:rPr>
                <w:rFonts w:ascii="Arial" w:hAnsi="Arial" w:cs="Arial"/>
              </w:rPr>
            </w:pP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lastRenderedPageBreak/>
              <w:t>Wu et al. 2010</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Climate change impact on mycotoxin risk In US maize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A3: Predicted increased contamination of maize by aflatoxins. This data is vital for risk assessments.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Synthesis of data not documented. May be subject to bias.</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Wu and Mitchell 2016</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Economic impact of climate change and regulations on mycotoxins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 xml:space="preserve">A4: With predicted increased contamination due to aflatoxins, increased costs will be required to meet the regulatory standards. Health risks will be exacerbated resulting in further losses. </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Consistent with the scientific literature.</w:t>
            </w:r>
          </w:p>
          <w:p w:rsidR="00DC0B38" w:rsidRPr="0092630D" w:rsidRDefault="00DC0B38" w:rsidP="00270469">
            <w:pPr>
              <w:spacing w:after="160" w:line="360" w:lineRule="auto"/>
              <w:rPr>
                <w:rFonts w:ascii="Arial" w:hAnsi="Arial" w:cs="Arial"/>
              </w:rPr>
            </w:pPr>
            <w:r w:rsidRPr="0092630D">
              <w:rPr>
                <w:rFonts w:ascii="Arial" w:hAnsi="Arial" w:cs="Arial"/>
              </w:rPr>
              <w:t>Synthesis of data not documented. May be subject to bias.</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Wu et al. 2013</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Are regulatory standards adequately protective?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Narrative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A1: Toxicity of aflatoxins to humans and animals. Commodities affected.</w:t>
            </w:r>
          </w:p>
          <w:p w:rsidR="00DC0B38" w:rsidRPr="0092630D" w:rsidRDefault="00DC0B38" w:rsidP="00270469">
            <w:pPr>
              <w:spacing w:after="160" w:line="360" w:lineRule="auto"/>
              <w:rPr>
                <w:rFonts w:ascii="Arial" w:hAnsi="Arial" w:cs="Arial"/>
              </w:rPr>
            </w:pPr>
            <w:r w:rsidRPr="0092630D">
              <w:rPr>
                <w:rFonts w:ascii="Arial" w:hAnsi="Arial" w:cs="Arial"/>
              </w:rPr>
              <w:t xml:space="preserve">A4: It depends on the level of protection required whether the limits are fit for purpose. Two scenarios were discussed, one of </w:t>
            </w:r>
            <w:r w:rsidRPr="0092630D">
              <w:rPr>
                <w:rFonts w:ascii="Arial" w:hAnsi="Arial" w:cs="Arial"/>
              </w:rPr>
              <w:lastRenderedPageBreak/>
              <w:t>which was protective and the other not.</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lastRenderedPageBreak/>
              <w:t>Statistical analysis.</w:t>
            </w:r>
          </w:p>
          <w:p w:rsidR="00DC0B38" w:rsidRPr="0092630D" w:rsidRDefault="00DC0B38" w:rsidP="00270469">
            <w:pPr>
              <w:spacing w:after="160" w:line="360" w:lineRule="auto"/>
              <w:rPr>
                <w:rFonts w:ascii="Arial" w:hAnsi="Arial" w:cs="Arial"/>
              </w:rPr>
            </w:pPr>
            <w:r w:rsidRPr="0092630D">
              <w:rPr>
                <w:rFonts w:ascii="Arial" w:hAnsi="Arial" w:cs="Arial"/>
              </w:rPr>
              <w:t>Quantitative data.</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noProof/>
              </w:rPr>
              <w:t>Xiong and Beghin 2012</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Impact of EU regulations on African peanut exporters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Economic model</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 xml:space="preserve">A4: Stricter regulation in Europe does not have a negative impact on peanut exports from Africa. </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 xml:space="preserve">Model used. </w:t>
            </w:r>
          </w:p>
          <w:p w:rsidR="00DC0B38" w:rsidRPr="0092630D" w:rsidRDefault="00DC0B38" w:rsidP="00270469">
            <w:pPr>
              <w:spacing w:after="160" w:line="360" w:lineRule="auto"/>
              <w:rPr>
                <w:rFonts w:ascii="Arial" w:hAnsi="Arial" w:cs="Arial"/>
              </w:rPr>
            </w:pPr>
            <w:r w:rsidRPr="0092630D">
              <w:rPr>
                <w:rFonts w:ascii="Arial" w:hAnsi="Arial" w:cs="Arial"/>
              </w:rPr>
              <w:t xml:space="preserve">Confounding variables accounted for. </w:t>
            </w:r>
          </w:p>
          <w:p w:rsidR="00DC0B38" w:rsidRPr="0092630D" w:rsidRDefault="00DC0B38" w:rsidP="00270469">
            <w:pPr>
              <w:spacing w:after="160" w:line="360" w:lineRule="auto"/>
              <w:rPr>
                <w:rFonts w:ascii="Arial" w:hAnsi="Arial" w:cs="Arial"/>
              </w:rPr>
            </w:pPr>
            <w:r w:rsidRPr="0092630D">
              <w:rPr>
                <w:rFonts w:ascii="Arial" w:hAnsi="Arial" w:cs="Arial"/>
              </w:rPr>
              <w:t>Quantitative study.</w:t>
            </w:r>
          </w:p>
        </w:tc>
      </w:tr>
    </w:tbl>
    <w:p w:rsidR="00DC0B38" w:rsidRPr="0092630D" w:rsidRDefault="00DC0B38" w:rsidP="00DC0B38">
      <w:pPr>
        <w:spacing w:line="360" w:lineRule="auto"/>
      </w:pPr>
    </w:p>
    <w:p w:rsidR="00DC0B38" w:rsidRPr="0092630D" w:rsidRDefault="00DC0B38" w:rsidP="00DC0B38">
      <w:pPr>
        <w:spacing w:line="360" w:lineRule="auto"/>
        <w:rPr>
          <w:rFonts w:ascii="Arial" w:hAnsi="Arial" w:cs="Arial"/>
        </w:rPr>
      </w:pPr>
    </w:p>
    <w:p w:rsidR="00DC0B38" w:rsidRPr="0092630D" w:rsidRDefault="00DC0B38" w:rsidP="00DC0B38">
      <w:pPr>
        <w:spacing w:line="360" w:lineRule="auto"/>
        <w:rPr>
          <w:rFonts w:ascii="Arial" w:hAnsi="Arial" w:cs="Arial"/>
        </w:rPr>
      </w:pPr>
    </w:p>
    <w:p w:rsidR="00DC0B38" w:rsidRPr="0092630D" w:rsidRDefault="00DC0B38" w:rsidP="00DC0B38">
      <w:pPr>
        <w:spacing w:line="360" w:lineRule="auto"/>
        <w:rPr>
          <w:rFonts w:ascii="Arial" w:hAnsi="Arial" w:cs="Arial"/>
        </w:rPr>
      </w:pPr>
    </w:p>
    <w:p w:rsidR="00DC0B38" w:rsidRPr="0092630D" w:rsidRDefault="00DC0B38" w:rsidP="00DC0B38">
      <w:pPr>
        <w:spacing w:line="360" w:lineRule="auto"/>
        <w:rPr>
          <w:rFonts w:ascii="Arial" w:hAnsi="Arial" w:cs="Arial"/>
        </w:rPr>
      </w:pPr>
    </w:p>
    <w:p w:rsidR="00DC0B38" w:rsidRPr="0092630D" w:rsidRDefault="00DC0B38" w:rsidP="00DC0B38">
      <w:pPr>
        <w:spacing w:line="360" w:lineRule="auto"/>
        <w:rPr>
          <w:rFonts w:ascii="Arial" w:hAnsi="Arial" w:cs="Arial"/>
        </w:rPr>
      </w:pPr>
    </w:p>
    <w:p w:rsidR="00DC0B38" w:rsidRPr="0092630D" w:rsidRDefault="00DC0B38" w:rsidP="00DC0B38">
      <w:pPr>
        <w:spacing w:line="360" w:lineRule="auto"/>
        <w:rPr>
          <w:rFonts w:ascii="Arial" w:hAnsi="Arial" w:cs="Arial"/>
        </w:rPr>
      </w:pPr>
    </w:p>
    <w:p w:rsidR="00DC0B38" w:rsidRPr="0092630D" w:rsidRDefault="00DC0B38" w:rsidP="00DC0B38">
      <w:pPr>
        <w:spacing w:line="360" w:lineRule="auto"/>
        <w:rPr>
          <w:rFonts w:ascii="Arial" w:hAnsi="Arial" w:cs="Arial"/>
        </w:rPr>
      </w:pPr>
    </w:p>
    <w:p w:rsidR="00DC0B38" w:rsidRPr="0092630D" w:rsidRDefault="00DC0B38" w:rsidP="00DC0B38">
      <w:pPr>
        <w:spacing w:line="360" w:lineRule="auto"/>
        <w:rPr>
          <w:rFonts w:ascii="Arial" w:hAnsi="Arial" w:cs="Arial"/>
        </w:rPr>
      </w:pPr>
    </w:p>
    <w:p w:rsidR="00DC0B38" w:rsidRPr="0092630D" w:rsidRDefault="00DC0B38" w:rsidP="00DC0B38">
      <w:pPr>
        <w:spacing w:line="360" w:lineRule="auto"/>
        <w:rPr>
          <w:rFonts w:ascii="Arial" w:hAnsi="Arial" w:cs="Arial"/>
        </w:rPr>
      </w:pPr>
    </w:p>
    <w:p w:rsidR="00DC0B38" w:rsidRPr="0092630D" w:rsidRDefault="00DC0B38" w:rsidP="00DC0B38">
      <w:pPr>
        <w:spacing w:line="360" w:lineRule="auto"/>
        <w:rPr>
          <w:rFonts w:ascii="Arial" w:hAnsi="Arial" w:cs="Arial"/>
        </w:rPr>
      </w:pPr>
    </w:p>
    <w:p w:rsidR="00DC0B38" w:rsidRPr="0092630D" w:rsidRDefault="00DC0B38" w:rsidP="00DC0B38">
      <w:pPr>
        <w:spacing w:line="360" w:lineRule="auto"/>
        <w:rPr>
          <w:rFonts w:ascii="Arial" w:hAnsi="Arial" w:cs="Arial"/>
        </w:rPr>
      </w:pPr>
    </w:p>
    <w:p w:rsidR="00DC0B38" w:rsidRPr="0092630D" w:rsidRDefault="00DC0B38" w:rsidP="00DC0B38">
      <w:pPr>
        <w:spacing w:line="360" w:lineRule="auto"/>
        <w:rPr>
          <w:rFonts w:ascii="Arial" w:hAnsi="Arial" w:cs="Arial"/>
        </w:rPr>
      </w:pPr>
    </w:p>
    <w:p w:rsidR="00DC0B38" w:rsidRPr="0092630D" w:rsidRDefault="00DC0B38" w:rsidP="00DC0B38">
      <w:pPr>
        <w:spacing w:line="360" w:lineRule="auto"/>
        <w:rPr>
          <w:rFonts w:ascii="Arial" w:hAnsi="Arial" w:cs="Arial"/>
        </w:rPr>
      </w:pPr>
    </w:p>
    <w:p w:rsidR="00DC0B38" w:rsidRPr="0092630D" w:rsidRDefault="00DC0B38" w:rsidP="00DC0B38">
      <w:pPr>
        <w:spacing w:line="360" w:lineRule="auto"/>
        <w:rPr>
          <w:rFonts w:ascii="Arial" w:hAnsi="Arial" w:cs="Arial"/>
        </w:rPr>
      </w:pPr>
    </w:p>
    <w:p w:rsidR="00DC0B38" w:rsidRPr="0092630D" w:rsidRDefault="00DC0B38" w:rsidP="00DC0B38">
      <w:pPr>
        <w:spacing w:line="360" w:lineRule="auto"/>
        <w:rPr>
          <w:rFonts w:ascii="Arial" w:hAnsi="Arial" w:cs="Arial"/>
        </w:rPr>
      </w:pPr>
    </w:p>
    <w:p w:rsidR="00DC0B38" w:rsidRPr="0092630D" w:rsidRDefault="00DC0B38" w:rsidP="00DC0B38">
      <w:pPr>
        <w:spacing w:line="360" w:lineRule="auto"/>
        <w:rPr>
          <w:rFonts w:ascii="Arial" w:hAnsi="Arial" w:cs="Arial"/>
        </w:rPr>
      </w:pPr>
    </w:p>
    <w:p w:rsidR="00DC0B38" w:rsidRPr="0092630D" w:rsidRDefault="00DC0B38" w:rsidP="00DC0B38">
      <w:pPr>
        <w:spacing w:line="360" w:lineRule="auto"/>
        <w:rPr>
          <w:rFonts w:ascii="Arial" w:hAnsi="Arial" w:cs="Arial"/>
          <w:b/>
        </w:rPr>
      </w:pPr>
      <w:r w:rsidRPr="0092630D">
        <w:rPr>
          <w:rFonts w:ascii="Arial" w:hAnsi="Arial" w:cs="Arial"/>
          <w:b/>
        </w:rPr>
        <w:t>Online Resource 2. Summary of the grey literature search – Google</w:t>
      </w:r>
    </w:p>
    <w:tbl>
      <w:tblPr>
        <w:tblStyle w:val="TableGrid"/>
        <w:tblW w:w="0" w:type="auto"/>
        <w:tblLook w:val="04A0" w:firstRow="1" w:lastRow="0" w:firstColumn="1" w:lastColumn="0" w:noHBand="0" w:noVBand="1"/>
      </w:tblPr>
      <w:tblGrid>
        <w:gridCol w:w="3666"/>
        <w:gridCol w:w="5350"/>
      </w:tblGrid>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Source</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Material accessed</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lastRenderedPageBreak/>
              <w:t>Codex Alimentarius Commission (CAC)</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Codex Alimentarius international food standards, General standard for contaminants and toxins in food and feed. CXS 193-1995. Adopted in 1995.</w:t>
            </w:r>
          </w:p>
          <w:p w:rsidR="00DC0B38" w:rsidRPr="0092630D" w:rsidRDefault="00DC0B38" w:rsidP="00270469">
            <w:pPr>
              <w:spacing w:after="160" w:line="360" w:lineRule="auto"/>
              <w:rPr>
                <w:rFonts w:ascii="Arial" w:hAnsi="Arial" w:cs="Arial"/>
              </w:rPr>
            </w:pPr>
            <w:r w:rsidRPr="0092630D">
              <w:rPr>
                <w:rFonts w:ascii="Arial" w:hAnsi="Arial" w:cs="Arial"/>
              </w:rPr>
              <w:t xml:space="preserve">Codex Alimentarius Procedural manual. </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The Council for Agricultural Science and Technology Agricultural Science (CAST)</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Report: Mycotoxins: risks in plant, animal and human systems.</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Canadian Food Inspection Agency (CFIA)</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Web-based information on regulatory guidelines.</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European Union</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European Council Regulation (EEC) No 315/93.</w:t>
            </w:r>
          </w:p>
          <w:p w:rsidR="00DC0B38" w:rsidRPr="0092630D" w:rsidRDefault="00DC0B38" w:rsidP="00270469">
            <w:pPr>
              <w:spacing w:after="160" w:line="360" w:lineRule="auto"/>
              <w:rPr>
                <w:rFonts w:ascii="Arial" w:hAnsi="Arial" w:cs="Arial"/>
              </w:rPr>
            </w:pPr>
            <w:r w:rsidRPr="0092630D">
              <w:rPr>
                <w:rFonts w:ascii="Arial" w:hAnsi="Arial" w:cs="Arial"/>
              </w:rPr>
              <w:t>Commission Regulation (EC) No 1525/98.</w:t>
            </w:r>
          </w:p>
          <w:p w:rsidR="00DC0B38" w:rsidRPr="0092630D" w:rsidRDefault="00DC0B38" w:rsidP="00270469">
            <w:pPr>
              <w:spacing w:after="160" w:line="360" w:lineRule="auto"/>
              <w:rPr>
                <w:rFonts w:ascii="Arial" w:hAnsi="Arial" w:cs="Arial"/>
              </w:rPr>
            </w:pPr>
            <w:r w:rsidRPr="0092630D">
              <w:rPr>
                <w:rFonts w:ascii="Arial" w:hAnsi="Arial" w:cs="Arial"/>
              </w:rPr>
              <w:t>Commission Regulation (EC) No 466/2001.</w:t>
            </w:r>
          </w:p>
          <w:p w:rsidR="00DC0B38" w:rsidRPr="0092630D" w:rsidRDefault="00DC0B38" w:rsidP="00270469">
            <w:pPr>
              <w:spacing w:after="160" w:line="360" w:lineRule="auto"/>
              <w:rPr>
                <w:rFonts w:ascii="Arial" w:hAnsi="Arial" w:cs="Arial"/>
              </w:rPr>
            </w:pPr>
            <w:r w:rsidRPr="0092630D">
              <w:rPr>
                <w:rFonts w:ascii="Arial" w:hAnsi="Arial" w:cs="Arial"/>
              </w:rPr>
              <w:t>Regulation (EC) No 178/2002.</w:t>
            </w:r>
          </w:p>
          <w:p w:rsidR="00DC0B38" w:rsidRPr="0092630D" w:rsidRDefault="00DC0B38" w:rsidP="00270469">
            <w:pPr>
              <w:spacing w:after="160" w:line="360" w:lineRule="auto"/>
              <w:rPr>
                <w:rFonts w:ascii="Arial" w:hAnsi="Arial" w:cs="Arial"/>
              </w:rPr>
            </w:pPr>
            <w:r w:rsidRPr="0092630D">
              <w:rPr>
                <w:rFonts w:ascii="Arial" w:hAnsi="Arial" w:cs="Arial"/>
              </w:rPr>
              <w:t>Commission Regulation (EC) No 1881/2006.</w:t>
            </w:r>
          </w:p>
          <w:p w:rsidR="00DC0B38" w:rsidRPr="0092630D" w:rsidRDefault="00DC0B38" w:rsidP="00270469">
            <w:pPr>
              <w:spacing w:after="160" w:line="360" w:lineRule="auto"/>
              <w:rPr>
                <w:rFonts w:ascii="Arial" w:hAnsi="Arial" w:cs="Arial"/>
              </w:rPr>
            </w:pPr>
            <w:r w:rsidRPr="0092630D">
              <w:rPr>
                <w:rFonts w:ascii="Arial" w:hAnsi="Arial" w:cs="Arial"/>
              </w:rPr>
              <w:t>Commission Regulation (EU) No 178/2010.</w:t>
            </w:r>
          </w:p>
          <w:p w:rsidR="00DC0B38" w:rsidRPr="0092630D" w:rsidRDefault="00DC0B38" w:rsidP="00270469">
            <w:pPr>
              <w:spacing w:after="160" w:line="360" w:lineRule="auto"/>
              <w:rPr>
                <w:rFonts w:ascii="Arial" w:hAnsi="Arial" w:cs="Arial"/>
              </w:rPr>
            </w:pPr>
            <w:r w:rsidRPr="0092630D">
              <w:rPr>
                <w:rFonts w:ascii="Arial" w:hAnsi="Arial" w:cs="Arial"/>
              </w:rPr>
              <w:t>Rapid Alert System for Food and Feed (RASFF).</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Food and Agricultural Materials Inspection Centre (FAMIC)</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Aflatoxin regulations for Japan.</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Food and Agriculture Organization of the United Nations/World Health Organisation (FAO/WHO)</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Worldwide regulations for mycotoxins in food and feed.</w:t>
            </w:r>
          </w:p>
          <w:p w:rsidR="00DC0B38" w:rsidRPr="0092630D" w:rsidRDefault="00DC0B38" w:rsidP="00270469">
            <w:pPr>
              <w:spacing w:after="160" w:line="360" w:lineRule="auto"/>
              <w:rPr>
                <w:rFonts w:ascii="Arial" w:hAnsi="Arial" w:cs="Arial"/>
              </w:rPr>
            </w:pPr>
            <w:r w:rsidRPr="0092630D">
              <w:rPr>
                <w:rFonts w:ascii="Arial" w:hAnsi="Arial" w:cs="Arial"/>
              </w:rPr>
              <w:t>Joint FAO/WHO Expert Committee on Food Additives, Sixty-fourth meeting.</w:t>
            </w:r>
          </w:p>
          <w:p w:rsidR="00DC0B38" w:rsidRPr="0092630D" w:rsidRDefault="00DC0B38" w:rsidP="00270469">
            <w:pPr>
              <w:spacing w:after="160" w:line="360" w:lineRule="auto"/>
              <w:rPr>
                <w:rFonts w:ascii="Arial" w:hAnsi="Arial" w:cs="Arial"/>
              </w:rPr>
            </w:pPr>
            <w:r w:rsidRPr="0092630D">
              <w:rPr>
                <w:rFonts w:ascii="Arial" w:hAnsi="Arial" w:cs="Arial"/>
              </w:rPr>
              <w:t>Aflatoxins. Evaluation of certain contaminants in food (Eighty-third report of the Joint FAO/WHO Expert Committee on Food Additives (JECFA).</w:t>
            </w:r>
          </w:p>
          <w:p w:rsidR="00DC0B38" w:rsidRPr="0092630D" w:rsidRDefault="00DC0B38" w:rsidP="00270469">
            <w:pPr>
              <w:spacing w:after="160" w:line="360" w:lineRule="auto"/>
              <w:rPr>
                <w:rFonts w:ascii="Arial" w:hAnsi="Arial" w:cs="Arial"/>
              </w:rPr>
            </w:pPr>
            <w:r w:rsidRPr="0092630D">
              <w:rPr>
                <w:rFonts w:ascii="Arial" w:hAnsi="Arial" w:cs="Arial"/>
              </w:rPr>
              <w:t>Codex Alimentarius.</w:t>
            </w:r>
          </w:p>
          <w:p w:rsidR="00DC0B38" w:rsidRPr="0092630D" w:rsidRDefault="00DC0B38" w:rsidP="00270469">
            <w:pPr>
              <w:spacing w:after="160" w:line="360" w:lineRule="auto"/>
              <w:rPr>
                <w:rFonts w:ascii="Arial" w:hAnsi="Arial" w:cs="Arial"/>
              </w:rPr>
            </w:pPr>
            <w:r w:rsidRPr="0092630D">
              <w:rPr>
                <w:rFonts w:ascii="Arial" w:hAnsi="Arial" w:cs="Arial"/>
              </w:rPr>
              <w:t>FAOSTAT.</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lastRenderedPageBreak/>
              <w:t>Food and Drug Administration (US)</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Compliance Policy Guide Sec. 570.375 Aflatoxins in Peanuts and Peanut Products: Guidance for FDA Staff.</w:t>
            </w:r>
          </w:p>
          <w:p w:rsidR="00DC0B38" w:rsidRPr="0092630D" w:rsidRDefault="00DC0B38" w:rsidP="00270469">
            <w:pPr>
              <w:spacing w:after="160" w:line="360" w:lineRule="auto"/>
              <w:rPr>
                <w:rFonts w:ascii="Arial" w:hAnsi="Arial" w:cs="Arial"/>
              </w:rPr>
            </w:pPr>
            <w:r w:rsidRPr="0092630D">
              <w:rPr>
                <w:rFonts w:ascii="Arial" w:hAnsi="Arial" w:cs="Arial"/>
              </w:rPr>
              <w:t>Investigations Operations Manual (IOM).</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FOODAKAI</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EU RASFF Alerts for aflatoxins from 01 January 2016 until 31 December 2020.</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Food Standards Australia New Zealand (FSANZ)</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Australia New Zealand Food Standards Code, 2017, Schedule 19, Maximum levels of contaminants and natural toxicants.</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Food Safety and Standards Authority of India (FSSAI)</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Food Safety and Standards (Contaminants, Toxins and Residues) Regulations, 2011, F. No. 2-15015/30/2010.</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International Agency for Research on Cancer</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IARC Monograph on the Evaluation of Carcinogenic Risks to Humans, Volume 82, 2002.</w:t>
            </w:r>
          </w:p>
          <w:p w:rsidR="00DC0B38" w:rsidRPr="0092630D" w:rsidRDefault="00DC0B38" w:rsidP="00270469">
            <w:pPr>
              <w:spacing w:after="160" w:line="360" w:lineRule="auto"/>
              <w:rPr>
                <w:rFonts w:ascii="Arial" w:hAnsi="Arial" w:cs="Arial"/>
              </w:rPr>
            </w:pPr>
            <w:r w:rsidRPr="0092630D">
              <w:rPr>
                <w:rFonts w:ascii="Arial" w:hAnsi="Arial" w:cs="Arial"/>
              </w:rPr>
              <w:t>Improving public health through mycotoxin control. IARC Scientific Publication No. 158. 2012.</w:t>
            </w:r>
          </w:p>
          <w:p w:rsidR="00DC0B38" w:rsidRPr="0092630D" w:rsidRDefault="00DC0B38" w:rsidP="00270469">
            <w:pPr>
              <w:spacing w:after="160" w:line="360" w:lineRule="auto"/>
              <w:rPr>
                <w:rFonts w:ascii="Arial" w:hAnsi="Arial" w:cs="Arial"/>
              </w:rPr>
            </w:pPr>
            <w:r w:rsidRPr="0092630D">
              <w:rPr>
                <w:rFonts w:ascii="Arial" w:hAnsi="Arial" w:cs="Arial"/>
              </w:rPr>
              <w:t>Monographs on the evaluation of carcinogenic risks to humans: chemical agents and related occupations. A review of human carcinogens, Volume 100F, 2012.</w:t>
            </w:r>
          </w:p>
          <w:p w:rsidR="00DC0B38" w:rsidRPr="0092630D" w:rsidRDefault="00DC0B38" w:rsidP="00270469">
            <w:pPr>
              <w:spacing w:after="160" w:line="360" w:lineRule="auto"/>
              <w:rPr>
                <w:rFonts w:ascii="Arial" w:hAnsi="Arial" w:cs="Arial"/>
              </w:rPr>
            </w:pPr>
            <w:r w:rsidRPr="0092630D">
              <w:rPr>
                <w:rFonts w:ascii="Arial" w:hAnsi="Arial" w:cs="Arial"/>
              </w:rPr>
              <w:t>Mycotoxin control in low- and middle-income countries. IARC Working Group Report Volume 9.</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United States Department of Agriculture (USDA)</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USDA Foreign Agriculture Service, Global Agriculture Information Network (GAIN) Report CH18026. (Aflatoxin regulations in China).</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World Health organisation (WHO)</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World Health Organisation Global Environment Monitoring System (GEMS) / Food Contamination Monitoring and Assessment Programme.</w:t>
            </w:r>
          </w:p>
        </w:tc>
      </w:tr>
      <w:tr w:rsidR="00DC0B38" w:rsidRPr="0092630D" w:rsidTr="00270469">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World Trade Organisation (WTO)</w:t>
            </w:r>
          </w:p>
        </w:tc>
        <w:tc>
          <w:tcPr>
            <w:tcW w:w="0" w:type="auto"/>
          </w:tcPr>
          <w:p w:rsidR="00DC0B38" w:rsidRPr="0092630D" w:rsidRDefault="00DC0B38" w:rsidP="00270469">
            <w:pPr>
              <w:spacing w:after="160" w:line="360" w:lineRule="auto"/>
              <w:rPr>
                <w:rFonts w:ascii="Arial" w:hAnsi="Arial" w:cs="Arial"/>
              </w:rPr>
            </w:pPr>
            <w:r w:rsidRPr="0092630D">
              <w:rPr>
                <w:rFonts w:ascii="Arial" w:hAnsi="Arial" w:cs="Arial"/>
              </w:rPr>
              <w:t>World Trade Organisation Agreement on the Application of Sanitary and Phytosanitary Measures.</w:t>
            </w:r>
          </w:p>
        </w:tc>
      </w:tr>
    </w:tbl>
    <w:p w:rsidR="009E1CA7" w:rsidRDefault="009E1CA7">
      <w:bookmarkStart w:id="0" w:name="_GoBack"/>
      <w:bookmarkEnd w:id="0"/>
    </w:p>
    <w:sectPr w:rsidR="009E1C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A77"/>
    <w:rsid w:val="000018A4"/>
    <w:rsid w:val="000123F3"/>
    <w:rsid w:val="00015F5C"/>
    <w:rsid w:val="00017F72"/>
    <w:rsid w:val="0002396A"/>
    <w:rsid w:val="0004632A"/>
    <w:rsid w:val="000A687A"/>
    <w:rsid w:val="000B688D"/>
    <w:rsid w:val="000B7E63"/>
    <w:rsid w:val="000D4AF9"/>
    <w:rsid w:val="000E4849"/>
    <w:rsid w:val="00105F53"/>
    <w:rsid w:val="00111A0F"/>
    <w:rsid w:val="00112CC2"/>
    <w:rsid w:val="00117B23"/>
    <w:rsid w:val="0014368C"/>
    <w:rsid w:val="00153BD1"/>
    <w:rsid w:val="00163384"/>
    <w:rsid w:val="00173B20"/>
    <w:rsid w:val="0017788A"/>
    <w:rsid w:val="00190190"/>
    <w:rsid w:val="00190EF3"/>
    <w:rsid w:val="001912A6"/>
    <w:rsid w:val="001963E9"/>
    <w:rsid w:val="001A28A1"/>
    <w:rsid w:val="001D3F59"/>
    <w:rsid w:val="001F7412"/>
    <w:rsid w:val="002003A9"/>
    <w:rsid w:val="002019CD"/>
    <w:rsid w:val="00203C11"/>
    <w:rsid w:val="0020436E"/>
    <w:rsid w:val="0023517C"/>
    <w:rsid w:val="00256895"/>
    <w:rsid w:val="002A2791"/>
    <w:rsid w:val="002A439F"/>
    <w:rsid w:val="002B0E02"/>
    <w:rsid w:val="002C2E1E"/>
    <w:rsid w:val="002C4C98"/>
    <w:rsid w:val="002D18CB"/>
    <w:rsid w:val="002D1E1E"/>
    <w:rsid w:val="002D597D"/>
    <w:rsid w:val="002E1698"/>
    <w:rsid w:val="002E54AB"/>
    <w:rsid w:val="002F1280"/>
    <w:rsid w:val="002F4752"/>
    <w:rsid w:val="00302AC1"/>
    <w:rsid w:val="0032012E"/>
    <w:rsid w:val="00321D95"/>
    <w:rsid w:val="00335825"/>
    <w:rsid w:val="00344A0C"/>
    <w:rsid w:val="00352CDC"/>
    <w:rsid w:val="00357AC6"/>
    <w:rsid w:val="00361B24"/>
    <w:rsid w:val="003714A1"/>
    <w:rsid w:val="0037670E"/>
    <w:rsid w:val="00384A1A"/>
    <w:rsid w:val="00385553"/>
    <w:rsid w:val="003858EE"/>
    <w:rsid w:val="00387236"/>
    <w:rsid w:val="00396572"/>
    <w:rsid w:val="003A0D35"/>
    <w:rsid w:val="003B4A19"/>
    <w:rsid w:val="003C1D5B"/>
    <w:rsid w:val="003C35C4"/>
    <w:rsid w:val="003D7D4B"/>
    <w:rsid w:val="00417C8F"/>
    <w:rsid w:val="00436D78"/>
    <w:rsid w:val="00436EC7"/>
    <w:rsid w:val="004472F5"/>
    <w:rsid w:val="00453A7F"/>
    <w:rsid w:val="004655C2"/>
    <w:rsid w:val="00467550"/>
    <w:rsid w:val="004A2197"/>
    <w:rsid w:val="004C2018"/>
    <w:rsid w:val="004D6074"/>
    <w:rsid w:val="004E1CF7"/>
    <w:rsid w:val="00500E7C"/>
    <w:rsid w:val="00510D07"/>
    <w:rsid w:val="00512E63"/>
    <w:rsid w:val="00516265"/>
    <w:rsid w:val="00530EB9"/>
    <w:rsid w:val="0055763E"/>
    <w:rsid w:val="00574E60"/>
    <w:rsid w:val="005849DA"/>
    <w:rsid w:val="00587A2C"/>
    <w:rsid w:val="0059310C"/>
    <w:rsid w:val="005B1BA3"/>
    <w:rsid w:val="005B3550"/>
    <w:rsid w:val="005B7AFC"/>
    <w:rsid w:val="005C23D2"/>
    <w:rsid w:val="005E42A5"/>
    <w:rsid w:val="005E5628"/>
    <w:rsid w:val="005E6EE0"/>
    <w:rsid w:val="005E72D3"/>
    <w:rsid w:val="00602E76"/>
    <w:rsid w:val="00636E80"/>
    <w:rsid w:val="0064207C"/>
    <w:rsid w:val="00674173"/>
    <w:rsid w:val="00680602"/>
    <w:rsid w:val="006975C4"/>
    <w:rsid w:val="006A01D3"/>
    <w:rsid w:val="006A0E5A"/>
    <w:rsid w:val="006D25B8"/>
    <w:rsid w:val="006D2B28"/>
    <w:rsid w:val="006D6627"/>
    <w:rsid w:val="006F2E0C"/>
    <w:rsid w:val="0070045C"/>
    <w:rsid w:val="00722046"/>
    <w:rsid w:val="007378CD"/>
    <w:rsid w:val="00752AE9"/>
    <w:rsid w:val="00752F37"/>
    <w:rsid w:val="00753BC9"/>
    <w:rsid w:val="0075441E"/>
    <w:rsid w:val="0075748B"/>
    <w:rsid w:val="0076303C"/>
    <w:rsid w:val="007756CC"/>
    <w:rsid w:val="00780A72"/>
    <w:rsid w:val="007872DA"/>
    <w:rsid w:val="00792D99"/>
    <w:rsid w:val="0079587E"/>
    <w:rsid w:val="007A59F0"/>
    <w:rsid w:val="007B0AB7"/>
    <w:rsid w:val="007C528F"/>
    <w:rsid w:val="007C6700"/>
    <w:rsid w:val="007D73CB"/>
    <w:rsid w:val="007F62E3"/>
    <w:rsid w:val="007F66D4"/>
    <w:rsid w:val="008104FE"/>
    <w:rsid w:val="00847488"/>
    <w:rsid w:val="00854BDB"/>
    <w:rsid w:val="00857E3F"/>
    <w:rsid w:val="00870FF4"/>
    <w:rsid w:val="00875F45"/>
    <w:rsid w:val="008801B2"/>
    <w:rsid w:val="00890B5A"/>
    <w:rsid w:val="00891086"/>
    <w:rsid w:val="00892135"/>
    <w:rsid w:val="008B78FD"/>
    <w:rsid w:val="008D6061"/>
    <w:rsid w:val="008E1B5D"/>
    <w:rsid w:val="008E5F0D"/>
    <w:rsid w:val="00907488"/>
    <w:rsid w:val="00911A66"/>
    <w:rsid w:val="00925DA7"/>
    <w:rsid w:val="00934633"/>
    <w:rsid w:val="00937269"/>
    <w:rsid w:val="00944204"/>
    <w:rsid w:val="0095090B"/>
    <w:rsid w:val="00957FB2"/>
    <w:rsid w:val="00984862"/>
    <w:rsid w:val="00990DDA"/>
    <w:rsid w:val="00991250"/>
    <w:rsid w:val="009A40A1"/>
    <w:rsid w:val="009A5115"/>
    <w:rsid w:val="009A52F7"/>
    <w:rsid w:val="009A7414"/>
    <w:rsid w:val="009C106C"/>
    <w:rsid w:val="009D343E"/>
    <w:rsid w:val="009E1CA7"/>
    <w:rsid w:val="009E495D"/>
    <w:rsid w:val="009F7DCD"/>
    <w:rsid w:val="00A26A38"/>
    <w:rsid w:val="00A32AF9"/>
    <w:rsid w:val="00A401CF"/>
    <w:rsid w:val="00A4593A"/>
    <w:rsid w:val="00A47944"/>
    <w:rsid w:val="00A63511"/>
    <w:rsid w:val="00A63C99"/>
    <w:rsid w:val="00A7025C"/>
    <w:rsid w:val="00A84F2B"/>
    <w:rsid w:val="00A9099B"/>
    <w:rsid w:val="00AA3FC8"/>
    <w:rsid w:val="00AB5F48"/>
    <w:rsid w:val="00AC0C90"/>
    <w:rsid w:val="00AF29D3"/>
    <w:rsid w:val="00B1151A"/>
    <w:rsid w:val="00B162A6"/>
    <w:rsid w:val="00B2205C"/>
    <w:rsid w:val="00B320C5"/>
    <w:rsid w:val="00B44635"/>
    <w:rsid w:val="00B454D9"/>
    <w:rsid w:val="00B46772"/>
    <w:rsid w:val="00B65CB7"/>
    <w:rsid w:val="00B76270"/>
    <w:rsid w:val="00B822D6"/>
    <w:rsid w:val="00B92DFE"/>
    <w:rsid w:val="00B9401C"/>
    <w:rsid w:val="00B94A77"/>
    <w:rsid w:val="00BB36A1"/>
    <w:rsid w:val="00BD05D6"/>
    <w:rsid w:val="00BD2B7C"/>
    <w:rsid w:val="00BE7EA6"/>
    <w:rsid w:val="00C0367C"/>
    <w:rsid w:val="00C05BB9"/>
    <w:rsid w:val="00C41E83"/>
    <w:rsid w:val="00C56092"/>
    <w:rsid w:val="00C67945"/>
    <w:rsid w:val="00C85403"/>
    <w:rsid w:val="00CB02A4"/>
    <w:rsid w:val="00CB3AFE"/>
    <w:rsid w:val="00CC20CD"/>
    <w:rsid w:val="00CC3E12"/>
    <w:rsid w:val="00CC6EB4"/>
    <w:rsid w:val="00CD4586"/>
    <w:rsid w:val="00D06201"/>
    <w:rsid w:val="00D12A38"/>
    <w:rsid w:val="00D214B1"/>
    <w:rsid w:val="00D250E6"/>
    <w:rsid w:val="00D3762E"/>
    <w:rsid w:val="00D446C0"/>
    <w:rsid w:val="00D45879"/>
    <w:rsid w:val="00DA0C32"/>
    <w:rsid w:val="00DA10D9"/>
    <w:rsid w:val="00DA46A9"/>
    <w:rsid w:val="00DB0613"/>
    <w:rsid w:val="00DB6121"/>
    <w:rsid w:val="00DC0B38"/>
    <w:rsid w:val="00DC1C40"/>
    <w:rsid w:val="00DD1DE7"/>
    <w:rsid w:val="00DD21D2"/>
    <w:rsid w:val="00DD5E77"/>
    <w:rsid w:val="00DD5FDC"/>
    <w:rsid w:val="00DD7B1E"/>
    <w:rsid w:val="00DE159C"/>
    <w:rsid w:val="00E226CD"/>
    <w:rsid w:val="00E32D73"/>
    <w:rsid w:val="00E339F4"/>
    <w:rsid w:val="00E45043"/>
    <w:rsid w:val="00E64ECA"/>
    <w:rsid w:val="00E739E9"/>
    <w:rsid w:val="00E81B2A"/>
    <w:rsid w:val="00E84BF7"/>
    <w:rsid w:val="00E97681"/>
    <w:rsid w:val="00EA1C2C"/>
    <w:rsid w:val="00EA58B5"/>
    <w:rsid w:val="00EB1AF9"/>
    <w:rsid w:val="00EC218E"/>
    <w:rsid w:val="00ED547C"/>
    <w:rsid w:val="00EE3CAD"/>
    <w:rsid w:val="00EF668D"/>
    <w:rsid w:val="00EF695E"/>
    <w:rsid w:val="00F068B2"/>
    <w:rsid w:val="00F06E7E"/>
    <w:rsid w:val="00F108D5"/>
    <w:rsid w:val="00F25A23"/>
    <w:rsid w:val="00F4204B"/>
    <w:rsid w:val="00F42821"/>
    <w:rsid w:val="00F43501"/>
    <w:rsid w:val="00F44058"/>
    <w:rsid w:val="00F52A01"/>
    <w:rsid w:val="00F56338"/>
    <w:rsid w:val="00F60792"/>
    <w:rsid w:val="00F64229"/>
    <w:rsid w:val="00F93B27"/>
    <w:rsid w:val="00F94006"/>
    <w:rsid w:val="00FA3899"/>
    <w:rsid w:val="00FB050C"/>
    <w:rsid w:val="00FB3529"/>
    <w:rsid w:val="00FD622D"/>
    <w:rsid w:val="00FE1B1C"/>
    <w:rsid w:val="00FE796A"/>
    <w:rsid w:val="00FF3BE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3E9F3B-1558-4421-83F6-2B0A29A7B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C0B3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3768</Words>
  <Characters>21480</Characters>
  <Application>Microsoft Office Word</Application>
  <DocSecurity>0</DocSecurity>
  <Lines>179</Lines>
  <Paragraphs>50</Paragraphs>
  <ScaleCrop>false</ScaleCrop>
  <Company/>
  <LinksUpToDate>false</LinksUpToDate>
  <CharactersWithSpaces>25198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Srinivas  Manikandan</dc:creator>
  <cp:keywords/>
  <dc:description/>
  <cp:lastModifiedBy>Srinivas  Manikandan</cp:lastModifiedBy>
  <cp:revision>2</cp:revision>
  <dcterms:created xsi:type="dcterms:W3CDTF">2022-07-21T01:18:00Z</dcterms:created>
  <dcterms:modified xsi:type="dcterms:W3CDTF">2022-07-21T01:19:00Z</dcterms:modified>
</cp:coreProperties>
</file>