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5AB26"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Supplementary Materials and Methods</w:t>
      </w:r>
    </w:p>
    <w:p w14:paraId="2093DB80"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Preparation of Reagents</w:t>
      </w:r>
    </w:p>
    <w:p w14:paraId="6358795E"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To ensure accurate detection of urinary polycyclic aromatic hydrocarbon (PAH) metabolites via gas chromatography-mass spectrometry (GC-MS), several reagents were prepared. Sodium acetate buffer solution (1 M, pH 5.5) was prepared by dissolving 41 g of sodium acetate in 300 mL of deionized water (D.I. H₂O) in a 500-mL volumetric flask. The solution was stirred until fully dissolved, after which the volume was adjusted to 500 mL with deionized water. The pH was then carefully adjusted to 5.5 using glacial acetic acid.</w:t>
      </w:r>
    </w:p>
    <w:p w14:paraId="5434EA02"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For enzymatic hydrolysis, a β-glucuronidase/arylsulfatase enzyme solution was prepared by weighing 0.5 g of β-glucuronidase/arylsulfatase into a 60-mL glass vial. The enzyme was dissolved in 50 mL of the pre-prepared sodium acetate buffer by gentle mixing on a rotating mixer at 40 rpm until completely dissolved. Similarly, an ascorbic acid solution was prepared by dissolving 1.25 g of L-ascorbic acid in 5 mL of deionized water in a 20-mL borosilicate glass vial. The vial was capped and placed on a rotating mixer at 40 rpm to ensure complete dissolution.</w:t>
      </w:r>
    </w:p>
    <w:p w14:paraId="0D0226EC"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For derivatization, N-methyl-N-(trimethylsilyl)-trifluoroacetamide (MSTFA) was transferred into an amber screw-cap vial and purged with argon gas to prevent degradation. The MSTFA was stored in the sealed amber vial for up to one month. For sample derivatization, an Eppendorf repeater pipette was used to add 10 µL of MSTFA to each sample vial.</w:t>
      </w:r>
    </w:p>
    <w:p w14:paraId="269BD732"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Preparation of Calibration Materials</w:t>
      </w:r>
    </w:p>
    <w:p w14:paraId="439B5A21"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To generate accurate calibration curves, individual analyte stock solutions were prepared. Approximately 5–10 mg of neat PAH standards </w:t>
      </w:r>
      <w:proofErr w:type="gramStart"/>
      <w:r w:rsidRPr="002828E6">
        <w:rPr>
          <w:rFonts w:asciiTheme="majorBidi" w:hAnsiTheme="majorBidi" w:cstheme="majorBidi"/>
          <w:sz w:val="24"/>
          <w:szCs w:val="24"/>
        </w:rPr>
        <w:t>were</w:t>
      </w:r>
      <w:proofErr w:type="gramEnd"/>
      <w:r w:rsidRPr="002828E6">
        <w:rPr>
          <w:rFonts w:asciiTheme="majorBidi" w:hAnsiTheme="majorBidi" w:cstheme="majorBidi"/>
          <w:sz w:val="24"/>
          <w:szCs w:val="24"/>
        </w:rPr>
        <w:t xml:space="preserve"> weighed into </w:t>
      </w:r>
      <w:proofErr w:type="spellStart"/>
      <w:r w:rsidRPr="002828E6">
        <w:rPr>
          <w:rFonts w:asciiTheme="majorBidi" w:hAnsiTheme="majorBidi" w:cstheme="majorBidi"/>
          <w:sz w:val="24"/>
          <w:szCs w:val="24"/>
        </w:rPr>
        <w:t>silanized</w:t>
      </w:r>
      <w:proofErr w:type="spellEnd"/>
      <w:r w:rsidRPr="002828E6">
        <w:rPr>
          <w:rFonts w:asciiTheme="majorBidi" w:hAnsiTheme="majorBidi" w:cstheme="majorBidi"/>
          <w:sz w:val="24"/>
          <w:szCs w:val="24"/>
        </w:rPr>
        <w:t xml:space="preserve"> amber vials, dissolved in 3 mL of acetonitrile, and diluted with toluene to achieve a final concentration of 100 ng/µL (or 400 ng/µL for 1- and 2-naphthol). These solutions were stored in a refrigerator under an inert argon atmosphere.</w:t>
      </w:r>
    </w:p>
    <w:p w14:paraId="39DD69F9"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A working standard solution of native standard mix (W.S.A.) was prepared by combining 400 µL from each individual native standard stock solution in a </w:t>
      </w:r>
      <w:proofErr w:type="spellStart"/>
      <w:r w:rsidRPr="002828E6">
        <w:rPr>
          <w:rFonts w:asciiTheme="majorBidi" w:hAnsiTheme="majorBidi" w:cstheme="majorBidi"/>
          <w:sz w:val="24"/>
          <w:szCs w:val="24"/>
        </w:rPr>
        <w:t>silanized</w:t>
      </w:r>
      <w:proofErr w:type="spellEnd"/>
      <w:r w:rsidRPr="002828E6">
        <w:rPr>
          <w:rFonts w:asciiTheme="majorBidi" w:hAnsiTheme="majorBidi" w:cstheme="majorBidi"/>
          <w:sz w:val="24"/>
          <w:szCs w:val="24"/>
        </w:rPr>
        <w:t xml:space="preserve"> amber vial to obtain a final concentration of 4 ng/µL per analyte (16 ng/µL for 1- and 2-naphthol). The solution was homogenized by gentle swirling and vortexing, purged with argon, and stored in the refrigerator until use.</w:t>
      </w:r>
    </w:p>
    <w:p w14:paraId="7E3741F5"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A working standard solution of ¹³C-labeled standard mix (W.S.I.) was similarly prepared by combining individual ¹³C-labeled standard stock solutions (90 ng/µL) into a </w:t>
      </w:r>
      <w:proofErr w:type="spellStart"/>
      <w:r w:rsidRPr="002828E6">
        <w:rPr>
          <w:rFonts w:asciiTheme="majorBidi" w:hAnsiTheme="majorBidi" w:cstheme="majorBidi"/>
          <w:sz w:val="24"/>
          <w:szCs w:val="24"/>
        </w:rPr>
        <w:t>silanized</w:t>
      </w:r>
      <w:proofErr w:type="spellEnd"/>
      <w:r w:rsidRPr="002828E6">
        <w:rPr>
          <w:rFonts w:asciiTheme="majorBidi" w:hAnsiTheme="majorBidi" w:cstheme="majorBidi"/>
          <w:sz w:val="24"/>
          <w:szCs w:val="24"/>
        </w:rPr>
        <w:t xml:space="preserve"> amber vial to achieve a target concentration of 6 ng/µL per analyte (24 ng/µL for ¹³C-labeled 1- and 2-naphthol). This solution was homogenized, purged with argon, capped, and stored in a refrigerator.</w:t>
      </w:r>
    </w:p>
    <w:p w14:paraId="28EA3F4E"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To prepare the internal qualification standard (I.Q.S.), 4.167 mL of W.S.I. was diluted with acetonitrile in a 1-L </w:t>
      </w:r>
      <w:proofErr w:type="spellStart"/>
      <w:r w:rsidRPr="002828E6">
        <w:rPr>
          <w:rFonts w:asciiTheme="majorBidi" w:hAnsiTheme="majorBidi" w:cstheme="majorBidi"/>
          <w:sz w:val="24"/>
          <w:szCs w:val="24"/>
        </w:rPr>
        <w:t>silanized</w:t>
      </w:r>
      <w:proofErr w:type="spellEnd"/>
      <w:r w:rsidRPr="002828E6">
        <w:rPr>
          <w:rFonts w:asciiTheme="majorBidi" w:hAnsiTheme="majorBidi" w:cstheme="majorBidi"/>
          <w:sz w:val="24"/>
          <w:szCs w:val="24"/>
        </w:rPr>
        <w:t xml:space="preserve"> volumetric flask to yield a concentration of 25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/µL per analyte. The I.Q.S. was aliquoted into amber 2-mL vials, purged with argon, capped, and stored in a refrigerator until use.</w:t>
      </w:r>
    </w:p>
    <w:p w14:paraId="3D8B4B02"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Preparation of Control Materials</w:t>
      </w:r>
    </w:p>
    <w:p w14:paraId="23C963FE"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Quality control (QC) materials were prepared by spiking 2000 mL of pooled, filtered urine with the native standard mixture at two concentration levels: 300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 xml:space="preserve">/mL for low-quality control (QCL) and </w:t>
      </w:r>
      <w:r w:rsidRPr="002828E6">
        <w:rPr>
          <w:rFonts w:asciiTheme="majorBidi" w:hAnsiTheme="majorBidi" w:cstheme="majorBidi"/>
          <w:sz w:val="24"/>
          <w:szCs w:val="24"/>
        </w:rPr>
        <w:lastRenderedPageBreak/>
        <w:t xml:space="preserve">800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/mL for high-quality control (QCH). The QC solutions were homogenized overnight to ensure equilibration and then aliquoted into 16 × 100 mm test tubes, which were stored at -70 °C until use.</w:t>
      </w:r>
    </w:p>
    <w:p w14:paraId="000DE011"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A recovery spiking solution (R.S.S.) was prepared by diluting a 40 µg/mL solution of ¹³C₁₂ PCB105 in nonane with toluene to obtain a final concentration of 100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/µL. The R.S.S. was aliquoted into amber 2-mL vials, purged with argon, sealed, and stored at 4 °C.</w:t>
      </w:r>
    </w:p>
    <w:p w14:paraId="2F59A905"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Proficiency test materials (PTs) were prepared by spiking 100 mL of filtered urine with different concentrations of W.S.A. to generate four urine pools within the linear range of the method. These solutions were homogenized overnight, aliquoted into 16 × 100 mm test tubes, and stored at -70 °C. The PT samples were randomized by an external administrator and labeled by external lab technicians.</w:t>
      </w:r>
    </w:p>
    <w:p w14:paraId="1DB5EB2E"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Calibration and Calibration Verification</w:t>
      </w:r>
    </w:p>
    <w:p w14:paraId="670BF3F6"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Prior to each analytical run, the mass spectrometer tuning and calibration were performed using an Agilent 7000A GC-MS/MS system. The system underwent "EI high sensitivity autotune," ensuring that ion abundance ratios and </w:t>
      </w:r>
      <w:proofErr w:type="spellStart"/>
      <w:r w:rsidRPr="002828E6">
        <w:rPr>
          <w:rFonts w:asciiTheme="majorBidi" w:hAnsiTheme="majorBidi" w:cstheme="majorBidi"/>
          <w:sz w:val="24"/>
          <w:szCs w:val="24"/>
        </w:rPr>
        <w:t>repeller</w:t>
      </w:r>
      <w:proofErr w:type="spellEnd"/>
      <w:r w:rsidRPr="002828E6">
        <w:rPr>
          <w:rFonts w:asciiTheme="majorBidi" w:hAnsiTheme="majorBidi" w:cstheme="majorBidi"/>
          <w:sz w:val="24"/>
          <w:szCs w:val="24"/>
        </w:rPr>
        <w:t xml:space="preserve"> voltage met performance criteria. If necessary, ion source cleaning or maintenance was performed to optimize detection sensitivity.</w:t>
      </w:r>
    </w:p>
    <w:p w14:paraId="509B23AB"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A full calibration curve was generated with each analytical run. The curve was constructed using eight external calibration standards (ECS) with concentrations ranging from 1 to 1000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 xml:space="preserve">/µL (4 to 4000 </w:t>
      </w:r>
      <w:proofErr w:type="spellStart"/>
      <w:r w:rsidRPr="002828E6">
        <w:rPr>
          <w:rFonts w:asciiTheme="majorBidi" w:hAnsiTheme="majorBidi" w:cstheme="majorBidi"/>
          <w:sz w:val="24"/>
          <w:szCs w:val="24"/>
        </w:rPr>
        <w:t>pg</w:t>
      </w:r>
      <w:proofErr w:type="spellEnd"/>
      <w:r w:rsidRPr="002828E6">
        <w:rPr>
          <w:rFonts w:asciiTheme="majorBidi" w:hAnsiTheme="majorBidi" w:cstheme="majorBidi"/>
          <w:sz w:val="24"/>
          <w:szCs w:val="24"/>
        </w:rPr>
        <w:t>/µL for 1- and 2-naphthol). Calibration was performed using a log-log regression model, plotting the log-transformed ratio of analyte peak areas to the labeled internal standard peak areas against the log-transformed concentration ratios. The R² value of the calibration curve had to be ≥0.98 for acceptance.</w:t>
      </w:r>
    </w:p>
    <w:p w14:paraId="6AB44843"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Sample Preparation and Analysis</w:t>
      </w:r>
    </w:p>
    <w:p w14:paraId="214516D2"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Enzyme Hydrolysis</w:t>
      </w:r>
    </w:p>
    <w:p w14:paraId="72894004"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Prior to analysis, urine samples and QC materials were thawed at room temperature. A 1-mL aliquot of urine was mixed with 1 mL of 1 M sodium acetate buffer (pH 5.5) containing β-glucuronidase/arylsulfatase enzyme (10 mg enzyme/mL buffer). Each sample was spiked with 40 µL of I.Q.S. using a Gilson 215 liquid handler. The tubes were gently inverted, capped, and incubated at 37 °C overnight (</w:t>
      </w:r>
      <w:r w:rsidRPr="002828E6">
        <w:rPr>
          <w:rFonts w:ascii="Cambria Math" w:hAnsi="Cambria Math" w:cs="Cambria Math"/>
          <w:sz w:val="24"/>
          <w:szCs w:val="24"/>
        </w:rPr>
        <w:t>∼</w:t>
      </w:r>
      <w:r w:rsidRPr="002828E6">
        <w:rPr>
          <w:rFonts w:asciiTheme="majorBidi" w:hAnsiTheme="majorBidi" w:cstheme="majorBidi"/>
          <w:sz w:val="24"/>
          <w:szCs w:val="24"/>
        </w:rPr>
        <w:t>17-18 hours) to allow enzymatic hydrolysis.</w:t>
      </w:r>
    </w:p>
    <w:p w14:paraId="1669CF78"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Automated Liquid-Liquid Extraction</w:t>
      </w:r>
    </w:p>
    <w:p w14:paraId="7448E55D"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To each hydrolyzed urine sample, 3 mL of deionized water was added. The Gilson 215 liquid handler was used to automate the extraction process. A solvent mixture of 20% toluene and 80% pentane (5 mL) was added to each sample, and the tubes were capped and mixed for 5 minutes at 20 rpm. Samples were centrifuged at 2800 rpm for 20-30 minutes to ensure clear separation of organic and aqueous phases. The organic phase was transferred into clean test tubes, and a second extraction was performed to collect a total of </w:t>
      </w:r>
      <w:r w:rsidRPr="002828E6">
        <w:rPr>
          <w:rFonts w:ascii="Cambria Math" w:hAnsi="Cambria Math" w:cs="Cambria Math"/>
          <w:sz w:val="24"/>
          <w:szCs w:val="24"/>
        </w:rPr>
        <w:t>∼</w:t>
      </w:r>
      <w:r w:rsidRPr="002828E6">
        <w:rPr>
          <w:rFonts w:asciiTheme="majorBidi" w:hAnsiTheme="majorBidi" w:cstheme="majorBidi"/>
          <w:sz w:val="24"/>
          <w:szCs w:val="24"/>
        </w:rPr>
        <w:t>9 mL of organic phase.</w:t>
      </w:r>
    </w:p>
    <w:p w14:paraId="2B941886"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Evaporation and Derivatization</w:t>
      </w:r>
    </w:p>
    <w:p w14:paraId="6B7D8A58"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 xml:space="preserve">The extracts were concentrated using a </w:t>
      </w:r>
      <w:proofErr w:type="spellStart"/>
      <w:r w:rsidRPr="002828E6">
        <w:rPr>
          <w:rFonts w:asciiTheme="majorBidi" w:hAnsiTheme="majorBidi" w:cstheme="majorBidi"/>
          <w:sz w:val="24"/>
          <w:szCs w:val="24"/>
        </w:rPr>
        <w:t>RapidVap</w:t>
      </w:r>
      <w:proofErr w:type="spellEnd"/>
      <w:r w:rsidRPr="002828E6">
        <w:rPr>
          <w:rFonts w:asciiTheme="majorBidi" w:hAnsiTheme="majorBidi" w:cstheme="majorBidi"/>
          <w:sz w:val="24"/>
          <w:szCs w:val="24"/>
        </w:rPr>
        <w:t xml:space="preserve"> evaporator. The pentane fraction was evaporated at 45 °C with 40% rotation speed under 400-450 mbar vacuum, followed by further evaporation of the </w:t>
      </w:r>
      <w:r w:rsidRPr="002828E6">
        <w:rPr>
          <w:rFonts w:asciiTheme="majorBidi" w:hAnsiTheme="majorBidi" w:cstheme="majorBidi"/>
          <w:sz w:val="24"/>
          <w:szCs w:val="24"/>
        </w:rPr>
        <w:lastRenderedPageBreak/>
        <w:t>toluene fraction at 80 °C with 50% rotation speed under 200-230 mbar vacuum. The final concentrated extract (~10 µL) was spiked with 20 µL of R.S.S., vortexed, and transferred into an amber autosampler vial.</w:t>
      </w:r>
    </w:p>
    <w:p w14:paraId="4A313E9D"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For derivatization, 10 µL of MSTFA was added to each sample, followed by a gentle stream of argon to displace air. The vials were quickly capped and incubated at 60 °C for 30 minutes before analysis.</w:t>
      </w:r>
    </w:p>
    <w:p w14:paraId="5E3BF58F" w14:textId="77777777" w:rsidR="002828E6" w:rsidRPr="002828E6" w:rsidRDefault="002828E6" w:rsidP="002828E6">
      <w:pPr>
        <w:jc w:val="both"/>
        <w:rPr>
          <w:rFonts w:asciiTheme="majorBidi" w:hAnsiTheme="majorBidi" w:cstheme="majorBidi"/>
          <w:b/>
          <w:bCs/>
          <w:sz w:val="24"/>
          <w:szCs w:val="24"/>
        </w:rPr>
      </w:pPr>
      <w:r w:rsidRPr="002828E6">
        <w:rPr>
          <w:rFonts w:asciiTheme="majorBidi" w:hAnsiTheme="majorBidi" w:cstheme="majorBidi"/>
          <w:b/>
          <w:bCs/>
          <w:sz w:val="24"/>
          <w:szCs w:val="24"/>
        </w:rPr>
        <w:t>GC-MS Analysis</w:t>
      </w:r>
    </w:p>
    <w:p w14:paraId="3D4857B3" w14:textId="77777777" w:rsidR="002828E6" w:rsidRPr="002828E6" w:rsidRDefault="002828E6" w:rsidP="002828E6">
      <w:pPr>
        <w:jc w:val="both"/>
        <w:rPr>
          <w:rFonts w:asciiTheme="majorBidi" w:hAnsiTheme="majorBidi" w:cstheme="majorBidi"/>
          <w:sz w:val="24"/>
          <w:szCs w:val="24"/>
        </w:rPr>
      </w:pPr>
      <w:r w:rsidRPr="002828E6">
        <w:rPr>
          <w:rFonts w:asciiTheme="majorBidi" w:hAnsiTheme="majorBidi" w:cstheme="majorBidi"/>
          <w:sz w:val="24"/>
          <w:szCs w:val="24"/>
        </w:rPr>
        <w:t>The prepared samples were analyzed using an Agilent 7000A GC-MS/MS system. The mass spectrometer was operated in electron ionization (EI) mode, and separation was achieved using a capillary GC column optimized for PAH metabolite detection. The detection of OH-PAHs was based on their characteristic mass fragmentation patterns, with quantification performed using isotopically labeled internal standards.</w:t>
      </w:r>
    </w:p>
    <w:p w14:paraId="21D40695" w14:textId="77777777" w:rsidR="009B46AC" w:rsidRPr="002828E6" w:rsidRDefault="009B46AC" w:rsidP="002828E6">
      <w:pPr>
        <w:jc w:val="both"/>
        <w:rPr>
          <w:rFonts w:asciiTheme="majorBidi" w:hAnsiTheme="majorBidi" w:cstheme="majorBidi"/>
          <w:sz w:val="24"/>
          <w:szCs w:val="24"/>
        </w:rPr>
      </w:pPr>
    </w:p>
    <w:sectPr w:rsidR="009B46AC" w:rsidRPr="002828E6" w:rsidSect="00183AD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8E6"/>
    <w:rsid w:val="00183ADE"/>
    <w:rsid w:val="002828E6"/>
    <w:rsid w:val="006F22C3"/>
    <w:rsid w:val="009B46AC"/>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29602"/>
  <w15:chartTrackingRefBased/>
  <w15:docId w15:val="{CBF8E686-6DA0-4998-B1F7-2B1305996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8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28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28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8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8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8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28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28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8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8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8E6"/>
    <w:rPr>
      <w:rFonts w:eastAsiaTheme="majorEastAsia" w:cstheme="majorBidi"/>
      <w:color w:val="272727" w:themeColor="text1" w:themeTint="D8"/>
    </w:rPr>
  </w:style>
  <w:style w:type="paragraph" w:styleId="Title">
    <w:name w:val="Title"/>
    <w:basedOn w:val="Normal"/>
    <w:next w:val="Normal"/>
    <w:link w:val="TitleChar"/>
    <w:uiPriority w:val="10"/>
    <w:qFormat/>
    <w:rsid w:val="00282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8E6"/>
    <w:pPr>
      <w:spacing w:before="160"/>
      <w:jc w:val="center"/>
    </w:pPr>
    <w:rPr>
      <w:i/>
      <w:iCs/>
      <w:color w:val="404040" w:themeColor="text1" w:themeTint="BF"/>
    </w:rPr>
  </w:style>
  <w:style w:type="character" w:customStyle="1" w:styleId="QuoteChar">
    <w:name w:val="Quote Char"/>
    <w:basedOn w:val="DefaultParagraphFont"/>
    <w:link w:val="Quote"/>
    <w:uiPriority w:val="29"/>
    <w:rsid w:val="002828E6"/>
    <w:rPr>
      <w:i/>
      <w:iCs/>
      <w:color w:val="404040" w:themeColor="text1" w:themeTint="BF"/>
    </w:rPr>
  </w:style>
  <w:style w:type="paragraph" w:styleId="ListParagraph">
    <w:name w:val="List Paragraph"/>
    <w:basedOn w:val="Normal"/>
    <w:uiPriority w:val="34"/>
    <w:qFormat/>
    <w:rsid w:val="002828E6"/>
    <w:pPr>
      <w:ind w:left="720"/>
      <w:contextualSpacing/>
    </w:pPr>
  </w:style>
  <w:style w:type="character" w:styleId="IntenseEmphasis">
    <w:name w:val="Intense Emphasis"/>
    <w:basedOn w:val="DefaultParagraphFont"/>
    <w:uiPriority w:val="21"/>
    <w:qFormat/>
    <w:rsid w:val="002828E6"/>
    <w:rPr>
      <w:i/>
      <w:iCs/>
      <w:color w:val="0F4761" w:themeColor="accent1" w:themeShade="BF"/>
    </w:rPr>
  </w:style>
  <w:style w:type="paragraph" w:styleId="IntenseQuote">
    <w:name w:val="Intense Quote"/>
    <w:basedOn w:val="Normal"/>
    <w:next w:val="Normal"/>
    <w:link w:val="IntenseQuoteChar"/>
    <w:uiPriority w:val="30"/>
    <w:qFormat/>
    <w:rsid w:val="002828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8E6"/>
    <w:rPr>
      <w:i/>
      <w:iCs/>
      <w:color w:val="0F4761" w:themeColor="accent1" w:themeShade="BF"/>
    </w:rPr>
  </w:style>
  <w:style w:type="character" w:styleId="IntenseReference">
    <w:name w:val="Intense Reference"/>
    <w:basedOn w:val="DefaultParagraphFont"/>
    <w:uiPriority w:val="32"/>
    <w:qFormat/>
    <w:rsid w:val="002828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778789">
      <w:bodyDiv w:val="1"/>
      <w:marLeft w:val="0"/>
      <w:marRight w:val="0"/>
      <w:marTop w:val="0"/>
      <w:marBottom w:val="0"/>
      <w:divBdr>
        <w:top w:val="none" w:sz="0" w:space="0" w:color="auto"/>
        <w:left w:val="none" w:sz="0" w:space="0" w:color="auto"/>
        <w:bottom w:val="none" w:sz="0" w:space="0" w:color="auto"/>
        <w:right w:val="none" w:sz="0" w:space="0" w:color="auto"/>
      </w:divBdr>
    </w:div>
    <w:div w:id="161887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1104</Words>
  <Characters>6007</Characters>
  <Application>Microsoft Office Word</Application>
  <DocSecurity>0</DocSecurity>
  <Lines>82</Lines>
  <Paragraphs>31</Paragraphs>
  <ScaleCrop>false</ScaleCrop>
  <Company>SDU</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Helal</dc:creator>
  <cp:keywords/>
  <dc:description/>
  <cp:lastModifiedBy>Mohamed Helal</cp:lastModifiedBy>
  <cp:revision>1</cp:revision>
  <dcterms:created xsi:type="dcterms:W3CDTF">2025-02-17T17:44:00Z</dcterms:created>
  <dcterms:modified xsi:type="dcterms:W3CDTF">2025-02-17T17:45:00Z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79ea8721-c4ab-40a0-b323-2d5434a397b5</vt:lpwstr>
  </property>
</Properties>
</file>