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17E22" w14:textId="41222D57" w:rsidR="00A60E1D" w:rsidRPr="008C13B4" w:rsidRDefault="008C13B4" w:rsidP="00A60E1D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  <w:lang w:val="en-US" w:eastAsia="nl-N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nl-NL"/>
        </w:rPr>
        <w:t xml:space="preserve">Table S1. </w:t>
      </w:r>
      <w:r w:rsidR="00A60E1D" w:rsidRPr="008C13B4">
        <w:rPr>
          <w:rFonts w:ascii="Times New Roman" w:hAnsi="Times New Roman" w:cs="Times New Roman"/>
          <w:sz w:val="24"/>
          <w:szCs w:val="24"/>
          <w:lang w:val="en-US" w:eastAsia="nl-NL"/>
        </w:rPr>
        <w:t xml:space="preserve">Definitions according to the Netherlands Heart Registration </w:t>
      </w:r>
    </w:p>
    <w:p w14:paraId="1010BECA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6D73F62A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Perioperative myocardial infarction</w:t>
      </w:r>
    </w:p>
    <w:p w14:paraId="14B79E99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Increase and/or decrease in one or more cardiac biomarkers (preferably troponin) by at least</w:t>
      </w:r>
    </w:p>
    <w:p w14:paraId="634C1870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one value above the 99th percentile of the upper limit, in the presence of at least one of the following symptoms:</w:t>
      </w:r>
    </w:p>
    <w:p w14:paraId="79527E1D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Symptoms consistent with ischemia (chest pain; nausea/vomiting/perspiration; shortness of breath due to left ventricular failure; dizziness/lightheadedness/syncope)</w:t>
      </w:r>
    </w:p>
    <w:p w14:paraId="6CBD2148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New significant ST-segment or T-wave abnormalities or bundle branch block</w:t>
      </w:r>
    </w:p>
    <w:p w14:paraId="2EB2C60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Development pathological Q waves on the electrocardiogram</w:t>
      </w:r>
    </w:p>
    <w:p w14:paraId="1B632880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Imaging new loss of viable myocardial tissue or new wall movement disorders</w:t>
      </w:r>
    </w:p>
    <w:p w14:paraId="46156DF2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Identification of intracoronary thrombus at angiography or autopsy.</w:t>
      </w:r>
    </w:p>
    <w:p w14:paraId="3F27C6A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73FC405D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Pneumonia</w:t>
      </w:r>
    </w:p>
    <w:p w14:paraId="2F3E383B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Lung infection/pneumonia with positive sputum cultures.</w:t>
      </w:r>
    </w:p>
    <w:p w14:paraId="0100006F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781D635C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Urinary tract infection</w:t>
      </w:r>
    </w:p>
    <w:p w14:paraId="1A79B3BE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Infection with positive urine culture.</w:t>
      </w:r>
    </w:p>
    <w:p w14:paraId="49F12DA8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44715142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Reintubation due to respiratory insufficiency</w:t>
      </w:r>
    </w:p>
    <w:p w14:paraId="4A4738E7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Respiratory failure </w:t>
      </w: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requiring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reintubation.</w:t>
      </w:r>
    </w:p>
    <w:p w14:paraId="295ECD49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34F63B6B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Prolonged intubation (&gt;24 hours)</w:t>
      </w:r>
    </w:p>
    <w:p w14:paraId="65523FCD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Ventilation for more than 24 hours.</w:t>
      </w:r>
    </w:p>
    <w:p w14:paraId="1F6683B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3AD736E8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Readmission to ICU</w:t>
      </w:r>
    </w:p>
    <w:p w14:paraId="6D6223B1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Readmission to the Intensive Care Unit (ICU) or Post Anesthesia Care Unit (PACU) after initial discharge from the IC/PACU. This does not include a stay in </w:t>
      </w: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the Medium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Care (MC).</w:t>
      </w:r>
    </w:p>
    <w:p w14:paraId="69002D17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46CECBDB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Stroke</w:t>
      </w:r>
    </w:p>
    <w:p w14:paraId="066F7E1C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The combined endpoint of stroke without neurological deficit and stroke with neurological deficit.</w:t>
      </w:r>
    </w:p>
    <w:p w14:paraId="7E459AB6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4F4D2E34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 xml:space="preserve">Stroke without neurological deficit </w:t>
      </w:r>
    </w:p>
    <w:p w14:paraId="5EF264EB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A neurologist has determined that a central neurological deficit (CVA) during</w:t>
      </w:r>
    </w:p>
    <w:p w14:paraId="14167805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the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postoperative period has occurred, but with no residual injury at discharge.</w:t>
      </w:r>
    </w:p>
    <w:p w14:paraId="3D0719D4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This also includes a Transient Ischemic Attack (TIA)</w:t>
      </w:r>
    </w:p>
    <w:p w14:paraId="5476B4D4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6904088C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Stroke with neurological deficit</w:t>
      </w:r>
    </w:p>
    <w:p w14:paraId="5AC8D366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A neurologist has determined that a postoperative stroke has occurred during the</w:t>
      </w:r>
    </w:p>
    <w:p w14:paraId="6562E98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hospitalization for the current intervention (excluding TIA).</w:t>
      </w:r>
    </w:p>
    <w:p w14:paraId="1EA5314A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CVA = permanent neurological dysfunction diagnosed by a neurologist as</w:t>
      </w:r>
    </w:p>
    <w:p w14:paraId="4260B089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due to focal ischemia of the brain, spinal cord, or retina, caused by</w:t>
      </w:r>
    </w:p>
    <w:p w14:paraId="12614AA5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lastRenderedPageBreak/>
        <w:t>an acute infarction of the neurological tissue due to thrombosis, embolism,</w:t>
      </w:r>
    </w:p>
    <w:p w14:paraId="39794B5F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systemic hypoperfusion or bleeding.</w:t>
      </w:r>
    </w:p>
    <w:p w14:paraId="7D4D5486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1AB090CB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Kidney failure</w:t>
      </w:r>
    </w:p>
    <w:p w14:paraId="02AF75D2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Renal failure that occurs if one or more of the following STS criteria are met during the postoperative period</w:t>
      </w:r>
    </w:p>
    <w:p w14:paraId="2047A400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 xml:space="preserve">Renal replacement therapy (dialysis, CVVH) which was not initiated preoperatively </w:t>
      </w:r>
    </w:p>
    <w:p w14:paraId="776B5C01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 xml:space="preserve">Highest postoperative creatinine value &gt; 177 µmol/L and doubling of the preoperative value (preoperative value being the value of the creatinine used to </w:t>
      </w: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calculated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the EuroSCORE).</w:t>
      </w:r>
    </w:p>
    <w:p w14:paraId="6CB5988F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0DAA8C14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Gastro-intestinal complications</w:t>
      </w:r>
    </w:p>
    <w:p w14:paraId="62CCA4EB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Bleeding: gastrointestinal </w:t>
      </w: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bleeding requiring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therapy such as transfusion,</w:t>
      </w:r>
    </w:p>
    <w:p w14:paraId="5FDFBA6A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scope or surgery.</w:t>
      </w:r>
    </w:p>
    <w:p w14:paraId="24FF55B1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Other: intestinal ischemia, acalculous cholecystitis.</w:t>
      </w:r>
    </w:p>
    <w:p w14:paraId="72873154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477C4F0A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Vascular complications</w:t>
      </w:r>
    </w:p>
    <w:p w14:paraId="06F0FF4A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The occurrence of any vascular complications during hospitalization,</w:t>
      </w:r>
    </w:p>
    <w:p w14:paraId="667E666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diagnosis according to the VARC-2 definitions, from the start of the current intervention</w:t>
      </w:r>
    </w:p>
    <w:p w14:paraId="1A2AE020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(including </w:t>
      </w:r>
      <w:proofErr w:type="spell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peroperative</w:t>
      </w:r>
      <w:proofErr w:type="spell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vascular complications and excluding stroke).</w:t>
      </w:r>
    </w:p>
    <w:p w14:paraId="79E4DE46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5C301B8A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New-onset arrhythmia</w:t>
      </w:r>
    </w:p>
    <w:p w14:paraId="3C9D5D91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All forms of de novo rhythm problems requiring treatment (such as</w:t>
      </w:r>
    </w:p>
    <w:p w14:paraId="7C1B54BF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resuscitation in connection with asystole, new onset atrial fibrillation / flutter for which</w:t>
      </w:r>
    </w:p>
    <w:p w14:paraId="3F8F11C2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specific intervention (defibrillation, medication) is necessary). This does not include: a spontaneously transient period of atrial fibrillation, without any</w:t>
      </w:r>
    </w:p>
    <w:p w14:paraId="6EA90861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consequence for the patient.</w:t>
      </w:r>
    </w:p>
    <w:p w14:paraId="65B3675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2E8FBF2F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Mediastinitis</w:t>
      </w:r>
    </w:p>
    <w:p w14:paraId="5BA6345B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Deep sternal wound infection (mediastinitis) within 30 days. Includes muscle, sternum,</w:t>
      </w:r>
    </w:p>
    <w:p w14:paraId="12336F70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mediastinum and is positive if one or more of the following criteria is present:</w:t>
      </w:r>
    </w:p>
    <w:p w14:paraId="5A46D023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Surgical drainage / sternum refixation in deep sternum wound infection</w:t>
      </w:r>
    </w:p>
    <w:p w14:paraId="69ABAE3F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Positive wound cultures.</w:t>
      </w:r>
    </w:p>
    <w:p w14:paraId="7A48976D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•</w:t>
      </w: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ab/>
        <w:t>AB therapy due to the sternum wound.</w:t>
      </w:r>
    </w:p>
    <w:p w14:paraId="4DE62A0E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This includes a deep sternal wound infection that occurred after the patient</w:t>
      </w:r>
    </w:p>
    <w:p w14:paraId="11E845DD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was discharged from the hospital.</w:t>
      </w:r>
    </w:p>
    <w:p w14:paraId="16CCDC8B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4C358F3F" w14:textId="77777777" w:rsidR="00A60E1D" w:rsidRPr="009E4338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</w:pPr>
      <w:proofErr w:type="spellStart"/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>Reexploration</w:t>
      </w:r>
      <w:proofErr w:type="spellEnd"/>
      <w:r w:rsidRPr="009E4338">
        <w:rPr>
          <w:rFonts w:ascii="Times New Roman" w:hAnsi="Times New Roman" w:cs="Times New Roman"/>
          <w:b/>
          <w:bCs/>
          <w:sz w:val="20"/>
          <w:szCs w:val="20"/>
          <w:lang w:val="en-US" w:eastAsia="nl-NL"/>
        </w:rPr>
        <w:t xml:space="preserve"> (within 30 days)</w:t>
      </w:r>
    </w:p>
    <w:p w14:paraId="3DC53A0E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proofErr w:type="spell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Rethoracotomy</w:t>
      </w:r>
      <w:proofErr w:type="spell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within 30 days after initial surgery due to a complication of the current intervention. This also includes </w:t>
      </w:r>
      <w:proofErr w:type="spell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rethoracotomies</w:t>
      </w:r>
      <w:proofErr w:type="spell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performed after the patient has been discharged.</w:t>
      </w:r>
    </w:p>
    <w:p w14:paraId="52510094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This concerns the first </w:t>
      </w:r>
      <w:proofErr w:type="spell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rethoracotomy</w:t>
      </w:r>
      <w:proofErr w:type="spell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after the initial closing of the thorax. This</w:t>
      </w:r>
    </w:p>
    <w:p w14:paraId="08901146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applies to all causes, </w:t>
      </w:r>
      <w:proofErr w:type="gramStart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with the exception of</w:t>
      </w:r>
      <w:proofErr w:type="gramEnd"/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 xml:space="preserve"> opening the sternum in due to </w:t>
      </w:r>
    </w:p>
    <w:p w14:paraId="19F3664D" w14:textId="77777777" w:rsidR="00A60E1D" w:rsidRPr="00C241AF" w:rsidRDefault="00A60E1D" w:rsidP="00A60E1D">
      <w:pPr>
        <w:spacing w:after="0" w:line="360" w:lineRule="auto"/>
        <w:outlineLvl w:val="0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C241AF">
        <w:rPr>
          <w:rFonts w:ascii="Times New Roman" w:hAnsi="Times New Roman" w:cs="Times New Roman"/>
          <w:sz w:val="20"/>
          <w:szCs w:val="20"/>
          <w:lang w:val="en-US" w:eastAsia="nl-NL"/>
        </w:rPr>
        <w:t>mediastinitis or refixation of the sternum.</w:t>
      </w:r>
    </w:p>
    <w:p w14:paraId="4BDBCD5C" w14:textId="77777777" w:rsidR="004048FA" w:rsidRPr="00A60E1D" w:rsidRDefault="004048FA">
      <w:pPr>
        <w:rPr>
          <w:lang w:val="en-US"/>
        </w:rPr>
      </w:pPr>
    </w:p>
    <w:sectPr w:rsidR="004048FA" w:rsidRPr="00A60E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1D"/>
    <w:rsid w:val="000D37C1"/>
    <w:rsid w:val="00353562"/>
    <w:rsid w:val="004048FA"/>
    <w:rsid w:val="008C13B4"/>
    <w:rsid w:val="00A60E1D"/>
    <w:rsid w:val="00C6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BEE2"/>
  <w15:chartTrackingRefBased/>
  <w15:docId w15:val="{4D3E1638-BF32-4029-9FC3-BD18A6D0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0E1D"/>
    <w:rPr>
      <w:lang w:val="nl-N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0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0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0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0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0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0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0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0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0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0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0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0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0E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0E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0E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0E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0E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0E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0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A60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0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0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0E1D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A60E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0E1D"/>
    <w:pPr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A60E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0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0E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0E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Sinclair</dc:creator>
  <cp:keywords/>
  <dc:description/>
  <cp:lastModifiedBy>Alan Sinclair</cp:lastModifiedBy>
  <cp:revision>2</cp:revision>
  <dcterms:created xsi:type="dcterms:W3CDTF">2024-11-14T10:20:00Z</dcterms:created>
  <dcterms:modified xsi:type="dcterms:W3CDTF">2024-11-14T10:31:00Z</dcterms:modified>
</cp:coreProperties>
</file>