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F3E9A" w14:textId="77777777" w:rsidR="000C01EE" w:rsidRPr="008C75BA" w:rsidRDefault="000C01EE" w:rsidP="000C01EE">
      <w:pPr>
        <w:spacing w:line="480" w:lineRule="auto"/>
        <w:jc w:val="both"/>
        <w:rPr>
          <w:rFonts w:ascii="Times New Roman" w:hAnsi="Times New Roman" w:cs="Times New Roman"/>
          <w:sz w:val="20"/>
          <w:szCs w:val="20"/>
        </w:rPr>
      </w:pPr>
      <w:r w:rsidRPr="008C75BA">
        <w:rPr>
          <w:rFonts w:ascii="Times New Roman" w:hAnsi="Times New Roman" w:cs="Times New Roman"/>
          <w:b/>
          <w:bCs/>
          <w:sz w:val="20"/>
          <w:szCs w:val="20"/>
        </w:rPr>
        <w:t>Methods</w:t>
      </w:r>
    </w:p>
    <w:p w14:paraId="7C81797A" w14:textId="77777777" w:rsidR="000C01EE" w:rsidRPr="008C75BA" w:rsidRDefault="000C01EE" w:rsidP="000C01EE">
      <w:pPr>
        <w:spacing w:line="480" w:lineRule="auto"/>
        <w:jc w:val="both"/>
        <w:rPr>
          <w:rFonts w:ascii="Times New Roman" w:hAnsi="Times New Roman" w:cs="Times New Roman"/>
          <w:b/>
          <w:bCs/>
          <w:sz w:val="20"/>
          <w:szCs w:val="20"/>
        </w:rPr>
      </w:pPr>
      <w:r w:rsidRPr="008C75BA">
        <w:rPr>
          <w:rFonts w:ascii="Times New Roman" w:hAnsi="Times New Roman" w:cs="Times New Roman"/>
          <w:b/>
          <w:bCs/>
          <w:sz w:val="20"/>
          <w:szCs w:val="20"/>
        </w:rPr>
        <w:t>Plasma, serum and PBMCs collection</w:t>
      </w:r>
    </w:p>
    <w:p w14:paraId="0E1E2DDE" w14:textId="2F89AA8A" w:rsidR="000C01EE" w:rsidRPr="008C75BA" w:rsidRDefault="000C01EE" w:rsidP="000C01EE">
      <w:pPr>
        <w:spacing w:line="480" w:lineRule="auto"/>
        <w:jc w:val="both"/>
        <w:rPr>
          <w:rFonts w:ascii="Times New Roman" w:hAnsi="Times New Roman" w:cs="Times New Roman"/>
          <w:sz w:val="20"/>
          <w:szCs w:val="20"/>
        </w:rPr>
      </w:pPr>
      <w:r w:rsidRPr="008C75BA">
        <w:rPr>
          <w:rFonts w:ascii="Times New Roman" w:hAnsi="Times New Roman" w:cs="Times New Roman"/>
          <w:sz w:val="20"/>
          <w:szCs w:val="20"/>
        </w:rPr>
        <w:t xml:space="preserve">Blood samples were collected from all participants. Blood samples were taken through venipuncture. Serum and plasma were derived from </w:t>
      </w:r>
      <w:proofErr w:type="gramStart"/>
      <w:r w:rsidRPr="008C75BA">
        <w:rPr>
          <w:rFonts w:ascii="Times New Roman" w:hAnsi="Times New Roman" w:cs="Times New Roman"/>
          <w:sz w:val="20"/>
          <w:szCs w:val="20"/>
        </w:rPr>
        <w:t>the blood</w:t>
      </w:r>
      <w:proofErr w:type="gramEnd"/>
      <w:r w:rsidRPr="008C75BA">
        <w:rPr>
          <w:rFonts w:ascii="Times New Roman" w:hAnsi="Times New Roman" w:cs="Times New Roman"/>
          <w:sz w:val="20"/>
          <w:szCs w:val="20"/>
        </w:rPr>
        <w:t xml:space="preserve"> samples. Serum was collected by drawing blood into BD Vacutainer Serum Tubes (BD Medical), samples were rested for 30 minutes to allow coagulation, then the tube was spun down at 1500xg for 10 minutes. The upper serum phase was then collected and stored at -80 °C. Plasma was collected by drawing blood into BD Vacutainer EDTA Tubes (BD Medical). Within 30 minutes after blood drawing, the tube was spun down at 2000xg for 10 minutes at room temperature. The upper plasma phase was then collected and stored at -80 °C. Peripheral blood mononuclear cells (PBMCs) were collected by drawing blood into BD Vacutainer CPT tubes (BD Medical) and spinning down at 1600xg for 15 minutes. PBMC phase was transferred and spun down at 300xg for 10 minutes. PBMCs were </w:t>
      </w:r>
      <w:proofErr w:type="gramStart"/>
      <w:r w:rsidRPr="008C75BA">
        <w:rPr>
          <w:rFonts w:ascii="Times New Roman" w:hAnsi="Times New Roman" w:cs="Times New Roman"/>
          <w:sz w:val="20"/>
          <w:szCs w:val="20"/>
        </w:rPr>
        <w:t>resuspend</w:t>
      </w:r>
      <w:proofErr w:type="gramEnd"/>
      <w:r w:rsidRPr="008C75BA">
        <w:rPr>
          <w:rFonts w:ascii="Times New Roman" w:hAnsi="Times New Roman" w:cs="Times New Roman"/>
          <w:sz w:val="20"/>
          <w:szCs w:val="20"/>
        </w:rPr>
        <w:t xml:space="preserve"> and frozen in RPMI supplemented with 40% FCS (Gibco) and 10% DMSO (Sigma) and stored in liquid nitrogen.</w:t>
      </w:r>
    </w:p>
    <w:p w14:paraId="36D24A88" w14:textId="77777777" w:rsidR="000C01EE" w:rsidRPr="008C75BA" w:rsidRDefault="000C01EE" w:rsidP="000C01EE">
      <w:pPr>
        <w:spacing w:line="480" w:lineRule="auto"/>
        <w:jc w:val="both"/>
        <w:rPr>
          <w:rFonts w:ascii="Times New Roman" w:hAnsi="Times New Roman" w:cs="Times New Roman"/>
          <w:b/>
          <w:bCs/>
          <w:sz w:val="20"/>
          <w:szCs w:val="20"/>
        </w:rPr>
      </w:pPr>
      <w:r w:rsidRPr="008C75BA">
        <w:rPr>
          <w:rFonts w:ascii="Times New Roman" w:hAnsi="Times New Roman" w:cs="Times New Roman"/>
          <w:b/>
          <w:bCs/>
          <w:sz w:val="20"/>
          <w:szCs w:val="20"/>
        </w:rPr>
        <w:t>NT-proBNP and Troponin T measurement</w:t>
      </w:r>
    </w:p>
    <w:p w14:paraId="3C8215AE" w14:textId="77777777" w:rsidR="000C01EE" w:rsidRPr="008C75BA" w:rsidRDefault="000C01EE" w:rsidP="000C01EE">
      <w:pPr>
        <w:spacing w:line="480" w:lineRule="auto"/>
        <w:jc w:val="both"/>
        <w:rPr>
          <w:rFonts w:ascii="Times New Roman" w:hAnsi="Times New Roman" w:cs="Times New Roman"/>
          <w:sz w:val="20"/>
          <w:szCs w:val="20"/>
        </w:rPr>
      </w:pPr>
      <w:r w:rsidRPr="008C75BA">
        <w:rPr>
          <w:rFonts w:ascii="Times New Roman" w:hAnsi="Times New Roman" w:cs="Times New Roman"/>
          <w:sz w:val="20"/>
          <w:szCs w:val="20"/>
        </w:rPr>
        <w:t xml:space="preserve">NT-proBNP and Troponin were measured using a Cobas analyzer and the Elecsys NT-proBNP II kit (Roche, #04842464)  and Troponin T </w:t>
      </w:r>
      <w:proofErr w:type="spellStart"/>
      <w:r w:rsidRPr="008C75BA">
        <w:rPr>
          <w:rFonts w:ascii="Times New Roman" w:hAnsi="Times New Roman" w:cs="Times New Roman"/>
          <w:sz w:val="20"/>
          <w:szCs w:val="20"/>
        </w:rPr>
        <w:t>hs</w:t>
      </w:r>
      <w:proofErr w:type="spellEnd"/>
      <w:r w:rsidRPr="008C75BA">
        <w:rPr>
          <w:rFonts w:ascii="Times New Roman" w:hAnsi="Times New Roman" w:cs="Times New Roman"/>
          <w:sz w:val="20"/>
          <w:szCs w:val="20"/>
        </w:rPr>
        <w:t xml:space="preserve"> kit (Roche, #05092744).</w:t>
      </w:r>
    </w:p>
    <w:p w14:paraId="6586789E" w14:textId="77777777" w:rsidR="000C01EE" w:rsidRPr="008C75BA" w:rsidRDefault="000C01EE" w:rsidP="000C01EE">
      <w:pPr>
        <w:spacing w:line="480" w:lineRule="auto"/>
        <w:jc w:val="both"/>
        <w:rPr>
          <w:rFonts w:ascii="Times New Roman" w:hAnsi="Times New Roman" w:cs="Times New Roman"/>
          <w:b/>
          <w:bCs/>
          <w:sz w:val="20"/>
          <w:szCs w:val="20"/>
        </w:rPr>
      </w:pPr>
      <w:r w:rsidRPr="008C75BA">
        <w:rPr>
          <w:rFonts w:ascii="Times New Roman" w:hAnsi="Times New Roman" w:cs="Times New Roman"/>
          <w:b/>
          <w:bCs/>
          <w:sz w:val="20"/>
          <w:szCs w:val="20"/>
        </w:rPr>
        <w:t>iPSC Generation</w:t>
      </w:r>
    </w:p>
    <w:p w14:paraId="72CE3F61" w14:textId="77777777" w:rsidR="000C01EE" w:rsidRPr="008C75BA" w:rsidRDefault="000C01EE" w:rsidP="000C01EE">
      <w:pPr>
        <w:pStyle w:val="Lijstalinea"/>
        <w:spacing w:line="480" w:lineRule="auto"/>
        <w:ind w:left="0"/>
        <w:jc w:val="both"/>
        <w:rPr>
          <w:rFonts w:ascii="Times New Roman" w:hAnsi="Times New Roman" w:cs="Times New Roman"/>
          <w:sz w:val="20"/>
          <w:szCs w:val="20"/>
        </w:rPr>
      </w:pPr>
      <w:r w:rsidRPr="008C75BA">
        <w:rPr>
          <w:rFonts w:ascii="Times New Roman" w:hAnsi="Times New Roman" w:cs="Times New Roman"/>
          <w:sz w:val="20"/>
          <w:szCs w:val="20"/>
        </w:rPr>
        <w:t>Skin biopsies for iPSC generation were collected from end-stage R14</w:t>
      </w:r>
      <w:r w:rsidRPr="008C75BA">
        <w:rPr>
          <w:rFonts w:ascii="Times New Roman" w:hAnsi="Times New Roman" w:cs="Times New Roman"/>
          <w:sz w:val="20"/>
          <w:szCs w:val="20"/>
          <w:vertAlign w:val="superscript"/>
        </w:rPr>
        <w:t>Δ/+</w:t>
      </w:r>
      <w:r w:rsidRPr="008C75BA">
        <w:rPr>
          <w:rFonts w:ascii="Times New Roman" w:hAnsi="Times New Roman" w:cs="Times New Roman"/>
          <w:sz w:val="20"/>
          <w:szCs w:val="20"/>
        </w:rPr>
        <w:t xml:space="preserve"> patients and R14</w:t>
      </w:r>
      <w:r w:rsidRPr="008C75BA">
        <w:rPr>
          <w:rFonts w:ascii="Times New Roman" w:hAnsi="Times New Roman" w:cs="Times New Roman"/>
          <w:sz w:val="20"/>
          <w:szCs w:val="20"/>
          <w:vertAlign w:val="superscript"/>
        </w:rPr>
        <w:t>Δ/+</w:t>
      </w:r>
      <w:r w:rsidRPr="008C75BA">
        <w:rPr>
          <w:rFonts w:ascii="Times New Roman" w:hAnsi="Times New Roman" w:cs="Times New Roman"/>
          <w:sz w:val="20"/>
          <w:szCs w:val="20"/>
        </w:rPr>
        <w:t xml:space="preserve"> family members. Skin biopsies were obtained from end-stage R14</w:t>
      </w:r>
      <w:r w:rsidRPr="008C75BA">
        <w:rPr>
          <w:rFonts w:ascii="Times New Roman" w:hAnsi="Times New Roman" w:cs="Times New Roman"/>
          <w:sz w:val="20"/>
          <w:szCs w:val="20"/>
          <w:vertAlign w:val="superscript"/>
        </w:rPr>
        <w:t xml:space="preserve">Δ/+ </w:t>
      </w:r>
      <w:r w:rsidRPr="008C75BA">
        <w:rPr>
          <w:rFonts w:ascii="Times New Roman" w:hAnsi="Times New Roman" w:cs="Times New Roman"/>
          <w:sz w:val="20"/>
          <w:szCs w:val="20"/>
        </w:rPr>
        <w:t>patients and unaffected R14</w:t>
      </w:r>
      <w:r w:rsidRPr="008C75BA">
        <w:rPr>
          <w:rFonts w:ascii="Times New Roman" w:hAnsi="Times New Roman" w:cs="Times New Roman"/>
          <w:sz w:val="20"/>
          <w:szCs w:val="20"/>
          <w:vertAlign w:val="superscript"/>
        </w:rPr>
        <w:t>Δ/+</w:t>
      </w:r>
      <w:r w:rsidRPr="008C75BA">
        <w:rPr>
          <w:rFonts w:ascii="Times New Roman" w:hAnsi="Times New Roman" w:cs="Times New Roman"/>
          <w:sz w:val="20"/>
          <w:szCs w:val="20"/>
        </w:rPr>
        <w:t xml:space="preserve"> family members. Skin biopsies were collected in phosphate buffered saline (PBS) (Lonza) under sterile conditions from the inner side of the upper arm under local injected anesthesia. Skin biopsies were cut into small pieces and fibroblasts were brought into culture and expanded </w:t>
      </w:r>
      <w:proofErr w:type="gramStart"/>
      <w:r w:rsidRPr="008C75BA">
        <w:rPr>
          <w:rFonts w:ascii="Times New Roman" w:hAnsi="Times New Roman" w:cs="Times New Roman"/>
          <w:sz w:val="20"/>
          <w:szCs w:val="20"/>
        </w:rPr>
        <w:t>in</w:t>
      </w:r>
      <w:proofErr w:type="gramEnd"/>
      <w:r w:rsidRPr="008C75BA">
        <w:rPr>
          <w:rFonts w:ascii="Times New Roman" w:hAnsi="Times New Roman" w:cs="Times New Roman"/>
          <w:sz w:val="20"/>
          <w:szCs w:val="20"/>
        </w:rPr>
        <w:t xml:space="preserve"> AmnioMAX medium (Thermofisher) diluted with Ham’s F12 (Thermofisher) supplemented with 10% FCS (Gibco), 1% GlutaMAX (Gibco) and 1% Pen/Strep (Thermofisher). Fibroblasts were reprogrammed into iPSC using Sendai virus reprogramming following standard procedures</w:t>
      </w:r>
      <w:sdt>
        <w:sdtPr>
          <w:rPr>
            <w:rFonts w:ascii="Times New Roman" w:hAnsi="Times New Roman" w:cs="Times New Roman"/>
            <w:color w:val="000000"/>
            <w:sz w:val="20"/>
            <w:szCs w:val="20"/>
          </w:rPr>
          <w:tag w:val="MENDELEY_CITATION_v3_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"/>
          <w:id w:val="-1963025471"/>
          <w:placeholder>
            <w:docPart w:val="F17E9423A9E4455B82557B1F6A3AE454"/>
          </w:placeholder>
        </w:sdtPr>
        <w:sdtContent>
          <w:r w:rsidRPr="008C75BA">
            <w:rPr>
              <w:rFonts w:ascii="Times New Roman" w:hAnsi="Times New Roman" w:cs="Times New Roman"/>
              <w:color w:val="000000"/>
              <w:sz w:val="20"/>
              <w:szCs w:val="20"/>
            </w:rPr>
            <w:t>[23]</w:t>
          </w:r>
        </w:sdtContent>
      </w:sdt>
      <w:r w:rsidRPr="008C75BA">
        <w:rPr>
          <w:rFonts w:ascii="Times New Roman" w:hAnsi="Times New Roman" w:cs="Times New Roman"/>
          <w:sz w:val="20"/>
          <w:szCs w:val="20"/>
        </w:rPr>
        <w:t>. iPSCs derived from skin fibroblasts were stained for stemness using anti-SOX2 (Cell Signaling, #4900), with ALEXA fluor 488 (Invitrogen, A21202). iPSC-CMs were differentiated towards the cardiomyocyte lineage following standard procedures</w:t>
      </w:r>
      <w:sdt>
        <w:sdtPr>
          <w:rPr>
            <w:rFonts w:ascii="Times New Roman" w:hAnsi="Times New Roman" w:cs="Times New Roman"/>
            <w:color w:val="000000"/>
            <w:sz w:val="20"/>
            <w:szCs w:val="20"/>
          </w:rPr>
          <w:tag w:val="MENDELEY_CITATION_v3_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"/>
          <w:id w:val="1562672575"/>
          <w:placeholder>
            <w:docPart w:val="F17E9423A9E4455B82557B1F6A3AE454"/>
          </w:placeholder>
        </w:sdtPr>
        <w:sdtContent>
          <w:r w:rsidRPr="008C75BA">
            <w:rPr>
              <w:rFonts w:ascii="Times New Roman" w:hAnsi="Times New Roman" w:cs="Times New Roman"/>
              <w:color w:val="000000"/>
              <w:sz w:val="20"/>
              <w:szCs w:val="20"/>
            </w:rPr>
            <w:t>[24]</w:t>
          </w:r>
        </w:sdtContent>
      </w:sdt>
      <w:r w:rsidRPr="008C75BA">
        <w:rPr>
          <w:rFonts w:ascii="Times New Roman" w:hAnsi="Times New Roman" w:cs="Times New Roman"/>
          <w:color w:val="000000"/>
          <w:sz w:val="20"/>
          <w:szCs w:val="20"/>
        </w:rPr>
        <w:t>,</w:t>
      </w:r>
      <w:r w:rsidRPr="008C75BA">
        <w:rPr>
          <w:rFonts w:ascii="Times New Roman" w:hAnsi="Times New Roman" w:cs="Times New Roman"/>
          <w:sz w:val="20"/>
          <w:szCs w:val="20"/>
        </w:rPr>
        <w:t xml:space="preserve"> and stained for cardiac markers using anti-cTNT (Abcam, ab45932) and anti-α-actinin (Sigma, A7732), with ALEXA 488 donkey-anti-mouse (Invitrogen, A21202) and ALEXA 488 donkey-anti-rabbit (Invitrogen, A31572).</w:t>
      </w:r>
    </w:p>
    <w:p w14:paraId="5EDC042A" w14:textId="77777777" w:rsidR="008C75BA" w:rsidRDefault="008C75BA" w:rsidP="000C01EE">
      <w:pPr>
        <w:spacing w:line="480" w:lineRule="auto"/>
        <w:jc w:val="both"/>
        <w:rPr>
          <w:rFonts w:ascii="Times New Roman" w:hAnsi="Times New Roman" w:cs="Times New Roman"/>
          <w:b/>
          <w:bCs/>
          <w:sz w:val="20"/>
          <w:szCs w:val="20"/>
        </w:rPr>
      </w:pPr>
    </w:p>
    <w:p w14:paraId="6D626159" w14:textId="6F139F88" w:rsidR="000C01EE" w:rsidRPr="008C75BA" w:rsidRDefault="000C01EE" w:rsidP="000C01EE">
      <w:pPr>
        <w:spacing w:line="480" w:lineRule="auto"/>
        <w:jc w:val="both"/>
        <w:rPr>
          <w:rFonts w:ascii="Times New Roman" w:hAnsi="Times New Roman" w:cs="Times New Roman"/>
          <w:b/>
          <w:bCs/>
          <w:sz w:val="20"/>
          <w:szCs w:val="20"/>
        </w:rPr>
      </w:pPr>
      <w:r w:rsidRPr="008C75BA">
        <w:rPr>
          <w:rFonts w:ascii="Times New Roman" w:hAnsi="Times New Roman" w:cs="Times New Roman"/>
          <w:b/>
          <w:bCs/>
          <w:sz w:val="20"/>
          <w:szCs w:val="20"/>
        </w:rPr>
        <w:lastRenderedPageBreak/>
        <w:t>Heart tissue collection</w:t>
      </w:r>
    </w:p>
    <w:p w14:paraId="723D8FEF" w14:textId="77777777" w:rsidR="000C01EE" w:rsidRPr="008C75BA" w:rsidRDefault="000C01EE" w:rsidP="000C01EE">
      <w:pPr>
        <w:spacing w:line="480" w:lineRule="auto"/>
        <w:jc w:val="both"/>
        <w:rPr>
          <w:rFonts w:ascii="Times New Roman" w:hAnsi="Times New Roman" w:cs="Times New Roman"/>
          <w:sz w:val="20"/>
          <w:szCs w:val="20"/>
        </w:rPr>
      </w:pPr>
      <w:r w:rsidRPr="008C75BA">
        <w:rPr>
          <w:rFonts w:ascii="Times New Roman" w:hAnsi="Times New Roman" w:cs="Times New Roman"/>
          <w:sz w:val="20"/>
          <w:szCs w:val="20"/>
        </w:rPr>
        <w:t>Heart tissue was collected from end-stage R14</w:t>
      </w:r>
      <w:r w:rsidRPr="008C75BA">
        <w:rPr>
          <w:rFonts w:ascii="Times New Roman" w:hAnsi="Times New Roman" w:cs="Times New Roman"/>
          <w:sz w:val="20"/>
          <w:szCs w:val="20"/>
          <w:vertAlign w:val="superscript"/>
        </w:rPr>
        <w:t>Δ/+</w:t>
      </w:r>
      <w:r w:rsidRPr="008C75BA">
        <w:rPr>
          <w:rFonts w:ascii="Times New Roman" w:hAnsi="Times New Roman" w:cs="Times New Roman"/>
          <w:sz w:val="20"/>
          <w:szCs w:val="20"/>
        </w:rPr>
        <w:t xml:space="preserve"> patients undergoing LVAD implantation or heart transplantation, with other etiologies of HF as controls. From participants undergoing LVAD implantation, the heart was derived from the hole that is made for the cannula of the LVAD in the left ventricular free wall. From participants undergoing heart transplantation, tissue from the ventricles and atria were collected after explanting of the heart. Heart tissue was prepared for extensive characterization by storing at -80°C for molecular analysis and as cryo- and paraffin sections for immune(histo)chemistry, and in 2% paraformaldehyde with 2% glutaraldehyde fixative for electron microscopy.</w:t>
      </w:r>
    </w:p>
    <w:p w14:paraId="3EC7C6B9" w14:textId="77777777" w:rsidR="000C01EE" w:rsidRPr="008C75BA" w:rsidRDefault="000C01EE" w:rsidP="000C01EE">
      <w:pPr>
        <w:spacing w:line="480" w:lineRule="auto"/>
        <w:jc w:val="both"/>
        <w:rPr>
          <w:rFonts w:ascii="Times New Roman" w:hAnsi="Times New Roman" w:cs="Times New Roman"/>
          <w:b/>
          <w:bCs/>
          <w:sz w:val="20"/>
          <w:szCs w:val="20"/>
        </w:rPr>
      </w:pPr>
      <w:r w:rsidRPr="008C75BA">
        <w:rPr>
          <w:rFonts w:ascii="Times New Roman" w:hAnsi="Times New Roman" w:cs="Times New Roman"/>
          <w:b/>
          <w:bCs/>
          <w:sz w:val="20"/>
          <w:szCs w:val="20"/>
        </w:rPr>
        <w:t>Histological analysis</w:t>
      </w:r>
    </w:p>
    <w:p w14:paraId="111F8DA3" w14:textId="40FD8331" w:rsidR="00680250" w:rsidRPr="008C75BA" w:rsidRDefault="000C01EE" w:rsidP="000C01EE">
      <w:pPr>
        <w:spacing w:line="480" w:lineRule="auto"/>
        <w:jc w:val="both"/>
        <w:rPr>
          <w:rFonts w:ascii="Times New Roman" w:hAnsi="Times New Roman" w:cs="Times New Roman"/>
          <w:sz w:val="20"/>
          <w:szCs w:val="20"/>
        </w:rPr>
      </w:pPr>
      <w:r w:rsidRPr="008C75BA">
        <w:rPr>
          <w:rFonts w:ascii="Times New Roman" w:hAnsi="Times New Roman" w:cs="Times New Roman"/>
          <w:sz w:val="20"/>
          <w:szCs w:val="20"/>
        </w:rPr>
        <w:t>Formalin-fixed paraffin-embedded heart tissue from end-stage patients with R14</w:t>
      </w:r>
      <w:r w:rsidRPr="008C75BA">
        <w:rPr>
          <w:rFonts w:ascii="Times New Roman" w:hAnsi="Times New Roman" w:cs="Times New Roman"/>
          <w:sz w:val="20"/>
          <w:szCs w:val="20"/>
          <w:vertAlign w:val="superscript"/>
        </w:rPr>
        <w:t>Δ/+</w:t>
      </w:r>
      <w:r w:rsidRPr="008C75BA">
        <w:rPr>
          <w:rFonts w:ascii="Times New Roman" w:hAnsi="Times New Roman" w:cs="Times New Roman"/>
          <w:sz w:val="20"/>
          <w:szCs w:val="20"/>
        </w:rPr>
        <w:t xml:space="preserve"> and other etiologies of HF were stained for fibrosis and PLN protein. For assessing fibrosis, slides were stained with Masson’s trichrome stain following standard procedures. Masson’s were imaged using a NanoZoomer 2.0-HT digital slide scanner (Hamamatsu Photonics). To determine PLN protein aggregation, Immunofluorescent staining for PLN was performed using anti-PLN (Cell signaling, 14562S), With Alexa Fluor 555 donkey anti-rabbit IgG (Thermofisher, A31572) as was utilized in combination with wheat germ agglutinin (WGA; Sigma) for staining of the extracellular matrix. Nuclei were stained with 4’,6-diamidino-2-phenylindole (DAPI; Vector Laboratories).</w:t>
      </w:r>
    </w:p>
    <w:p w14:paraId="589ED753" w14:textId="77777777" w:rsidR="00680250" w:rsidRPr="008C75BA" w:rsidRDefault="00680250">
      <w:pPr>
        <w:spacing w:line="259" w:lineRule="auto"/>
        <w:rPr>
          <w:rFonts w:ascii="Times New Roman" w:hAnsi="Times New Roman" w:cs="Times New Roman"/>
          <w:sz w:val="20"/>
          <w:szCs w:val="20"/>
        </w:rPr>
      </w:pPr>
      <w:r w:rsidRPr="008C75BA">
        <w:rPr>
          <w:rFonts w:ascii="Times New Roman" w:hAnsi="Times New Roman" w:cs="Times New Roman"/>
          <w:sz w:val="20"/>
          <w:szCs w:val="20"/>
        </w:rPr>
        <w:br w:type="page"/>
      </w:r>
    </w:p>
    <w:p w14:paraId="7C96D1DA" w14:textId="407A2166" w:rsidR="000C01EE" w:rsidRPr="008C75BA" w:rsidRDefault="00680250" w:rsidP="000C01EE">
      <w:pPr>
        <w:spacing w:line="480" w:lineRule="auto"/>
        <w:jc w:val="both"/>
        <w:rPr>
          <w:rFonts w:ascii="Times New Roman" w:hAnsi="Times New Roman" w:cs="Times New Roman"/>
          <w:b/>
          <w:bCs/>
          <w:sz w:val="20"/>
          <w:szCs w:val="20"/>
        </w:rPr>
      </w:pPr>
      <w:r w:rsidRPr="008C75BA">
        <w:rPr>
          <w:rFonts w:ascii="Times New Roman" w:hAnsi="Times New Roman" w:cs="Times New Roman"/>
          <w:b/>
          <w:bCs/>
          <w:sz w:val="20"/>
          <w:szCs w:val="20"/>
        </w:rPr>
        <w:lastRenderedPageBreak/>
        <w:t>References</w:t>
      </w:r>
    </w:p>
    <w:p w14:paraId="5773D80A" w14:textId="77777777" w:rsidR="00680250" w:rsidRPr="008C75BA" w:rsidRDefault="00680250" w:rsidP="00680250">
      <w:pPr>
        <w:autoSpaceDE w:val="0"/>
        <w:autoSpaceDN w:val="0"/>
        <w:ind w:hanging="640"/>
        <w:rPr>
          <w:rFonts w:ascii="Times New Roman" w:eastAsia="Times New Roman" w:hAnsi="Times New Roman" w:cs="Times New Roman"/>
          <w:sz w:val="20"/>
          <w:szCs w:val="20"/>
        </w:rPr>
      </w:pPr>
      <w:r w:rsidRPr="008C75BA">
        <w:rPr>
          <w:rFonts w:ascii="Times New Roman" w:eastAsia="Times New Roman" w:hAnsi="Times New Roman" w:cs="Times New Roman"/>
          <w:sz w:val="20"/>
          <w:szCs w:val="20"/>
        </w:rPr>
        <w:t>[23]</w:t>
      </w:r>
      <w:r w:rsidRPr="008C75BA">
        <w:rPr>
          <w:rFonts w:ascii="Times New Roman" w:eastAsia="Times New Roman" w:hAnsi="Times New Roman" w:cs="Times New Roman"/>
          <w:sz w:val="20"/>
          <w:szCs w:val="20"/>
        </w:rPr>
        <w:tab/>
        <w:t xml:space="preserve">N. </w:t>
      </w:r>
      <w:proofErr w:type="spellStart"/>
      <w:r w:rsidRPr="008C75BA">
        <w:rPr>
          <w:rFonts w:ascii="Times New Roman" w:eastAsia="Times New Roman" w:hAnsi="Times New Roman" w:cs="Times New Roman"/>
          <w:sz w:val="20"/>
          <w:szCs w:val="20"/>
        </w:rPr>
        <w:t>Fusaki</w:t>
      </w:r>
      <w:proofErr w:type="spellEnd"/>
      <w:r w:rsidRPr="008C75BA">
        <w:rPr>
          <w:rFonts w:ascii="Times New Roman" w:eastAsia="Times New Roman" w:hAnsi="Times New Roman" w:cs="Times New Roman"/>
          <w:sz w:val="20"/>
          <w:szCs w:val="20"/>
        </w:rPr>
        <w:t xml:space="preserve">, H. Ban, A. Nishiyama, K. Saeki, and M. Hasegawa, ‘Efficient induction of transgene-free human pluripotent stem cells using a vector based on Sendai virus, an RNA virus that does not integrate into the host genome’, </w:t>
      </w:r>
      <w:r w:rsidRPr="008C75BA">
        <w:rPr>
          <w:rFonts w:ascii="Times New Roman" w:eastAsia="Times New Roman" w:hAnsi="Times New Roman" w:cs="Times New Roman"/>
          <w:i/>
          <w:iCs/>
          <w:sz w:val="20"/>
          <w:szCs w:val="20"/>
        </w:rPr>
        <w:t xml:space="preserve">Proc </w:t>
      </w:r>
      <w:proofErr w:type="spellStart"/>
      <w:r w:rsidRPr="008C75BA">
        <w:rPr>
          <w:rFonts w:ascii="Times New Roman" w:eastAsia="Times New Roman" w:hAnsi="Times New Roman" w:cs="Times New Roman"/>
          <w:i/>
          <w:iCs/>
          <w:sz w:val="20"/>
          <w:szCs w:val="20"/>
        </w:rPr>
        <w:t>Jpn</w:t>
      </w:r>
      <w:proofErr w:type="spellEnd"/>
      <w:r w:rsidRPr="008C75BA">
        <w:rPr>
          <w:rFonts w:ascii="Times New Roman" w:eastAsia="Times New Roman" w:hAnsi="Times New Roman" w:cs="Times New Roman"/>
          <w:i/>
          <w:iCs/>
          <w:sz w:val="20"/>
          <w:szCs w:val="20"/>
        </w:rPr>
        <w:t xml:space="preserve"> </w:t>
      </w:r>
      <w:proofErr w:type="spellStart"/>
      <w:r w:rsidRPr="008C75BA">
        <w:rPr>
          <w:rFonts w:ascii="Times New Roman" w:eastAsia="Times New Roman" w:hAnsi="Times New Roman" w:cs="Times New Roman"/>
          <w:i/>
          <w:iCs/>
          <w:sz w:val="20"/>
          <w:szCs w:val="20"/>
        </w:rPr>
        <w:t>Acad</w:t>
      </w:r>
      <w:proofErr w:type="spellEnd"/>
      <w:r w:rsidRPr="008C75BA">
        <w:rPr>
          <w:rFonts w:ascii="Times New Roman" w:eastAsia="Times New Roman" w:hAnsi="Times New Roman" w:cs="Times New Roman"/>
          <w:i/>
          <w:iCs/>
          <w:sz w:val="20"/>
          <w:szCs w:val="20"/>
        </w:rPr>
        <w:t xml:space="preserve"> Ser B Phys Biol Sci</w:t>
      </w:r>
      <w:r w:rsidRPr="008C75BA">
        <w:rPr>
          <w:rFonts w:ascii="Times New Roman" w:eastAsia="Times New Roman" w:hAnsi="Times New Roman" w:cs="Times New Roman"/>
          <w:sz w:val="20"/>
          <w:szCs w:val="20"/>
        </w:rPr>
        <w:t xml:space="preserve">, vol. 85, no. 8, pp. 348–362, Oct. 2009, </w:t>
      </w:r>
      <w:proofErr w:type="spellStart"/>
      <w:r w:rsidRPr="008C75BA">
        <w:rPr>
          <w:rFonts w:ascii="Times New Roman" w:eastAsia="Times New Roman" w:hAnsi="Times New Roman" w:cs="Times New Roman"/>
          <w:sz w:val="20"/>
          <w:szCs w:val="20"/>
        </w:rPr>
        <w:t>doi</w:t>
      </w:r>
      <w:proofErr w:type="spellEnd"/>
      <w:r w:rsidRPr="008C75BA">
        <w:rPr>
          <w:rFonts w:ascii="Times New Roman" w:eastAsia="Times New Roman" w:hAnsi="Times New Roman" w:cs="Times New Roman"/>
          <w:sz w:val="20"/>
          <w:szCs w:val="20"/>
        </w:rPr>
        <w:t>: 10.2183/</w:t>
      </w:r>
      <w:proofErr w:type="spellStart"/>
      <w:r w:rsidRPr="008C75BA">
        <w:rPr>
          <w:rFonts w:ascii="Times New Roman" w:eastAsia="Times New Roman" w:hAnsi="Times New Roman" w:cs="Times New Roman"/>
          <w:sz w:val="20"/>
          <w:szCs w:val="20"/>
        </w:rPr>
        <w:t>pjab.85.348</w:t>
      </w:r>
      <w:proofErr w:type="spellEnd"/>
      <w:r w:rsidRPr="008C75BA">
        <w:rPr>
          <w:rFonts w:ascii="Times New Roman" w:eastAsia="Times New Roman" w:hAnsi="Times New Roman" w:cs="Times New Roman"/>
          <w:sz w:val="20"/>
          <w:szCs w:val="20"/>
        </w:rPr>
        <w:t>.</w:t>
      </w:r>
    </w:p>
    <w:p w14:paraId="1233DD77" w14:textId="77777777" w:rsidR="00680250" w:rsidRPr="008C75BA" w:rsidRDefault="00680250" w:rsidP="00680250">
      <w:pPr>
        <w:autoSpaceDE w:val="0"/>
        <w:autoSpaceDN w:val="0"/>
        <w:ind w:hanging="640"/>
        <w:rPr>
          <w:rFonts w:ascii="Times New Roman" w:eastAsia="Times New Roman" w:hAnsi="Times New Roman" w:cs="Times New Roman"/>
          <w:sz w:val="20"/>
          <w:szCs w:val="20"/>
        </w:rPr>
      </w:pPr>
      <w:r w:rsidRPr="008C75BA">
        <w:rPr>
          <w:rFonts w:ascii="Times New Roman" w:eastAsia="Times New Roman" w:hAnsi="Times New Roman" w:cs="Times New Roman"/>
          <w:sz w:val="20"/>
          <w:szCs w:val="20"/>
        </w:rPr>
        <w:t>[24]</w:t>
      </w:r>
      <w:r w:rsidRPr="008C75BA">
        <w:rPr>
          <w:rFonts w:ascii="Times New Roman" w:eastAsia="Times New Roman" w:hAnsi="Times New Roman" w:cs="Times New Roman"/>
          <w:sz w:val="20"/>
          <w:szCs w:val="20"/>
        </w:rPr>
        <w:tab/>
        <w:t xml:space="preserve">P. W. Burridge, A. Holmström, and J. C. Wu, ‘Chemically Defined Culture and Cardiomyocyte Differentiation of Human Pluripotent Stem Cells’, </w:t>
      </w:r>
      <w:r w:rsidRPr="008C75BA">
        <w:rPr>
          <w:rFonts w:ascii="Times New Roman" w:eastAsia="Times New Roman" w:hAnsi="Times New Roman" w:cs="Times New Roman"/>
          <w:i/>
          <w:iCs/>
          <w:sz w:val="20"/>
          <w:szCs w:val="20"/>
        </w:rPr>
        <w:t>Current protocols in human genetics / editorial board, Jonathan L. Haines ... [et al.]</w:t>
      </w:r>
      <w:r w:rsidRPr="008C75BA">
        <w:rPr>
          <w:rFonts w:ascii="Times New Roman" w:eastAsia="Times New Roman" w:hAnsi="Times New Roman" w:cs="Times New Roman"/>
          <w:sz w:val="20"/>
          <w:szCs w:val="20"/>
        </w:rPr>
        <w:t xml:space="preserve">, vol. 87, no. 1, p. 21.3.1, Oct. 2015, </w:t>
      </w:r>
      <w:proofErr w:type="spellStart"/>
      <w:r w:rsidRPr="008C75BA">
        <w:rPr>
          <w:rFonts w:ascii="Times New Roman" w:eastAsia="Times New Roman" w:hAnsi="Times New Roman" w:cs="Times New Roman"/>
          <w:sz w:val="20"/>
          <w:szCs w:val="20"/>
        </w:rPr>
        <w:t>doi</w:t>
      </w:r>
      <w:proofErr w:type="spellEnd"/>
      <w:r w:rsidRPr="008C75BA">
        <w:rPr>
          <w:rFonts w:ascii="Times New Roman" w:eastAsia="Times New Roman" w:hAnsi="Times New Roman" w:cs="Times New Roman"/>
          <w:sz w:val="20"/>
          <w:szCs w:val="20"/>
        </w:rPr>
        <w:t>: 10.1002/0471142905.HG2103S87.</w:t>
      </w:r>
    </w:p>
    <w:p w14:paraId="7BBE87FC" w14:textId="77777777" w:rsidR="00680250" w:rsidRPr="008C75BA" w:rsidRDefault="00680250" w:rsidP="000C01EE">
      <w:pPr>
        <w:spacing w:line="480" w:lineRule="auto"/>
        <w:jc w:val="both"/>
        <w:rPr>
          <w:rFonts w:ascii="Times New Roman" w:hAnsi="Times New Roman" w:cs="Times New Roman"/>
          <w:b/>
          <w:bCs/>
          <w:sz w:val="20"/>
          <w:szCs w:val="20"/>
        </w:rPr>
      </w:pPr>
    </w:p>
    <w:p w14:paraId="0C0A767A" w14:textId="77777777" w:rsidR="00680250" w:rsidRPr="008C75BA" w:rsidRDefault="00680250" w:rsidP="000C01EE">
      <w:pPr>
        <w:spacing w:line="480" w:lineRule="auto"/>
        <w:jc w:val="both"/>
        <w:rPr>
          <w:rFonts w:ascii="Times New Roman" w:hAnsi="Times New Roman" w:cs="Times New Roman"/>
          <w:b/>
          <w:bCs/>
          <w:sz w:val="20"/>
          <w:szCs w:val="20"/>
        </w:rPr>
      </w:pPr>
    </w:p>
    <w:p w14:paraId="56214384" w14:textId="77777777" w:rsidR="00680250" w:rsidRPr="008C75BA" w:rsidRDefault="00680250" w:rsidP="000C01EE">
      <w:pPr>
        <w:spacing w:line="480" w:lineRule="auto"/>
        <w:jc w:val="both"/>
        <w:rPr>
          <w:rFonts w:ascii="Times New Roman" w:hAnsi="Times New Roman" w:cs="Times New Roman"/>
          <w:sz w:val="20"/>
          <w:szCs w:val="20"/>
        </w:rPr>
      </w:pPr>
    </w:p>
    <w:p w14:paraId="32FCADAB" w14:textId="77777777" w:rsidR="00DF30A0" w:rsidRPr="008C75BA" w:rsidRDefault="00DF30A0">
      <w:pPr>
        <w:rPr>
          <w:rFonts w:ascii="Times New Roman" w:hAnsi="Times New Roman" w:cs="Times New Roman"/>
          <w:sz w:val="20"/>
          <w:szCs w:val="20"/>
        </w:rPr>
      </w:pPr>
    </w:p>
    <w:sectPr w:rsidR="00DF30A0" w:rsidRPr="008C75BA" w:rsidSect="00353F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E"/>
    <w:rsid w:val="000C01EE"/>
    <w:rsid w:val="00134929"/>
    <w:rsid w:val="00353FB3"/>
    <w:rsid w:val="003D5BA3"/>
    <w:rsid w:val="004363D2"/>
    <w:rsid w:val="00680250"/>
    <w:rsid w:val="008C75BA"/>
    <w:rsid w:val="00AF52A5"/>
    <w:rsid w:val="00DF30A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3591D"/>
  <w15:chartTrackingRefBased/>
  <w15:docId w15:val="{085B73E3-9873-44CE-996F-6BEA60544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01EE"/>
    <w:pPr>
      <w:spacing w:line="256" w:lineRule="auto"/>
    </w:pPr>
  </w:style>
  <w:style w:type="paragraph" w:styleId="Kop1">
    <w:name w:val="heading 1"/>
    <w:basedOn w:val="Standaard"/>
    <w:next w:val="Standaard"/>
    <w:link w:val="Kop1Char"/>
    <w:uiPriority w:val="9"/>
    <w:qFormat/>
    <w:rsid w:val="000C01EE"/>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C01EE"/>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C01EE"/>
    <w:pPr>
      <w:keepNext/>
      <w:keepLines/>
      <w:spacing w:before="160" w:after="80" w:line="259" w:lineRule="auto"/>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C01EE"/>
    <w:pPr>
      <w:keepNext/>
      <w:keepLines/>
      <w:spacing w:before="80" w:after="40" w:line="259" w:lineRule="auto"/>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C01EE"/>
    <w:pPr>
      <w:keepNext/>
      <w:keepLines/>
      <w:spacing w:before="80" w:after="40" w:line="259" w:lineRule="auto"/>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C01EE"/>
    <w:pPr>
      <w:keepNext/>
      <w:keepLines/>
      <w:spacing w:before="40" w:after="0" w:line="259"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01EE"/>
    <w:pPr>
      <w:keepNext/>
      <w:keepLines/>
      <w:spacing w:before="40" w:after="0" w:line="259"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01EE"/>
    <w:pPr>
      <w:keepNext/>
      <w:keepLines/>
      <w:spacing w:after="0" w:line="259"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01EE"/>
    <w:pPr>
      <w:keepNext/>
      <w:keepLines/>
      <w:spacing w:after="0" w:line="259"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01E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C01E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C01E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C01E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C01E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C01E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C01E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C01E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C01EE"/>
    <w:rPr>
      <w:rFonts w:eastAsiaTheme="majorEastAsia" w:cstheme="majorBidi"/>
      <w:color w:val="272727" w:themeColor="text1" w:themeTint="D8"/>
    </w:rPr>
  </w:style>
  <w:style w:type="paragraph" w:styleId="Titel">
    <w:name w:val="Title"/>
    <w:basedOn w:val="Standaard"/>
    <w:next w:val="Standaard"/>
    <w:link w:val="TitelChar"/>
    <w:uiPriority w:val="10"/>
    <w:qFormat/>
    <w:rsid w:val="000C01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01E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C01EE"/>
    <w:pPr>
      <w:numPr>
        <w:ilvl w:val="1"/>
      </w:numPr>
      <w:spacing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01E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C01EE"/>
    <w:pPr>
      <w:spacing w:before="160" w:line="259" w:lineRule="auto"/>
      <w:jc w:val="center"/>
    </w:pPr>
    <w:rPr>
      <w:i/>
      <w:iCs/>
      <w:color w:val="404040" w:themeColor="text1" w:themeTint="BF"/>
    </w:rPr>
  </w:style>
  <w:style w:type="character" w:customStyle="1" w:styleId="CitaatChar">
    <w:name w:val="Citaat Char"/>
    <w:basedOn w:val="Standaardalinea-lettertype"/>
    <w:link w:val="Citaat"/>
    <w:uiPriority w:val="29"/>
    <w:rsid w:val="000C01EE"/>
    <w:rPr>
      <w:i/>
      <w:iCs/>
      <w:color w:val="404040" w:themeColor="text1" w:themeTint="BF"/>
    </w:rPr>
  </w:style>
  <w:style w:type="paragraph" w:styleId="Lijstalinea">
    <w:name w:val="List Paragraph"/>
    <w:basedOn w:val="Standaard"/>
    <w:uiPriority w:val="34"/>
    <w:qFormat/>
    <w:rsid w:val="000C01EE"/>
    <w:pPr>
      <w:spacing w:line="259" w:lineRule="auto"/>
      <w:ind w:left="720"/>
      <w:contextualSpacing/>
    </w:pPr>
  </w:style>
  <w:style w:type="character" w:styleId="Intensievebenadrukking">
    <w:name w:val="Intense Emphasis"/>
    <w:basedOn w:val="Standaardalinea-lettertype"/>
    <w:uiPriority w:val="21"/>
    <w:qFormat/>
    <w:rsid w:val="000C01EE"/>
    <w:rPr>
      <w:i/>
      <w:iCs/>
      <w:color w:val="2F5496" w:themeColor="accent1" w:themeShade="BF"/>
    </w:rPr>
  </w:style>
  <w:style w:type="paragraph" w:styleId="Duidelijkcitaat">
    <w:name w:val="Intense Quote"/>
    <w:basedOn w:val="Standaard"/>
    <w:next w:val="Standaard"/>
    <w:link w:val="DuidelijkcitaatChar"/>
    <w:uiPriority w:val="30"/>
    <w:qFormat/>
    <w:rsid w:val="000C01EE"/>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C01EE"/>
    <w:rPr>
      <w:i/>
      <w:iCs/>
      <w:color w:val="2F5496" w:themeColor="accent1" w:themeShade="BF"/>
    </w:rPr>
  </w:style>
  <w:style w:type="character" w:styleId="Intensieveverwijzing">
    <w:name w:val="Intense Reference"/>
    <w:basedOn w:val="Standaardalinea-lettertype"/>
    <w:uiPriority w:val="32"/>
    <w:qFormat/>
    <w:rsid w:val="000C01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7E9423A9E4455B82557B1F6A3AE454"/>
        <w:category>
          <w:name w:val="General"/>
          <w:gallery w:val="placeholder"/>
        </w:category>
        <w:types>
          <w:type w:val="bbPlcHdr"/>
        </w:types>
        <w:behaviors>
          <w:behavior w:val="content"/>
        </w:behaviors>
        <w:guid w:val="{42495A38-419A-4B01-BFE5-A30525FDF63E}"/>
      </w:docPartPr>
      <w:docPartBody>
        <w:p w:rsidR="00720F62" w:rsidRDefault="00720F62" w:rsidP="00720F62">
          <w:pPr>
            <w:pStyle w:val="F17E9423A9E4455B82557B1F6A3AE454"/>
          </w:pPr>
          <w:r w:rsidRPr="00B57F83">
            <w:rPr>
              <w:rStyle w:val="Tekstvantijdelijkeaanduidin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F62"/>
    <w:rsid w:val="003D5BA3"/>
    <w:rsid w:val="004363D2"/>
    <w:rsid w:val="00720F62"/>
    <w:rsid w:val="00A40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0F62"/>
    <w:rPr>
      <w:color w:val="666666"/>
    </w:rPr>
  </w:style>
  <w:style w:type="paragraph" w:customStyle="1" w:styleId="F17E9423A9E4455B82557B1F6A3AE454">
    <w:name w:val="F17E9423A9E4455B82557B1F6A3AE454"/>
    <w:rsid w:val="00720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3891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Deiman, FE (thorax)</dc:creator>
  <cp:keywords/>
  <dc:description/>
  <cp:lastModifiedBy>BL</cp:lastModifiedBy>
  <cp:revision>2</cp:revision>
  <dcterms:created xsi:type="dcterms:W3CDTF">2025-01-23T13:53:00Z</dcterms:created>
  <dcterms:modified xsi:type="dcterms:W3CDTF">2025-01-23T13:53:00Z</dcterms:modified>
</cp:coreProperties>
</file>