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8FB" w:rsidRDefault="003B38FB" w:rsidP="003B38FB">
      <w:pPr>
        <w:spacing w:line="480" w:lineRule="auto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Sup</w:t>
      </w:r>
      <w:r>
        <w:rPr>
          <w:rFonts w:ascii="Times New Roman" w:hAnsi="Times New Roman" w:hint="eastAsia"/>
          <w:b/>
          <w:bCs/>
        </w:rPr>
        <w:t>plementary</w:t>
      </w:r>
      <w:r>
        <w:rPr>
          <w:rFonts w:ascii="Times New Roman" w:hAnsi="Times New Roman"/>
          <w:b/>
          <w:bCs/>
        </w:rPr>
        <w:t xml:space="preserve"> Fig</w:t>
      </w:r>
      <w:r>
        <w:rPr>
          <w:rFonts w:ascii="Times New Roman" w:hAnsi="Times New Roman" w:hint="eastAsia"/>
          <w:b/>
          <w:bCs/>
        </w:rPr>
        <w:t>.</w:t>
      </w:r>
      <w:r>
        <w:rPr>
          <w:rFonts w:ascii="Times New Roman" w:hAnsi="Times New Roman"/>
          <w:b/>
          <w:bCs/>
        </w:rPr>
        <w:t xml:space="preserve"> 1</w:t>
      </w:r>
      <w:r>
        <w:rPr>
          <w:rFonts w:ascii="Times New Roman" w:hAnsi="Times New Roman"/>
        </w:rPr>
        <w:t xml:space="preserve"> Lymphocyte subpopulation analysis showed in box plots, which includes CD3+ T cell count (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</w:rPr>
        <w:t>), CD3+CD4+ T cell count (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</w:rPr>
        <w:t>), CD3+CD8+ T cell count (</w:t>
      </w:r>
      <w:r>
        <w:rPr>
          <w:rFonts w:ascii="Times New Roman" w:hAnsi="Times New Roman"/>
          <w:b/>
        </w:rPr>
        <w:t>c</w:t>
      </w:r>
      <w:r>
        <w:rPr>
          <w:rFonts w:ascii="Times New Roman" w:hAnsi="Times New Roman"/>
        </w:rPr>
        <w:t>), NK cell count (</w:t>
      </w:r>
      <w:r>
        <w:rPr>
          <w:rFonts w:ascii="Times New Roman" w:hAnsi="Times New Roman"/>
          <w:b/>
        </w:rPr>
        <w:t>d</w:t>
      </w:r>
      <w:r>
        <w:rPr>
          <w:rFonts w:ascii="Times New Roman" w:hAnsi="Times New Roman"/>
        </w:rPr>
        <w:t>), Th/Ts (</w:t>
      </w: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</w:rPr>
        <w:t>), CD19+ B cell count (</w:t>
      </w:r>
      <w:r>
        <w:rPr>
          <w:rFonts w:ascii="Times New Roman" w:hAnsi="Times New Roman"/>
          <w:b/>
        </w:rPr>
        <w:t>f</w:t>
      </w:r>
      <w:r>
        <w:rPr>
          <w:rFonts w:ascii="Times New Roman" w:hAnsi="Times New Roman"/>
        </w:rPr>
        <w:t xml:space="preserve">), </w:t>
      </w:r>
      <w:r>
        <w:rPr>
          <w:rFonts w:ascii="Times New Roman" w:hAnsi="Times New Roman" w:hint="eastAsia"/>
        </w:rPr>
        <w:t>and m</w:t>
      </w:r>
      <w:r>
        <w:rPr>
          <w:rFonts w:ascii="Times New Roman" w:hAnsi="Times New Roman"/>
        </w:rPr>
        <w:t>onocyte cell count (</w:t>
      </w:r>
      <w:r>
        <w:rPr>
          <w:rFonts w:ascii="Times New Roman" w:hAnsi="Times New Roman"/>
          <w:b/>
        </w:rPr>
        <w:t>g</w:t>
      </w:r>
      <w:r>
        <w:rPr>
          <w:rFonts w:ascii="Times New Roman" w:hAnsi="Times New Roman"/>
        </w:rPr>
        <w:t>). Each group was compared with patients under 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ear</w:t>
      </w:r>
      <w:r>
        <w:rPr>
          <w:rFonts w:ascii="Times New Roman" w:hAnsi="Times New Roman"/>
        </w:rPr>
        <w:t xml:space="preserve"> old through </w:t>
      </w:r>
      <w:r>
        <w:rPr>
          <w:rFonts w:ascii="Times New Roman" w:hAnsi="Times New Roman" w:hint="eastAsia"/>
        </w:rPr>
        <w:t>Student</w:t>
      </w:r>
      <w:r>
        <w:rPr>
          <w:rFonts w:ascii="Times New Roman" w:hAnsi="Times New Roman"/>
        </w:rPr>
        <w:t>’</w:t>
      </w:r>
      <w:r>
        <w:rPr>
          <w:rFonts w:ascii="Times New Roman" w:hAnsi="Times New Roman" w:hint="eastAsia"/>
        </w:rPr>
        <w:t xml:space="preserve">s </w:t>
      </w:r>
      <w:r>
        <w:rPr>
          <w:rFonts w:ascii="Times New Roman" w:hAnsi="Times New Roman"/>
          <w:i/>
        </w:rPr>
        <w:t>t</w:t>
      </w:r>
      <w:r>
        <w:rPr>
          <w:rFonts w:ascii="Times New Roman" w:hAnsi="Times New Roman"/>
        </w:rPr>
        <w:t xml:space="preserve"> test analysis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/>
        </w:rPr>
        <w:t>Gray dotted band represent</w:t>
      </w:r>
      <w:r>
        <w:rPr>
          <w:rFonts w:ascii="Times New Roman" w:hAnsi="Times New Roman" w:hint="eastAsia"/>
        </w:rPr>
        <w:t xml:space="preserve">s normal range. </w:t>
      </w:r>
      <w:r>
        <w:rPr>
          <w:rFonts w:ascii="Times New Roman" w:hAnsi="Times New Roman"/>
          <w:i/>
        </w:rPr>
        <w:t>NK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natural killer</w:t>
      </w:r>
      <w:r>
        <w:rPr>
          <w:rFonts w:ascii="Times New Roman" w:hAnsi="Times New Roman" w:hint="eastAsia"/>
        </w:rPr>
        <w:t xml:space="preserve">, </w:t>
      </w:r>
      <w:r>
        <w:rPr>
          <w:rFonts w:ascii="Times New Roman" w:hAnsi="Times New Roman" w:hint="eastAsia"/>
          <w:i/>
        </w:rPr>
        <w:t>Th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helper T cells</w:t>
      </w:r>
      <w:r>
        <w:rPr>
          <w:rFonts w:ascii="Times New Roman" w:hAnsi="Times New Roman" w:hint="eastAsia"/>
        </w:rPr>
        <w:t xml:space="preserve">, </w:t>
      </w:r>
      <w:r>
        <w:rPr>
          <w:rFonts w:ascii="Times New Roman" w:hAnsi="Times New Roman" w:hint="eastAsia"/>
          <w:i/>
        </w:rPr>
        <w:t>Ts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suppressor T cells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 w:hint="eastAsia"/>
          <w:vertAlign w:val="superscript"/>
        </w:rPr>
        <w:t>*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0.05, </w:t>
      </w:r>
      <w:r>
        <w:rPr>
          <w:rFonts w:ascii="Times New Roman" w:hAnsi="Times New Roman" w:hint="eastAsia"/>
          <w:vertAlign w:val="superscript"/>
        </w:rPr>
        <w:t>†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0.01,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‡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0.001 vs. </w:t>
      </w:r>
      <w:r>
        <w:rPr>
          <w:rFonts w:ascii="Times New Roman" w:hAnsi="Times New Roman"/>
        </w:rPr>
        <w:t>under 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ear group</w:t>
      </w:r>
      <w:r>
        <w:rPr>
          <w:rFonts w:ascii="Times New Roman" w:hAnsi="Times New Roman"/>
          <w:b/>
          <w:bCs/>
        </w:rPr>
        <w:t>Sup</w:t>
      </w:r>
      <w:r>
        <w:rPr>
          <w:rFonts w:ascii="Times New Roman" w:hAnsi="Times New Roman" w:hint="eastAsia"/>
          <w:b/>
          <w:bCs/>
        </w:rPr>
        <w:t>plementary</w:t>
      </w:r>
      <w:r>
        <w:rPr>
          <w:rFonts w:ascii="Times New Roman" w:hAnsi="Times New Roman"/>
          <w:b/>
          <w:bCs/>
        </w:rPr>
        <w:t xml:space="preserve"> Fig</w:t>
      </w:r>
      <w:r>
        <w:rPr>
          <w:rFonts w:ascii="Times New Roman" w:hAnsi="Times New Roman" w:hint="eastAsia"/>
          <w:b/>
          <w:bCs/>
        </w:rPr>
        <w:t>.</w:t>
      </w:r>
      <w:r>
        <w:rPr>
          <w:rFonts w:ascii="Times New Roman" w:hAnsi="Times New Roman"/>
          <w:b/>
          <w:bCs/>
        </w:rPr>
        <w:t xml:space="preserve"> 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R</w:t>
      </w:r>
      <w:r>
        <w:rPr>
          <w:rFonts w:ascii="Times New Roman" w:hAnsi="Times New Roman"/>
        </w:rPr>
        <w:t>outine blood test analysis showed in box plots, which includes white blood cell count (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</w:rPr>
        <w:t>), neutrophil count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</w:rPr>
        <w:t>), lymphocyte count (</w:t>
      </w:r>
      <w:r>
        <w:rPr>
          <w:rFonts w:ascii="Times New Roman" w:hAnsi="Times New Roman"/>
          <w:b/>
        </w:rPr>
        <w:t>c</w:t>
      </w:r>
      <w:r>
        <w:rPr>
          <w:rFonts w:ascii="Times New Roman" w:hAnsi="Times New Roman"/>
        </w:rPr>
        <w:t>), Hb (</w:t>
      </w:r>
      <w:r>
        <w:rPr>
          <w:rFonts w:ascii="Times New Roman" w:hAnsi="Times New Roman"/>
          <w:b/>
        </w:rPr>
        <w:t>d</w:t>
      </w:r>
      <w:r>
        <w:rPr>
          <w:rFonts w:ascii="Times New Roman" w:hAnsi="Times New Roman"/>
        </w:rPr>
        <w:t xml:space="preserve">), </w:t>
      </w:r>
      <w:r>
        <w:rPr>
          <w:rFonts w:ascii="Times New Roman" w:hAnsi="Times New Roman" w:hint="eastAsia"/>
        </w:rPr>
        <w:t xml:space="preserve">and </w:t>
      </w:r>
      <w:r>
        <w:rPr>
          <w:rFonts w:ascii="Times New Roman" w:hAnsi="Times New Roman"/>
        </w:rPr>
        <w:t>platelet count (</w:t>
      </w: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</w:rPr>
        <w:t>). Each group was compared with patients under 1y</w:t>
      </w:r>
      <w:r>
        <w:rPr>
          <w:rFonts w:ascii="Times New Roman" w:hAnsi="Times New Roman" w:hint="eastAsia"/>
        </w:rPr>
        <w:t>ear</w:t>
      </w:r>
      <w:r>
        <w:rPr>
          <w:rFonts w:ascii="Times New Roman" w:hAnsi="Times New Roman"/>
        </w:rPr>
        <w:t xml:space="preserve"> old through </w:t>
      </w:r>
      <w:r>
        <w:rPr>
          <w:rFonts w:ascii="Times New Roman" w:hAnsi="Times New Roman" w:hint="eastAsia"/>
        </w:rPr>
        <w:t>Student</w:t>
      </w:r>
      <w:r>
        <w:rPr>
          <w:rFonts w:ascii="Times New Roman" w:hAnsi="Times New Roman"/>
        </w:rPr>
        <w:t>’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t</w:t>
      </w:r>
      <w:r>
        <w:rPr>
          <w:rFonts w:ascii="Times New Roman" w:hAnsi="Times New Roman"/>
        </w:rPr>
        <w:t xml:space="preserve"> test analysis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/>
        </w:rPr>
        <w:t>Gray dotted band represent</w:t>
      </w:r>
      <w:r>
        <w:rPr>
          <w:rFonts w:ascii="Times New Roman" w:hAnsi="Times New Roman" w:hint="eastAsia"/>
        </w:rPr>
        <w:t xml:space="preserve">s normal range. </w:t>
      </w:r>
      <w:r>
        <w:rPr>
          <w:rFonts w:ascii="Times New Roman" w:hAnsi="Times New Roman" w:hint="eastAsia"/>
          <w:i/>
        </w:rPr>
        <w:t>Hb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hemoglobin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 w:hint="eastAsia"/>
          <w:vertAlign w:val="superscript"/>
        </w:rPr>
        <w:t>*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0.05, </w:t>
      </w:r>
      <w:r>
        <w:rPr>
          <w:rFonts w:ascii="Times New Roman" w:hAnsi="Times New Roman"/>
          <w:vertAlign w:val="superscript"/>
        </w:rPr>
        <w:t>‡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0.001 vs. </w:t>
      </w:r>
      <w:r>
        <w:rPr>
          <w:rFonts w:ascii="Times New Roman" w:hAnsi="Times New Roman"/>
        </w:rPr>
        <w:t>under 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ear group</w:t>
      </w:r>
    </w:p>
    <w:p w:rsidR="003B38FB" w:rsidRDefault="003B38FB" w:rsidP="003B38FB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</w:t>
      </w:r>
      <w:r>
        <w:rPr>
          <w:rFonts w:ascii="Times New Roman" w:hAnsi="Times New Roman" w:hint="eastAsia"/>
          <w:b/>
          <w:bCs/>
        </w:rPr>
        <w:t>plementary</w:t>
      </w:r>
      <w:r>
        <w:rPr>
          <w:rFonts w:ascii="Times New Roman" w:hAnsi="Times New Roman"/>
          <w:b/>
          <w:bCs/>
        </w:rPr>
        <w:t xml:space="preserve"> Fig</w:t>
      </w:r>
      <w:r>
        <w:rPr>
          <w:rFonts w:ascii="Times New Roman" w:hAnsi="Times New Roman" w:hint="eastAsia"/>
          <w:b/>
          <w:bCs/>
        </w:rPr>
        <w:t>.</w:t>
      </w:r>
      <w:r>
        <w:rPr>
          <w:rFonts w:ascii="Times New Roman" w:hAnsi="Times New Roman"/>
          <w:b/>
          <w:bCs/>
        </w:rPr>
        <w:t xml:space="preserve"> 3</w:t>
      </w:r>
      <w:r>
        <w:rPr>
          <w:rFonts w:ascii="Times New Roman" w:hAnsi="Times New Roman"/>
        </w:rPr>
        <w:t xml:space="preserve"> Routine blood test analysis showed in box plots, which includes </w:t>
      </w:r>
      <w:r>
        <w:rPr>
          <w:rFonts w:ascii="Times New Roman" w:hAnsi="Times New Roman" w:hint="eastAsia"/>
        </w:rPr>
        <w:t>IgG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</w:rPr>
        <w:t xml:space="preserve">), </w:t>
      </w:r>
      <w:r>
        <w:rPr>
          <w:rFonts w:ascii="Times New Roman" w:hAnsi="Times New Roman" w:hint="eastAsia"/>
        </w:rPr>
        <w:t xml:space="preserve">IgM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</w:rPr>
        <w:t xml:space="preserve">), </w:t>
      </w:r>
      <w:r>
        <w:rPr>
          <w:rFonts w:ascii="Times New Roman" w:hAnsi="Times New Roman" w:hint="eastAsia"/>
        </w:rPr>
        <w:t>IgA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b/>
        </w:rPr>
        <w:t>c</w:t>
      </w:r>
      <w:r>
        <w:rPr>
          <w:rFonts w:ascii="Times New Roman" w:hAnsi="Times New Roman"/>
        </w:rPr>
        <w:t xml:space="preserve">), 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>erum complement C3 (</w:t>
      </w:r>
      <w:r>
        <w:rPr>
          <w:rFonts w:ascii="Times New Roman" w:hAnsi="Times New Roman"/>
          <w:b/>
        </w:rPr>
        <w:t>d</w:t>
      </w:r>
      <w:r>
        <w:rPr>
          <w:rFonts w:ascii="Times New Roman" w:hAnsi="Times New Roman"/>
        </w:rPr>
        <w:t xml:space="preserve">), </w:t>
      </w:r>
      <w:r>
        <w:rPr>
          <w:rFonts w:ascii="Times New Roman" w:hAnsi="Times New Roman" w:hint="eastAsia"/>
        </w:rPr>
        <w:t>and s</w:t>
      </w:r>
      <w:r>
        <w:rPr>
          <w:rFonts w:ascii="Times New Roman" w:hAnsi="Times New Roman"/>
        </w:rPr>
        <w:t>erum complement C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</w:rPr>
        <w:t>). Each group was compared with patients under 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ear</w:t>
      </w:r>
      <w:r>
        <w:rPr>
          <w:rFonts w:ascii="Times New Roman" w:hAnsi="Times New Roman"/>
        </w:rPr>
        <w:t xml:space="preserve"> old through </w:t>
      </w:r>
      <w:r>
        <w:rPr>
          <w:rFonts w:ascii="Times New Roman" w:hAnsi="Times New Roman" w:hint="eastAsia"/>
        </w:rPr>
        <w:t>Student</w:t>
      </w:r>
      <w:r>
        <w:rPr>
          <w:rFonts w:ascii="Times New Roman" w:hAnsi="Times New Roman"/>
        </w:rPr>
        <w:t>’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t</w:t>
      </w:r>
      <w:r>
        <w:rPr>
          <w:rFonts w:ascii="Times New Roman" w:hAnsi="Times New Roman"/>
        </w:rPr>
        <w:t xml:space="preserve"> test analysis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/>
        </w:rPr>
        <w:t>Gray dotted band represent</w:t>
      </w:r>
      <w:r>
        <w:rPr>
          <w:rFonts w:ascii="Times New Roman" w:hAnsi="Times New Roman" w:hint="eastAsia"/>
        </w:rPr>
        <w:t xml:space="preserve">s normal range. </w:t>
      </w:r>
      <w:r>
        <w:rPr>
          <w:rFonts w:ascii="Times New Roman" w:hAnsi="Times New Roman" w:hint="eastAsia"/>
          <w:i/>
        </w:rPr>
        <w:t>Ig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immunoglobulin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/>
          <w:vertAlign w:val="superscript"/>
        </w:rPr>
        <w:t>‡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0.001 vs. </w:t>
      </w:r>
      <w:r>
        <w:rPr>
          <w:rFonts w:ascii="Times New Roman" w:hAnsi="Times New Roman"/>
        </w:rPr>
        <w:t>under 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ear group</w:t>
      </w:r>
    </w:p>
    <w:p w:rsidR="003B38FB" w:rsidRDefault="003B38FB" w:rsidP="003B38FB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</w:t>
      </w:r>
      <w:r>
        <w:rPr>
          <w:rFonts w:ascii="Times New Roman" w:hAnsi="Times New Roman" w:hint="eastAsia"/>
          <w:b/>
          <w:bCs/>
        </w:rPr>
        <w:t>plementary</w:t>
      </w:r>
      <w:r>
        <w:rPr>
          <w:rFonts w:ascii="Times New Roman" w:hAnsi="Times New Roman"/>
          <w:b/>
          <w:bCs/>
        </w:rPr>
        <w:t xml:space="preserve"> Fig</w:t>
      </w:r>
      <w:r>
        <w:rPr>
          <w:rFonts w:ascii="Times New Roman" w:hAnsi="Times New Roman" w:hint="eastAsia"/>
          <w:b/>
          <w:bCs/>
        </w:rPr>
        <w:t>.</w:t>
      </w:r>
      <w:r>
        <w:rPr>
          <w:rFonts w:ascii="Times New Roman" w:hAnsi="Times New Roman"/>
          <w:b/>
          <w:bCs/>
        </w:rPr>
        <w:t xml:space="preserve"> 4</w:t>
      </w:r>
      <w:r>
        <w:rPr>
          <w:rFonts w:ascii="Times New Roman" w:hAnsi="Times New Roman"/>
        </w:rPr>
        <w:t xml:space="preserve"> Inflammatory factors showed in box plots, which include IL-2 (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</w:rPr>
        <w:t>), IL-4 (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</w:rPr>
        <w:t>), IL-6 (</w:t>
      </w:r>
      <w:r>
        <w:rPr>
          <w:rFonts w:ascii="Times New Roman" w:hAnsi="Times New Roman"/>
          <w:b/>
        </w:rPr>
        <w:t>c</w:t>
      </w:r>
      <w:r>
        <w:rPr>
          <w:rFonts w:ascii="Times New Roman" w:hAnsi="Times New Roman"/>
        </w:rPr>
        <w:t>), IL-10 (</w:t>
      </w:r>
      <w:r>
        <w:rPr>
          <w:rFonts w:ascii="Times New Roman" w:hAnsi="Times New Roman"/>
          <w:b/>
        </w:rPr>
        <w:t>d</w:t>
      </w:r>
      <w:r>
        <w:rPr>
          <w:rFonts w:ascii="Times New Roman" w:hAnsi="Times New Roman"/>
        </w:rPr>
        <w:t>), TNF-α (</w:t>
      </w: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</w:rPr>
        <w:t>), TNF-γ (</w:t>
      </w:r>
      <w:r>
        <w:rPr>
          <w:rFonts w:ascii="Times New Roman" w:hAnsi="Times New Roman"/>
          <w:b/>
        </w:rPr>
        <w:t>f</w:t>
      </w:r>
      <w:r>
        <w:rPr>
          <w:rFonts w:ascii="Times New Roman" w:hAnsi="Times New Roman"/>
        </w:rPr>
        <w:t>), LD (</w:t>
      </w:r>
      <w:r>
        <w:rPr>
          <w:rFonts w:ascii="Times New Roman" w:hAnsi="Times New Roman"/>
          <w:b/>
        </w:rPr>
        <w:t>g</w:t>
      </w:r>
      <w:r>
        <w:rPr>
          <w:rFonts w:ascii="Times New Roman" w:hAnsi="Times New Roman"/>
        </w:rPr>
        <w:t>), globulin (</w:t>
      </w:r>
      <w:r>
        <w:rPr>
          <w:rFonts w:ascii="Times New Roman" w:hAnsi="Times New Roman"/>
          <w:b/>
        </w:rPr>
        <w:t>h</w:t>
      </w:r>
      <w:r>
        <w:rPr>
          <w:rFonts w:ascii="Times New Roman" w:hAnsi="Times New Roman"/>
        </w:rPr>
        <w:t>), PCT (</w:t>
      </w:r>
      <w:r>
        <w:rPr>
          <w:rFonts w:ascii="Times New Roman" w:hAnsi="Times New Roman"/>
          <w:b/>
        </w:rPr>
        <w:t>i</w:t>
      </w:r>
      <w:r>
        <w:rPr>
          <w:rFonts w:ascii="Times New Roman" w:hAnsi="Times New Roman"/>
        </w:rPr>
        <w:t>). Each group was compared with patients under 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ear</w:t>
      </w:r>
      <w:r>
        <w:rPr>
          <w:rFonts w:ascii="Times New Roman" w:hAnsi="Times New Roman"/>
        </w:rPr>
        <w:t xml:space="preserve"> old through </w:t>
      </w:r>
      <w:r>
        <w:rPr>
          <w:rFonts w:ascii="Times New Roman" w:hAnsi="Times New Roman" w:hint="eastAsia"/>
        </w:rPr>
        <w:t>Student</w:t>
      </w:r>
      <w:r>
        <w:rPr>
          <w:rFonts w:ascii="Times New Roman" w:hAnsi="Times New Roman"/>
        </w:rPr>
        <w:t>’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t</w:t>
      </w:r>
      <w:r>
        <w:rPr>
          <w:rFonts w:ascii="Times New Roman" w:hAnsi="Times New Roman"/>
        </w:rPr>
        <w:t xml:space="preserve"> test analysis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/>
        </w:rPr>
        <w:t>Gray dotted band represent</w:t>
      </w:r>
      <w:r>
        <w:rPr>
          <w:rFonts w:ascii="Times New Roman" w:hAnsi="Times New Roman" w:hint="eastAsia"/>
        </w:rPr>
        <w:t xml:space="preserve">s normal range. </w:t>
      </w:r>
      <w:r>
        <w:rPr>
          <w:rFonts w:ascii="Times New Roman" w:hAnsi="Times New Roman" w:hint="eastAsia"/>
          <w:i/>
        </w:rPr>
        <w:t>IL</w:t>
      </w:r>
      <w:r>
        <w:rPr>
          <w:rFonts w:ascii="Times New Roman" w:hAnsi="Times New Roman"/>
        </w:rPr>
        <w:t xml:space="preserve"> interleukin</w:t>
      </w:r>
      <w:r>
        <w:rPr>
          <w:rFonts w:ascii="Times New Roman" w:hAnsi="Times New Roman" w:hint="eastAsia"/>
        </w:rPr>
        <w:t xml:space="preserve">, </w:t>
      </w:r>
      <w:r>
        <w:rPr>
          <w:rFonts w:ascii="Times New Roman" w:hAnsi="Times New Roman"/>
          <w:i/>
        </w:rPr>
        <w:t>TNF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tumor necrosis factor</w:t>
      </w:r>
      <w:r>
        <w:rPr>
          <w:rFonts w:ascii="Times New Roman" w:hAnsi="Times New Roman" w:hint="eastAsia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LD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lactate dehydrogenase</w:t>
      </w:r>
      <w:r>
        <w:rPr>
          <w:rFonts w:ascii="Times New Roman" w:hAnsi="Times New Roman" w:hint="eastAsia"/>
        </w:rPr>
        <w:t xml:space="preserve">, </w:t>
      </w:r>
      <w:r>
        <w:rPr>
          <w:rFonts w:ascii="Times New Roman" w:hAnsi="Times New Roman"/>
          <w:i/>
        </w:rPr>
        <w:t>PCT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procalcitonin</w:t>
      </w:r>
      <w:r>
        <w:rPr>
          <w:rFonts w:ascii="Times New Roman" w:hAnsi="Times New Roman" w:hint="eastAsia"/>
        </w:rPr>
        <w:t xml:space="preserve">. </w:t>
      </w:r>
      <w:r>
        <w:rPr>
          <w:rFonts w:ascii="Times New Roman" w:hAnsi="Times New Roman" w:hint="eastAsia"/>
          <w:vertAlign w:val="superscript"/>
        </w:rPr>
        <w:t>*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0.05, </w:t>
      </w:r>
      <w:r>
        <w:rPr>
          <w:rFonts w:ascii="Times New Roman" w:hAnsi="Times New Roman" w:hint="eastAsia"/>
          <w:vertAlign w:val="superscript"/>
        </w:rPr>
        <w:t>†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0.01,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‡</w:t>
      </w:r>
      <w:r>
        <w:rPr>
          <w:rFonts w:ascii="Times New Roman" w:hAnsi="Times New Roman" w:hint="eastAsia"/>
          <w:i/>
        </w:rPr>
        <w:t>P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&lt;</w:t>
      </w:r>
      <w:r>
        <w:rPr>
          <w:rFonts w:ascii="Times New Roman" w:hAnsi="Times New Roman" w:hint="eastAsia"/>
        </w:rPr>
        <w:t xml:space="preserve"> 0.001 vs. </w:t>
      </w:r>
      <w:r>
        <w:rPr>
          <w:rFonts w:ascii="Times New Roman" w:hAnsi="Times New Roman"/>
        </w:rPr>
        <w:t>under 1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ear group</w:t>
      </w:r>
    </w:p>
    <w:p w:rsidR="00FC6DD5" w:rsidRDefault="00FC6DD5"/>
    <w:sectPr w:rsidR="00FC6DD5">
      <w:footerReference w:type="even" r:id="rId4"/>
      <w:footerReference w:type="default" r:id="rId5"/>
      <w:pgSz w:w="11906" w:h="16838"/>
      <w:pgMar w:top="1440" w:right="1797" w:bottom="1440" w:left="1797" w:header="851" w:footer="992" w:gutter="0"/>
      <w:lnNumType w:countBy="1" w:restart="newSection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BBA" w:rsidRDefault="003B38FB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 PAGE </w:instrText>
    </w:r>
    <w:r>
      <w:fldChar w:fldCharType="end"/>
    </w:r>
  </w:p>
  <w:p w:rsidR="00252BBA" w:rsidRDefault="003B38F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BBA" w:rsidRDefault="003B38FB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 PAGE </w:instrText>
    </w:r>
    <w:r>
      <w:fldChar w:fldCharType="separate"/>
    </w:r>
    <w:r>
      <w:rPr>
        <w:rStyle w:val="PageNumber"/>
        <w:lang w:val="en-IN" w:eastAsia="en-IN"/>
      </w:rPr>
      <w:t>1</w:t>
    </w:r>
    <w:r>
      <w:fldChar w:fldCharType="end"/>
    </w:r>
  </w:p>
  <w:p w:rsidR="00252BBA" w:rsidRDefault="003B38FB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F1"/>
    <w:rsid w:val="0002318D"/>
    <w:rsid w:val="000246DE"/>
    <w:rsid w:val="00040E6C"/>
    <w:rsid w:val="00041CF8"/>
    <w:rsid w:val="000569A5"/>
    <w:rsid w:val="00072943"/>
    <w:rsid w:val="000756AD"/>
    <w:rsid w:val="000B0D27"/>
    <w:rsid w:val="000C7893"/>
    <w:rsid w:val="000C7942"/>
    <w:rsid w:val="000C7E6C"/>
    <w:rsid w:val="000D0B60"/>
    <w:rsid w:val="000D6773"/>
    <w:rsid w:val="000E5D51"/>
    <w:rsid w:val="000F4AF1"/>
    <w:rsid w:val="000F5BF2"/>
    <w:rsid w:val="001071BD"/>
    <w:rsid w:val="00114A70"/>
    <w:rsid w:val="001452FA"/>
    <w:rsid w:val="001A55EE"/>
    <w:rsid w:val="001B5B80"/>
    <w:rsid w:val="001C2B0E"/>
    <w:rsid w:val="001C2D86"/>
    <w:rsid w:val="001C63E9"/>
    <w:rsid w:val="001D0390"/>
    <w:rsid w:val="001D0DAC"/>
    <w:rsid w:val="001D3BFA"/>
    <w:rsid w:val="00275C7D"/>
    <w:rsid w:val="00287D45"/>
    <w:rsid w:val="002A51D3"/>
    <w:rsid w:val="002C2877"/>
    <w:rsid w:val="002C2E08"/>
    <w:rsid w:val="002C74EB"/>
    <w:rsid w:val="00313F3B"/>
    <w:rsid w:val="00323937"/>
    <w:rsid w:val="00335383"/>
    <w:rsid w:val="00360A78"/>
    <w:rsid w:val="00373B2F"/>
    <w:rsid w:val="0037681B"/>
    <w:rsid w:val="0038121F"/>
    <w:rsid w:val="0038123E"/>
    <w:rsid w:val="003824C2"/>
    <w:rsid w:val="00383CDE"/>
    <w:rsid w:val="00396EC5"/>
    <w:rsid w:val="003B322E"/>
    <w:rsid w:val="003B38FB"/>
    <w:rsid w:val="003C6754"/>
    <w:rsid w:val="003E0DE8"/>
    <w:rsid w:val="003F403C"/>
    <w:rsid w:val="00412956"/>
    <w:rsid w:val="00412F3A"/>
    <w:rsid w:val="0041404F"/>
    <w:rsid w:val="00454053"/>
    <w:rsid w:val="00454316"/>
    <w:rsid w:val="004A41E2"/>
    <w:rsid w:val="004A55F5"/>
    <w:rsid w:val="004A6E4D"/>
    <w:rsid w:val="004B2DFD"/>
    <w:rsid w:val="004B5008"/>
    <w:rsid w:val="004C374A"/>
    <w:rsid w:val="004C4866"/>
    <w:rsid w:val="004D21AF"/>
    <w:rsid w:val="004D50E2"/>
    <w:rsid w:val="0051600B"/>
    <w:rsid w:val="005223D8"/>
    <w:rsid w:val="00526469"/>
    <w:rsid w:val="00554AAC"/>
    <w:rsid w:val="00593F5A"/>
    <w:rsid w:val="005A78A6"/>
    <w:rsid w:val="005A7919"/>
    <w:rsid w:val="005A7CE1"/>
    <w:rsid w:val="005B3034"/>
    <w:rsid w:val="005C7A1D"/>
    <w:rsid w:val="005F5489"/>
    <w:rsid w:val="00603773"/>
    <w:rsid w:val="0061457E"/>
    <w:rsid w:val="006171BD"/>
    <w:rsid w:val="00634D03"/>
    <w:rsid w:val="00634DD0"/>
    <w:rsid w:val="00637233"/>
    <w:rsid w:val="006373D8"/>
    <w:rsid w:val="006472FE"/>
    <w:rsid w:val="00681A63"/>
    <w:rsid w:val="006838EC"/>
    <w:rsid w:val="0068620B"/>
    <w:rsid w:val="00691192"/>
    <w:rsid w:val="0069748C"/>
    <w:rsid w:val="006A6068"/>
    <w:rsid w:val="006E0DC8"/>
    <w:rsid w:val="006F703A"/>
    <w:rsid w:val="00707BDC"/>
    <w:rsid w:val="00716E0D"/>
    <w:rsid w:val="0072300C"/>
    <w:rsid w:val="007233C3"/>
    <w:rsid w:val="0073641B"/>
    <w:rsid w:val="007668CA"/>
    <w:rsid w:val="007823F2"/>
    <w:rsid w:val="0078498F"/>
    <w:rsid w:val="00792DC3"/>
    <w:rsid w:val="007C169F"/>
    <w:rsid w:val="007D1623"/>
    <w:rsid w:val="007E1FDD"/>
    <w:rsid w:val="007F576B"/>
    <w:rsid w:val="00803CCE"/>
    <w:rsid w:val="00805FE6"/>
    <w:rsid w:val="0081130D"/>
    <w:rsid w:val="008137DE"/>
    <w:rsid w:val="00843D87"/>
    <w:rsid w:val="00883063"/>
    <w:rsid w:val="00894943"/>
    <w:rsid w:val="00894B77"/>
    <w:rsid w:val="008B34C3"/>
    <w:rsid w:val="008C426D"/>
    <w:rsid w:val="008D1B74"/>
    <w:rsid w:val="008D215A"/>
    <w:rsid w:val="008D48B3"/>
    <w:rsid w:val="008E2833"/>
    <w:rsid w:val="00910EC0"/>
    <w:rsid w:val="00920958"/>
    <w:rsid w:val="009403DB"/>
    <w:rsid w:val="00970762"/>
    <w:rsid w:val="009720D2"/>
    <w:rsid w:val="00987604"/>
    <w:rsid w:val="009974E4"/>
    <w:rsid w:val="009B56F1"/>
    <w:rsid w:val="009C0C7F"/>
    <w:rsid w:val="009D2C37"/>
    <w:rsid w:val="009E4E81"/>
    <w:rsid w:val="009F1C4F"/>
    <w:rsid w:val="00A11551"/>
    <w:rsid w:val="00A241C1"/>
    <w:rsid w:val="00A34163"/>
    <w:rsid w:val="00A46B88"/>
    <w:rsid w:val="00A479EA"/>
    <w:rsid w:val="00A5001E"/>
    <w:rsid w:val="00A528DB"/>
    <w:rsid w:val="00A67768"/>
    <w:rsid w:val="00A76577"/>
    <w:rsid w:val="00A8672B"/>
    <w:rsid w:val="00A86D7C"/>
    <w:rsid w:val="00A93729"/>
    <w:rsid w:val="00A97A22"/>
    <w:rsid w:val="00AA175E"/>
    <w:rsid w:val="00AA535F"/>
    <w:rsid w:val="00AB3029"/>
    <w:rsid w:val="00AC1BB9"/>
    <w:rsid w:val="00AD41B9"/>
    <w:rsid w:val="00AE6FFA"/>
    <w:rsid w:val="00B14133"/>
    <w:rsid w:val="00B15506"/>
    <w:rsid w:val="00B4212A"/>
    <w:rsid w:val="00B73D9B"/>
    <w:rsid w:val="00B833C7"/>
    <w:rsid w:val="00BA368D"/>
    <w:rsid w:val="00BC647A"/>
    <w:rsid w:val="00BD032A"/>
    <w:rsid w:val="00BE43E0"/>
    <w:rsid w:val="00BF2842"/>
    <w:rsid w:val="00BF73AD"/>
    <w:rsid w:val="00C52041"/>
    <w:rsid w:val="00C7072C"/>
    <w:rsid w:val="00C7446E"/>
    <w:rsid w:val="00CA51F0"/>
    <w:rsid w:val="00CB5C32"/>
    <w:rsid w:val="00CD0E56"/>
    <w:rsid w:val="00CD53C2"/>
    <w:rsid w:val="00CE77A2"/>
    <w:rsid w:val="00CF4993"/>
    <w:rsid w:val="00D13DE9"/>
    <w:rsid w:val="00D3042A"/>
    <w:rsid w:val="00D351E9"/>
    <w:rsid w:val="00D945F0"/>
    <w:rsid w:val="00DB60AA"/>
    <w:rsid w:val="00DC366A"/>
    <w:rsid w:val="00DE6CA8"/>
    <w:rsid w:val="00DF35C5"/>
    <w:rsid w:val="00E13EDC"/>
    <w:rsid w:val="00E243AD"/>
    <w:rsid w:val="00E31447"/>
    <w:rsid w:val="00E31480"/>
    <w:rsid w:val="00E41BB8"/>
    <w:rsid w:val="00E54868"/>
    <w:rsid w:val="00E7348D"/>
    <w:rsid w:val="00E7760B"/>
    <w:rsid w:val="00E95CE4"/>
    <w:rsid w:val="00EC1847"/>
    <w:rsid w:val="00EE3388"/>
    <w:rsid w:val="00EE4A07"/>
    <w:rsid w:val="00EF0D30"/>
    <w:rsid w:val="00F00082"/>
    <w:rsid w:val="00F62DF5"/>
    <w:rsid w:val="00F6491E"/>
    <w:rsid w:val="00F73B6C"/>
    <w:rsid w:val="00FB60F2"/>
    <w:rsid w:val="00FC1784"/>
    <w:rsid w:val="00FC351C"/>
    <w:rsid w:val="00FC44F2"/>
    <w:rsid w:val="00FC4550"/>
    <w:rsid w:val="00FC6DD5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3EE67D-206B-45C1-BDA5-55C4B9D7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3B38FB"/>
  </w:style>
  <w:style w:type="character" w:customStyle="1" w:styleId="FooterChar">
    <w:name w:val="Footer Char"/>
    <w:link w:val="Footer"/>
    <w:rsid w:val="003B38FB"/>
    <w:rPr>
      <w:rFonts w:ascii="Calibri" w:hAnsi="Calibri"/>
      <w:kern w:val="2"/>
      <w:sz w:val="18"/>
      <w:szCs w:val="18"/>
    </w:rPr>
  </w:style>
  <w:style w:type="paragraph" w:styleId="Footer">
    <w:name w:val="footer"/>
    <w:basedOn w:val="Normal"/>
    <w:link w:val="FooterChar"/>
    <w:rsid w:val="003B38FB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hAnsi="Calibri"/>
      <w:kern w:val="2"/>
      <w:sz w:val="18"/>
      <w:szCs w:val="18"/>
    </w:rPr>
  </w:style>
  <w:style w:type="character" w:customStyle="1" w:styleId="FooterChar1">
    <w:name w:val="Footer Char1"/>
    <w:basedOn w:val="DefaultParagraphFont"/>
    <w:uiPriority w:val="99"/>
    <w:semiHidden/>
    <w:rsid w:val="003B3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Bhuvaneswari R.</dc:creator>
  <cp:keywords/>
  <dc:description/>
  <cp:lastModifiedBy>Bhuvaneswari R.</cp:lastModifiedBy>
  <cp:revision>2</cp:revision>
  <dcterms:created xsi:type="dcterms:W3CDTF">2021-06-26T12:18:00Z</dcterms:created>
  <dcterms:modified xsi:type="dcterms:W3CDTF">2021-06-26T12:21:00Z</dcterms:modified>
</cp:coreProperties>
</file>