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4C561" w14:textId="77777777" w:rsidR="007618D6" w:rsidRPr="007618D6" w:rsidRDefault="007618D6" w:rsidP="007618D6">
      <w:pPr>
        <w:rPr>
          <w:b/>
          <w:sz w:val="24"/>
        </w:rPr>
      </w:pPr>
      <w:r w:rsidRPr="007618D6">
        <w:rPr>
          <w:b/>
          <w:sz w:val="24"/>
        </w:rPr>
        <w:t>Supplementary Material</w:t>
      </w:r>
    </w:p>
    <w:p w14:paraId="4F24C7CB" w14:textId="77777777" w:rsidR="00154C17" w:rsidRPr="007618D6" w:rsidRDefault="007618D6" w:rsidP="007618D6">
      <w:pPr>
        <w:rPr>
          <w:b/>
          <w:sz w:val="24"/>
        </w:rPr>
      </w:pPr>
      <w:r w:rsidRPr="007618D6">
        <w:rPr>
          <w:b/>
          <w:sz w:val="24"/>
        </w:rPr>
        <w:t>Accuracy and detection limits for low levels of manganese</w:t>
      </w:r>
    </w:p>
    <w:p w14:paraId="5111A15F" w14:textId="77777777" w:rsidR="007618D6" w:rsidRPr="007618D6" w:rsidRDefault="007618D6" w:rsidP="007618D6">
      <w:pPr>
        <w:rPr>
          <w:sz w:val="24"/>
        </w:rPr>
      </w:pPr>
      <w:r w:rsidRPr="007618D6">
        <w:rPr>
          <w:sz w:val="24"/>
        </w:rPr>
        <w:t>As the analysis in the accompanying paper depends upon the measurement of levels of manganese below 0.1%, we present below a comparison of MnO values determined upon a set of Roman-period glasses from London by two techniques.  Solution ICP-MS analyses were u</w:t>
      </w:r>
      <w:r w:rsidR="007039E7">
        <w:rPr>
          <w:sz w:val="24"/>
        </w:rPr>
        <w:t>ndertaken in the Department of E</w:t>
      </w:r>
      <w:r w:rsidRPr="007618D6">
        <w:rPr>
          <w:sz w:val="24"/>
        </w:rPr>
        <w:t>arth Scie</w:t>
      </w:r>
      <w:r w:rsidR="007039E7">
        <w:rPr>
          <w:sz w:val="24"/>
        </w:rPr>
        <w:t>nces at Cardiff University by Dr</w:t>
      </w:r>
      <w:r w:rsidRPr="007618D6">
        <w:rPr>
          <w:sz w:val="24"/>
        </w:rPr>
        <w:t xml:space="preserve"> Iain McDonald, using the method outlined in </w:t>
      </w:r>
      <w:r w:rsidR="00B163C4">
        <w:rPr>
          <w:sz w:val="24"/>
        </w:rPr>
        <w:t>Wardle</w:t>
      </w:r>
      <w:r w:rsidRPr="007618D6">
        <w:rPr>
          <w:sz w:val="24"/>
        </w:rPr>
        <w:t xml:space="preserve"> </w:t>
      </w:r>
      <w:r w:rsidRPr="00CE453E">
        <w:rPr>
          <w:i/>
          <w:sz w:val="24"/>
        </w:rPr>
        <w:t>et al</w:t>
      </w:r>
      <w:r w:rsidR="00CE453E" w:rsidRPr="00CE453E">
        <w:rPr>
          <w:i/>
          <w:sz w:val="24"/>
        </w:rPr>
        <w:t>.</w:t>
      </w:r>
      <w:r w:rsidRPr="007618D6">
        <w:rPr>
          <w:sz w:val="24"/>
        </w:rPr>
        <w:t xml:space="preserve"> (2016).  EPMA analyses were undertaken on polished samples of the same glass fragments, using the same instrument and conditions as were adopted for the Carthage glasses.  </w:t>
      </w:r>
    </w:p>
    <w:p w14:paraId="2C688D95" w14:textId="77777777" w:rsidR="007618D6" w:rsidRPr="007618D6" w:rsidRDefault="00CE453E" w:rsidP="007618D6">
      <w:pPr>
        <w:rPr>
          <w:sz w:val="24"/>
        </w:rPr>
      </w:pPr>
      <w:r>
        <w:rPr>
          <w:sz w:val="24"/>
        </w:rPr>
        <w:t xml:space="preserve">Figure </w:t>
      </w:r>
      <w:r w:rsidR="007618D6" w:rsidRPr="007618D6">
        <w:rPr>
          <w:sz w:val="24"/>
        </w:rPr>
        <w:t>1 shows the full data set and provides strong agreement between the methods over the full data range, with most values within a few percent.</w:t>
      </w:r>
      <w:r w:rsidR="007D1F7F">
        <w:rPr>
          <w:sz w:val="24"/>
        </w:rPr>
        <w:t xml:space="preserve">  Correlation is close to ideal.</w:t>
      </w:r>
    </w:p>
    <w:p w14:paraId="420C5F53" w14:textId="77777777" w:rsidR="007618D6" w:rsidRDefault="007618D6" w:rsidP="007618D6">
      <w:r>
        <w:rPr>
          <w:noProof/>
          <w:lang w:val="en-US"/>
        </w:rPr>
        <w:drawing>
          <wp:inline distT="0" distB="0" distL="0" distR="0" wp14:anchorId="07F4C053" wp14:editId="5382F6BC">
            <wp:extent cx="4514850" cy="41433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FB1D6F4" w14:textId="77777777" w:rsidR="007618D6" w:rsidRPr="007D1F7F" w:rsidRDefault="007618D6" w:rsidP="007618D6">
      <w:pPr>
        <w:rPr>
          <w:i/>
        </w:rPr>
      </w:pPr>
      <w:r w:rsidRPr="007D1F7F">
        <w:rPr>
          <w:i/>
        </w:rPr>
        <w:t>Fig. 1.  Comparison of ICP-MS and EPMA data for MnO.  The trend line is constrained to pass through zero.</w:t>
      </w:r>
    </w:p>
    <w:p w14:paraId="14904CBF" w14:textId="77777777" w:rsidR="007D1F7F" w:rsidRDefault="00CE453E" w:rsidP="007618D6">
      <w:pPr>
        <w:rPr>
          <w:sz w:val="24"/>
        </w:rPr>
      </w:pPr>
      <w:r>
        <w:rPr>
          <w:sz w:val="24"/>
        </w:rPr>
        <w:t>Figure</w:t>
      </w:r>
      <w:r w:rsidR="007D1F7F" w:rsidRPr="007D1F7F">
        <w:rPr>
          <w:sz w:val="24"/>
        </w:rPr>
        <w:t xml:space="preserve"> 2 </w:t>
      </w:r>
      <w:r w:rsidR="007D1F7F">
        <w:rPr>
          <w:sz w:val="24"/>
        </w:rPr>
        <w:t xml:space="preserve">provides an expansion of </w:t>
      </w:r>
      <w:r>
        <w:rPr>
          <w:sz w:val="24"/>
        </w:rPr>
        <w:t>figure</w:t>
      </w:r>
      <w:r w:rsidR="007D1F7F">
        <w:rPr>
          <w:sz w:val="24"/>
        </w:rPr>
        <w:t xml:space="preserve"> 1 for values below 0.2%.  It is observed that agreement is fair down to 0.02% but there is </w:t>
      </w:r>
      <w:r w:rsidR="0066582D">
        <w:rPr>
          <w:sz w:val="24"/>
        </w:rPr>
        <w:t xml:space="preserve">significant </w:t>
      </w:r>
      <w:r w:rsidR="007D1F7F">
        <w:rPr>
          <w:sz w:val="24"/>
        </w:rPr>
        <w:t xml:space="preserve">scatter below this value.  We therefore assume 0.02% to be the minimum </w:t>
      </w:r>
      <w:r w:rsidR="0066582D">
        <w:rPr>
          <w:sz w:val="24"/>
        </w:rPr>
        <w:t>measurable level of MnO.  However, it should be noted that this is not the detection limit for MnO in our study.  Because we typically conducted 7 spot analyses per sample, one or more of these was frequently greater than 0.2%.  For example, a set of spot analyses averaging 0.01% for the sample might yield a set of data indicating MnO between 0.002</w:t>
      </w:r>
      <w:r w:rsidR="00132854">
        <w:rPr>
          <w:sz w:val="24"/>
        </w:rPr>
        <w:t>%</w:t>
      </w:r>
      <w:r w:rsidR="0066582D">
        <w:rPr>
          <w:sz w:val="24"/>
        </w:rPr>
        <w:t xml:space="preserve"> and 0.025</w:t>
      </w:r>
      <w:r w:rsidR="00132854">
        <w:rPr>
          <w:sz w:val="24"/>
        </w:rPr>
        <w:t>%</w:t>
      </w:r>
      <w:r w:rsidR="0066582D">
        <w:rPr>
          <w:sz w:val="24"/>
        </w:rPr>
        <w:t>.  In this case the 0.025</w:t>
      </w:r>
      <w:r w:rsidR="007039E7">
        <w:rPr>
          <w:sz w:val="24"/>
        </w:rPr>
        <w:t>%</w:t>
      </w:r>
      <w:r w:rsidR="0066582D">
        <w:rPr>
          <w:sz w:val="24"/>
        </w:rPr>
        <w:t xml:space="preserve"> value is clearly </w:t>
      </w:r>
      <w:r w:rsidR="0066582D">
        <w:rPr>
          <w:sz w:val="24"/>
        </w:rPr>
        <w:lastRenderedPageBreak/>
        <w:t xml:space="preserve">above detection limits while the 0.002% value is not.  MnO has been detected in the sample, but not in every measurement.  Following Royal Society of Chemistry guidance </w:t>
      </w:r>
      <w:r w:rsidR="00B163C4">
        <w:rPr>
          <w:sz w:val="24"/>
        </w:rPr>
        <w:t xml:space="preserve">(Analytical Methods Committee 2001) </w:t>
      </w:r>
      <w:r w:rsidR="0066582D">
        <w:rPr>
          <w:sz w:val="24"/>
        </w:rPr>
        <w:t>we include all of the measurements, above or below the detection limit, in calculating the mean value for the sample.  Because we have used these low values in the graphical analysis (rather than “0</w:t>
      </w:r>
      <w:r w:rsidR="00132854">
        <w:rPr>
          <w:sz w:val="24"/>
        </w:rPr>
        <w:t>.00%</w:t>
      </w:r>
      <w:r w:rsidR="0066582D">
        <w:rPr>
          <w:sz w:val="24"/>
        </w:rPr>
        <w:t xml:space="preserve">”, which in any case would be </w:t>
      </w:r>
      <w:r w:rsidR="00B163C4">
        <w:rPr>
          <w:sz w:val="24"/>
        </w:rPr>
        <w:t xml:space="preserve">less </w:t>
      </w:r>
      <w:r w:rsidR="0066582D">
        <w:rPr>
          <w:sz w:val="24"/>
        </w:rPr>
        <w:t xml:space="preserve">accurate) </w:t>
      </w:r>
      <w:r w:rsidR="00132854">
        <w:rPr>
          <w:sz w:val="24"/>
        </w:rPr>
        <w:t xml:space="preserve">we present them in the table but in </w:t>
      </w:r>
      <w:r w:rsidR="00B163C4">
        <w:rPr>
          <w:sz w:val="24"/>
        </w:rPr>
        <w:t>italicised form.</w:t>
      </w:r>
    </w:p>
    <w:p w14:paraId="4A9816A8" w14:textId="77777777" w:rsidR="00B163C4" w:rsidRDefault="00B163C4" w:rsidP="007618D6">
      <w:pPr>
        <w:rPr>
          <w:sz w:val="24"/>
        </w:rPr>
      </w:pPr>
    </w:p>
    <w:p w14:paraId="47A9F83F" w14:textId="77777777" w:rsidR="00B163C4" w:rsidRDefault="00443B1A" w:rsidP="007618D6">
      <w:pPr>
        <w:rPr>
          <w:sz w:val="24"/>
        </w:rPr>
      </w:pPr>
      <w:r>
        <w:rPr>
          <w:noProof/>
          <w:lang w:val="en-US"/>
        </w:rPr>
        <w:drawing>
          <wp:inline distT="0" distB="0" distL="0" distR="0" wp14:anchorId="6240682E" wp14:editId="5BE99D67">
            <wp:extent cx="4514850" cy="43624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EA55683" w14:textId="77777777" w:rsidR="00B163C4" w:rsidRDefault="00B619A3" w:rsidP="007618D6">
      <w:pPr>
        <w:rPr>
          <w:i/>
          <w:sz w:val="24"/>
        </w:rPr>
      </w:pPr>
      <w:r w:rsidRPr="00B619A3">
        <w:rPr>
          <w:i/>
          <w:sz w:val="24"/>
        </w:rPr>
        <w:t>Fig. 2. Expansion of lower part of Fig. 1.</w:t>
      </w:r>
    </w:p>
    <w:p w14:paraId="0667BDFF" w14:textId="77777777" w:rsidR="00022554" w:rsidRDefault="00022554" w:rsidP="007618D6">
      <w:pPr>
        <w:rPr>
          <w:i/>
          <w:sz w:val="24"/>
        </w:rPr>
      </w:pPr>
    </w:p>
    <w:p w14:paraId="2D28C71F" w14:textId="77777777" w:rsidR="00022554" w:rsidRPr="00443B1A" w:rsidRDefault="00022554" w:rsidP="00022554">
      <w:pPr>
        <w:rPr>
          <w:b/>
          <w:sz w:val="24"/>
        </w:rPr>
      </w:pPr>
      <w:r w:rsidRPr="00443B1A">
        <w:rPr>
          <w:b/>
          <w:sz w:val="24"/>
        </w:rPr>
        <w:t>References</w:t>
      </w:r>
    </w:p>
    <w:p w14:paraId="106BBB1E" w14:textId="77777777" w:rsidR="00022554" w:rsidRDefault="00022554" w:rsidP="00022554">
      <w:pPr>
        <w:ind w:left="284" w:hanging="284"/>
        <w:rPr>
          <w:sz w:val="24"/>
        </w:rPr>
      </w:pPr>
      <w:r>
        <w:rPr>
          <w:sz w:val="24"/>
        </w:rPr>
        <w:t xml:space="preserve">Analytical Methods Committee (2001) What should be done with results below the detection limit? Mentioning the unmentionable.  </w:t>
      </w:r>
      <w:r w:rsidRPr="00B163C4">
        <w:rPr>
          <w:i/>
          <w:sz w:val="24"/>
        </w:rPr>
        <w:t>Technical Brief</w:t>
      </w:r>
      <w:r>
        <w:rPr>
          <w:sz w:val="24"/>
        </w:rPr>
        <w:t xml:space="preserve"> 5.  London, Royal Society of Chemistry.</w:t>
      </w:r>
    </w:p>
    <w:p w14:paraId="0FF632FC" w14:textId="77777777" w:rsidR="00022554" w:rsidRDefault="00022554" w:rsidP="00022554">
      <w:pPr>
        <w:ind w:left="284" w:hanging="284"/>
        <w:rPr>
          <w:sz w:val="24"/>
        </w:rPr>
      </w:pPr>
      <w:r w:rsidRPr="00B163C4">
        <w:rPr>
          <w:sz w:val="24"/>
        </w:rPr>
        <w:t>Wardle A</w:t>
      </w:r>
      <w:r>
        <w:rPr>
          <w:sz w:val="24"/>
        </w:rPr>
        <w:t>.</w:t>
      </w:r>
      <w:r w:rsidRPr="00B163C4">
        <w:rPr>
          <w:sz w:val="24"/>
        </w:rPr>
        <w:t>, Freestone I</w:t>
      </w:r>
      <w:r>
        <w:rPr>
          <w:sz w:val="24"/>
        </w:rPr>
        <w:t>.</w:t>
      </w:r>
      <w:r w:rsidRPr="00B163C4">
        <w:rPr>
          <w:sz w:val="24"/>
        </w:rPr>
        <w:t xml:space="preserve">, </w:t>
      </w:r>
      <w:proofErr w:type="spellStart"/>
      <w:r w:rsidRPr="00B163C4">
        <w:rPr>
          <w:sz w:val="24"/>
        </w:rPr>
        <w:t>MacKenzie</w:t>
      </w:r>
      <w:proofErr w:type="spellEnd"/>
      <w:r w:rsidRPr="00B163C4">
        <w:rPr>
          <w:sz w:val="24"/>
        </w:rPr>
        <w:t xml:space="preserve"> M</w:t>
      </w:r>
      <w:r>
        <w:rPr>
          <w:sz w:val="24"/>
        </w:rPr>
        <w:t>.</w:t>
      </w:r>
      <w:r w:rsidRPr="00B163C4">
        <w:rPr>
          <w:sz w:val="24"/>
        </w:rPr>
        <w:t>, Shepherd J</w:t>
      </w:r>
      <w:r>
        <w:rPr>
          <w:sz w:val="24"/>
        </w:rPr>
        <w:t>.</w:t>
      </w:r>
      <w:r w:rsidRPr="00B163C4">
        <w:rPr>
          <w:sz w:val="24"/>
        </w:rPr>
        <w:t xml:space="preserve"> (2015</w:t>
      </w:r>
      <w:r>
        <w:rPr>
          <w:sz w:val="24"/>
        </w:rPr>
        <w:t>, in press</w:t>
      </w:r>
      <w:r w:rsidRPr="00B163C4">
        <w:rPr>
          <w:sz w:val="24"/>
        </w:rPr>
        <w:t>) Glass working on the margins of Roman London. Museum of London Archaeology Monograph</w:t>
      </w:r>
      <w:r>
        <w:rPr>
          <w:sz w:val="24"/>
        </w:rPr>
        <w:t>.</w:t>
      </w:r>
    </w:p>
    <w:p w14:paraId="54F098F5" w14:textId="77777777" w:rsidR="00022554" w:rsidRPr="00B619A3" w:rsidRDefault="00022554" w:rsidP="007618D6">
      <w:pPr>
        <w:rPr>
          <w:i/>
          <w:sz w:val="24"/>
        </w:rPr>
      </w:pPr>
      <w:bookmarkStart w:id="0" w:name="_GoBack"/>
      <w:bookmarkEnd w:id="0"/>
    </w:p>
    <w:sectPr w:rsidR="00022554" w:rsidRPr="00B619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D6"/>
    <w:rsid w:val="00022554"/>
    <w:rsid w:val="00132854"/>
    <w:rsid w:val="00154C17"/>
    <w:rsid w:val="00443B1A"/>
    <w:rsid w:val="0066582D"/>
    <w:rsid w:val="007039E7"/>
    <w:rsid w:val="007618D6"/>
    <w:rsid w:val="007D1F7F"/>
    <w:rsid w:val="00B163C4"/>
    <w:rsid w:val="00B619A3"/>
    <w:rsid w:val="00CE4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864F"/>
  <w15:chartTrackingRefBased/>
  <w15:docId w15:val="{32309FD9-9676-4F98-9FDB-0D5553E7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18D6"/>
    <w:rPr>
      <w:sz w:val="16"/>
      <w:szCs w:val="16"/>
    </w:rPr>
  </w:style>
  <w:style w:type="paragraph" w:styleId="CommentText">
    <w:name w:val="annotation text"/>
    <w:basedOn w:val="Normal"/>
    <w:link w:val="CommentTextChar"/>
    <w:uiPriority w:val="99"/>
    <w:semiHidden/>
    <w:unhideWhenUsed/>
    <w:rsid w:val="007618D6"/>
    <w:pPr>
      <w:spacing w:line="240" w:lineRule="auto"/>
    </w:pPr>
    <w:rPr>
      <w:sz w:val="20"/>
      <w:szCs w:val="20"/>
    </w:rPr>
  </w:style>
  <w:style w:type="character" w:customStyle="1" w:styleId="CommentTextChar">
    <w:name w:val="Comment Text Char"/>
    <w:basedOn w:val="DefaultParagraphFont"/>
    <w:link w:val="CommentText"/>
    <w:uiPriority w:val="99"/>
    <w:semiHidden/>
    <w:rsid w:val="007618D6"/>
    <w:rPr>
      <w:sz w:val="20"/>
      <w:szCs w:val="20"/>
    </w:rPr>
  </w:style>
  <w:style w:type="paragraph" w:styleId="CommentSubject">
    <w:name w:val="annotation subject"/>
    <w:basedOn w:val="CommentText"/>
    <w:next w:val="CommentText"/>
    <w:link w:val="CommentSubjectChar"/>
    <w:uiPriority w:val="99"/>
    <w:semiHidden/>
    <w:unhideWhenUsed/>
    <w:rsid w:val="007618D6"/>
    <w:rPr>
      <w:b/>
      <w:bCs/>
    </w:rPr>
  </w:style>
  <w:style w:type="character" w:customStyle="1" w:styleId="CommentSubjectChar">
    <w:name w:val="Comment Subject Char"/>
    <w:basedOn w:val="CommentTextChar"/>
    <w:link w:val="CommentSubject"/>
    <w:uiPriority w:val="99"/>
    <w:semiHidden/>
    <w:rsid w:val="007618D6"/>
    <w:rPr>
      <w:b/>
      <w:bCs/>
      <w:sz w:val="20"/>
      <w:szCs w:val="20"/>
    </w:rPr>
  </w:style>
  <w:style w:type="paragraph" w:styleId="BalloonText">
    <w:name w:val="Balloon Text"/>
    <w:basedOn w:val="Normal"/>
    <w:link w:val="BalloonTextChar"/>
    <w:uiPriority w:val="99"/>
    <w:semiHidden/>
    <w:unhideWhenUsed/>
    <w:rsid w:val="00761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8D6"/>
    <w:rPr>
      <w:rFonts w:ascii="Segoe UI" w:hAnsi="Segoe UI" w:cs="Segoe UI"/>
      <w:sz w:val="18"/>
      <w:szCs w:val="18"/>
    </w:rPr>
  </w:style>
  <w:style w:type="paragraph" w:styleId="ListParagraph">
    <w:name w:val="List Paragraph"/>
    <w:basedOn w:val="Normal"/>
    <w:uiPriority w:val="34"/>
    <w:qFormat/>
    <w:rsid w:val="00022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an\Dropbox\Current%20projects\Hibernia%20Wharf%20et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an\Dropbox\Current%20projects\Hibernia%20Wharf%20et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840692381807"/>
          <c:y val="0.0524215162759827"/>
          <c:w val="0.776460347519851"/>
          <c:h val="0.809213262135336"/>
        </c:manualLayout>
      </c:layout>
      <c:scatterChart>
        <c:scatterStyle val="lineMarker"/>
        <c:varyColors val="0"/>
        <c:ser>
          <c:idx val="0"/>
          <c:order val="0"/>
          <c:spPr>
            <a:ln w="28575">
              <a:noFill/>
            </a:ln>
          </c:spPr>
          <c:marker>
            <c:symbol val="square"/>
            <c:size val="7"/>
            <c:spPr>
              <a:solidFill>
                <a:schemeClr val="bg1"/>
              </a:solidFill>
              <a:ln>
                <a:solidFill>
                  <a:schemeClr val="tx1"/>
                </a:solidFill>
              </a:ln>
            </c:spPr>
          </c:marker>
          <c:trendline>
            <c:trendlineType val="linear"/>
            <c:intercept val="0.0"/>
            <c:dispRSqr val="1"/>
            <c:dispEq val="1"/>
            <c:trendlineLbl>
              <c:layout>
                <c:manualLayout>
                  <c:x val="-0.243735893772772"/>
                  <c:y val="-0.0485418288231213"/>
                </c:manualLayout>
              </c:layout>
              <c:numFmt formatCode="General" sourceLinked="0"/>
              <c:txPr>
                <a:bodyPr/>
                <a:lstStyle/>
                <a:p>
                  <a:pPr>
                    <a:defRPr sz="1200"/>
                  </a:pPr>
                  <a:endParaRPr lang="en-US"/>
                </a:p>
              </c:txPr>
            </c:trendlineLbl>
          </c:trendline>
          <c:xVal>
            <c:numRef>
              <c:f>'comparing techniques'!$AI$4:$AI$38</c:f>
              <c:numCache>
                <c:formatCode>0.00</c:formatCode>
                <c:ptCount val="35"/>
                <c:pt idx="0">
                  <c:v>0.149921369910886</c:v>
                </c:pt>
                <c:pt idx="1">
                  <c:v>0.477926888511052</c:v>
                </c:pt>
                <c:pt idx="2">
                  <c:v>0.293703247798504</c:v>
                </c:pt>
                <c:pt idx="3">
                  <c:v>0.475373941250676</c:v>
                </c:pt>
                <c:pt idx="4">
                  <c:v>0.368715083798883</c:v>
                </c:pt>
                <c:pt idx="5">
                  <c:v>0.416470350676449</c:v>
                </c:pt>
                <c:pt idx="6">
                  <c:v>0.449428571428571</c:v>
                </c:pt>
                <c:pt idx="7">
                  <c:v>0.436764705882353</c:v>
                </c:pt>
                <c:pt idx="8">
                  <c:v>0.670057142857143</c:v>
                </c:pt>
                <c:pt idx="9">
                  <c:v>0.4356</c:v>
                </c:pt>
                <c:pt idx="10">
                  <c:v>0.200828571428571</c:v>
                </c:pt>
                <c:pt idx="11">
                  <c:v>0.465771428571429</c:v>
                </c:pt>
                <c:pt idx="12">
                  <c:v>0.469542857142857</c:v>
                </c:pt>
                <c:pt idx="13">
                  <c:v>0.0672135785007072</c:v>
                </c:pt>
                <c:pt idx="14">
                  <c:v>0.605964912280702</c:v>
                </c:pt>
                <c:pt idx="15">
                  <c:v>0.536491228070176</c:v>
                </c:pt>
                <c:pt idx="16">
                  <c:v>0.252163742690058</c:v>
                </c:pt>
                <c:pt idx="17">
                  <c:v>0.65421052631579</c:v>
                </c:pt>
                <c:pt idx="18">
                  <c:v>0.810526315789473</c:v>
                </c:pt>
                <c:pt idx="19">
                  <c:v>0.411806818181818</c:v>
                </c:pt>
                <c:pt idx="20">
                  <c:v>0.6366875</c:v>
                </c:pt>
                <c:pt idx="21">
                  <c:v>0.0929886363636364</c:v>
                </c:pt>
                <c:pt idx="22">
                  <c:v>1.040915105508741</c:v>
                </c:pt>
                <c:pt idx="23">
                  <c:v>0.0264192272588987</c:v>
                </c:pt>
                <c:pt idx="24">
                  <c:v>0.568810988874386</c:v>
                </c:pt>
                <c:pt idx="25">
                  <c:v>0.159496906107076</c:v>
                </c:pt>
                <c:pt idx="26">
                  <c:v>0.997596986817326</c:v>
                </c:pt>
                <c:pt idx="27">
                  <c:v>0.0302852758596638</c:v>
                </c:pt>
                <c:pt idx="28">
                  <c:v>0.0139778196275371</c:v>
                </c:pt>
                <c:pt idx="29">
                  <c:v>1.618852215283973</c:v>
                </c:pt>
                <c:pt idx="30">
                  <c:v>0.0138750415420405</c:v>
                </c:pt>
                <c:pt idx="31">
                  <c:v>0.0141183574879227</c:v>
                </c:pt>
                <c:pt idx="32">
                  <c:v>0.0157250470809793</c:v>
                </c:pt>
                <c:pt idx="33">
                  <c:v>0.0210858585858586</c:v>
                </c:pt>
                <c:pt idx="34">
                  <c:v>0.0141743827160494</c:v>
                </c:pt>
              </c:numCache>
            </c:numRef>
          </c:xVal>
          <c:yVal>
            <c:numRef>
              <c:f>'comparing techniques'!$AJ$4:$AJ$38</c:f>
              <c:numCache>
                <c:formatCode>0.00</c:formatCode>
                <c:ptCount val="35"/>
                <c:pt idx="0">
                  <c:v>0.133875</c:v>
                </c:pt>
                <c:pt idx="1">
                  <c:v>0.457</c:v>
                </c:pt>
                <c:pt idx="2">
                  <c:v>0.433875</c:v>
                </c:pt>
                <c:pt idx="3">
                  <c:v>0.522625</c:v>
                </c:pt>
                <c:pt idx="4">
                  <c:v>0.343125</c:v>
                </c:pt>
                <c:pt idx="5">
                  <c:v>0.39</c:v>
                </c:pt>
                <c:pt idx="6">
                  <c:v>0.41675</c:v>
                </c:pt>
                <c:pt idx="7">
                  <c:v>0.37925</c:v>
                </c:pt>
                <c:pt idx="8">
                  <c:v>0.599125</c:v>
                </c:pt>
                <c:pt idx="9">
                  <c:v>0.452375</c:v>
                </c:pt>
                <c:pt idx="10">
                  <c:v>0.2158</c:v>
                </c:pt>
                <c:pt idx="11">
                  <c:v>0.461875</c:v>
                </c:pt>
                <c:pt idx="12">
                  <c:v>0.483625</c:v>
                </c:pt>
                <c:pt idx="13">
                  <c:v>0.08925</c:v>
                </c:pt>
                <c:pt idx="14">
                  <c:v>0.4655</c:v>
                </c:pt>
                <c:pt idx="15">
                  <c:v>0.510125</c:v>
                </c:pt>
                <c:pt idx="16">
                  <c:v>0.26425</c:v>
                </c:pt>
                <c:pt idx="17">
                  <c:v>0.62575</c:v>
                </c:pt>
                <c:pt idx="18">
                  <c:v>0.860375</c:v>
                </c:pt>
                <c:pt idx="19">
                  <c:v>0.39525</c:v>
                </c:pt>
                <c:pt idx="20">
                  <c:v>0.630888888888889</c:v>
                </c:pt>
                <c:pt idx="21">
                  <c:v>0.083125</c:v>
                </c:pt>
                <c:pt idx="22">
                  <c:v>0.979375</c:v>
                </c:pt>
                <c:pt idx="23">
                  <c:v>0.023625</c:v>
                </c:pt>
                <c:pt idx="24">
                  <c:v>0.561125</c:v>
                </c:pt>
                <c:pt idx="25">
                  <c:v>0.144</c:v>
                </c:pt>
                <c:pt idx="26">
                  <c:v>0.95575</c:v>
                </c:pt>
                <c:pt idx="27">
                  <c:v>0.027625</c:v>
                </c:pt>
                <c:pt idx="28">
                  <c:v>0.0105</c:v>
                </c:pt>
                <c:pt idx="29">
                  <c:v>1.693333333333333</c:v>
                </c:pt>
                <c:pt idx="30">
                  <c:v>0.016375</c:v>
                </c:pt>
                <c:pt idx="31">
                  <c:v>0.013625</c:v>
                </c:pt>
                <c:pt idx="32">
                  <c:v>0.01225</c:v>
                </c:pt>
                <c:pt idx="33">
                  <c:v>0.012375</c:v>
                </c:pt>
                <c:pt idx="34">
                  <c:v>0.020375</c:v>
                </c:pt>
              </c:numCache>
            </c:numRef>
          </c:yVal>
          <c:smooth val="0"/>
        </c:ser>
        <c:dLbls>
          <c:showLegendKey val="0"/>
          <c:showVal val="0"/>
          <c:showCatName val="0"/>
          <c:showSerName val="0"/>
          <c:showPercent val="0"/>
          <c:showBubbleSize val="0"/>
        </c:dLbls>
        <c:axId val="2100583728"/>
        <c:axId val="2100329520"/>
      </c:scatterChart>
      <c:valAx>
        <c:axId val="2100583728"/>
        <c:scaling>
          <c:orientation val="minMax"/>
        </c:scaling>
        <c:delete val="0"/>
        <c:axPos val="b"/>
        <c:majorGridlines/>
        <c:title>
          <c:tx>
            <c:rich>
              <a:bodyPr/>
              <a:lstStyle/>
              <a:p>
                <a:pPr>
                  <a:defRPr sz="1400" b="0"/>
                </a:pPr>
                <a:r>
                  <a:rPr lang="en-US" sz="1400" b="0"/>
                  <a:t>Wt. % MnO ICP-MS</a:t>
                </a:r>
              </a:p>
            </c:rich>
          </c:tx>
          <c:overlay val="0"/>
        </c:title>
        <c:numFmt formatCode="0.00" sourceLinked="1"/>
        <c:majorTickMark val="out"/>
        <c:minorTickMark val="none"/>
        <c:tickLblPos val="nextTo"/>
        <c:crossAx val="2100329520"/>
        <c:crosses val="autoZero"/>
        <c:crossBetween val="midCat"/>
      </c:valAx>
      <c:valAx>
        <c:axId val="2100329520"/>
        <c:scaling>
          <c:orientation val="minMax"/>
          <c:max val="2.0"/>
        </c:scaling>
        <c:delete val="0"/>
        <c:axPos val="l"/>
        <c:majorGridlines/>
        <c:title>
          <c:tx>
            <c:rich>
              <a:bodyPr rot="-5400000" vert="horz"/>
              <a:lstStyle/>
              <a:p>
                <a:pPr>
                  <a:defRPr sz="1400" b="0"/>
                </a:pPr>
                <a:r>
                  <a:rPr lang="en-US" sz="1400" b="0"/>
                  <a:t>Wt. % MnO EPMA</a:t>
                </a:r>
              </a:p>
            </c:rich>
          </c:tx>
          <c:overlay val="0"/>
        </c:title>
        <c:numFmt formatCode="0.00" sourceLinked="1"/>
        <c:majorTickMark val="out"/>
        <c:minorTickMark val="none"/>
        <c:tickLblPos val="nextTo"/>
        <c:crossAx val="2100583728"/>
        <c:crosses val="autoZero"/>
        <c:crossBetween val="midCat"/>
        <c:majorUnit val="0.5"/>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840692381807"/>
          <c:y val="0.0524215162759827"/>
          <c:w val="0.776460347519851"/>
          <c:h val="0.783012298135222"/>
        </c:manualLayout>
      </c:layout>
      <c:scatterChart>
        <c:scatterStyle val="lineMarker"/>
        <c:varyColors val="0"/>
        <c:ser>
          <c:idx val="0"/>
          <c:order val="0"/>
          <c:spPr>
            <a:ln w="28575">
              <a:noFill/>
            </a:ln>
          </c:spPr>
          <c:marker>
            <c:symbol val="square"/>
            <c:size val="7"/>
            <c:spPr>
              <a:solidFill>
                <a:schemeClr val="bg1"/>
              </a:solidFill>
              <a:ln>
                <a:solidFill>
                  <a:schemeClr val="tx1"/>
                </a:solidFill>
              </a:ln>
            </c:spPr>
          </c:marker>
          <c:trendline>
            <c:trendlineType val="linear"/>
            <c:intercept val="0.0"/>
            <c:dispRSqr val="1"/>
            <c:dispEq val="1"/>
            <c:trendlineLbl>
              <c:layout>
                <c:manualLayout>
                  <c:x val="-0.305443148720334"/>
                  <c:y val="0.0947049205056265"/>
                </c:manualLayout>
              </c:layout>
              <c:numFmt formatCode="General" sourceLinked="0"/>
              <c:txPr>
                <a:bodyPr/>
                <a:lstStyle/>
                <a:p>
                  <a:pPr>
                    <a:defRPr sz="1200"/>
                  </a:pPr>
                  <a:endParaRPr lang="en-US"/>
                </a:p>
              </c:txPr>
            </c:trendlineLbl>
          </c:trendline>
          <c:xVal>
            <c:numRef>
              <c:f>'comparing techniques'!$AI$4:$AI$38</c:f>
              <c:numCache>
                <c:formatCode>0.00</c:formatCode>
                <c:ptCount val="35"/>
                <c:pt idx="0">
                  <c:v>0.149921369910886</c:v>
                </c:pt>
                <c:pt idx="1">
                  <c:v>0.477926888511052</c:v>
                </c:pt>
                <c:pt idx="2">
                  <c:v>0.293703247798504</c:v>
                </c:pt>
                <c:pt idx="3">
                  <c:v>0.475373941250676</c:v>
                </c:pt>
                <c:pt idx="4">
                  <c:v>0.368715083798883</c:v>
                </c:pt>
                <c:pt idx="5">
                  <c:v>0.416470350676449</c:v>
                </c:pt>
                <c:pt idx="6">
                  <c:v>0.449428571428571</c:v>
                </c:pt>
                <c:pt idx="7">
                  <c:v>0.436764705882353</c:v>
                </c:pt>
                <c:pt idx="8">
                  <c:v>0.670057142857143</c:v>
                </c:pt>
                <c:pt idx="9">
                  <c:v>0.4356</c:v>
                </c:pt>
                <c:pt idx="10">
                  <c:v>0.200828571428571</c:v>
                </c:pt>
                <c:pt idx="11">
                  <c:v>0.465771428571429</c:v>
                </c:pt>
                <c:pt idx="12">
                  <c:v>0.469542857142857</c:v>
                </c:pt>
                <c:pt idx="13">
                  <c:v>0.0672135785007072</c:v>
                </c:pt>
                <c:pt idx="14">
                  <c:v>0.605964912280702</c:v>
                </c:pt>
                <c:pt idx="15">
                  <c:v>0.536491228070176</c:v>
                </c:pt>
                <c:pt idx="16">
                  <c:v>0.252163742690058</c:v>
                </c:pt>
                <c:pt idx="17">
                  <c:v>0.65421052631579</c:v>
                </c:pt>
                <c:pt idx="18">
                  <c:v>0.810526315789473</c:v>
                </c:pt>
                <c:pt idx="19">
                  <c:v>0.411806818181818</c:v>
                </c:pt>
                <c:pt idx="20">
                  <c:v>0.6366875</c:v>
                </c:pt>
                <c:pt idx="21">
                  <c:v>0.0929886363636364</c:v>
                </c:pt>
                <c:pt idx="22">
                  <c:v>1.040915105508741</c:v>
                </c:pt>
                <c:pt idx="23">
                  <c:v>0.0264192272588987</c:v>
                </c:pt>
                <c:pt idx="24">
                  <c:v>0.568810988874386</c:v>
                </c:pt>
                <c:pt idx="25">
                  <c:v>0.159496906107076</c:v>
                </c:pt>
                <c:pt idx="26">
                  <c:v>0.997596986817326</c:v>
                </c:pt>
                <c:pt idx="27">
                  <c:v>0.0302852758596638</c:v>
                </c:pt>
                <c:pt idx="28">
                  <c:v>0.0139778196275371</c:v>
                </c:pt>
                <c:pt idx="29">
                  <c:v>1.618852215283973</c:v>
                </c:pt>
                <c:pt idx="30">
                  <c:v>0.0138750415420405</c:v>
                </c:pt>
                <c:pt idx="31">
                  <c:v>0.0141183574879227</c:v>
                </c:pt>
                <c:pt idx="32">
                  <c:v>0.0157250470809793</c:v>
                </c:pt>
                <c:pt idx="33">
                  <c:v>0.0210858585858586</c:v>
                </c:pt>
                <c:pt idx="34">
                  <c:v>0.0141743827160494</c:v>
                </c:pt>
              </c:numCache>
            </c:numRef>
          </c:xVal>
          <c:yVal>
            <c:numRef>
              <c:f>'comparing techniques'!$AJ$4:$AJ$38</c:f>
              <c:numCache>
                <c:formatCode>0.00</c:formatCode>
                <c:ptCount val="35"/>
                <c:pt idx="0">
                  <c:v>0.133875</c:v>
                </c:pt>
                <c:pt idx="1">
                  <c:v>0.457</c:v>
                </c:pt>
                <c:pt idx="2">
                  <c:v>0.433875</c:v>
                </c:pt>
                <c:pt idx="3">
                  <c:v>0.522625</c:v>
                </c:pt>
                <c:pt idx="4">
                  <c:v>0.343125</c:v>
                </c:pt>
                <c:pt idx="5">
                  <c:v>0.39</c:v>
                </c:pt>
                <c:pt idx="6">
                  <c:v>0.41675</c:v>
                </c:pt>
                <c:pt idx="7">
                  <c:v>0.37925</c:v>
                </c:pt>
                <c:pt idx="8">
                  <c:v>0.599125</c:v>
                </c:pt>
                <c:pt idx="9">
                  <c:v>0.452375</c:v>
                </c:pt>
                <c:pt idx="10">
                  <c:v>0.2158</c:v>
                </c:pt>
                <c:pt idx="11">
                  <c:v>0.461875</c:v>
                </c:pt>
                <c:pt idx="12">
                  <c:v>0.483625</c:v>
                </c:pt>
                <c:pt idx="13">
                  <c:v>0.08925</c:v>
                </c:pt>
                <c:pt idx="14">
                  <c:v>0.4655</c:v>
                </c:pt>
                <c:pt idx="15">
                  <c:v>0.510125</c:v>
                </c:pt>
                <c:pt idx="16">
                  <c:v>0.26425</c:v>
                </c:pt>
                <c:pt idx="17">
                  <c:v>0.62575</c:v>
                </c:pt>
                <c:pt idx="18">
                  <c:v>0.860375</c:v>
                </c:pt>
                <c:pt idx="19">
                  <c:v>0.39525</c:v>
                </c:pt>
                <c:pt idx="20">
                  <c:v>0.630888888888889</c:v>
                </c:pt>
                <c:pt idx="21">
                  <c:v>0.083125</c:v>
                </c:pt>
                <c:pt idx="22">
                  <c:v>0.979375</c:v>
                </c:pt>
                <c:pt idx="23">
                  <c:v>0.023625</c:v>
                </c:pt>
                <c:pt idx="24">
                  <c:v>0.561125</c:v>
                </c:pt>
                <c:pt idx="25">
                  <c:v>0.144</c:v>
                </c:pt>
                <c:pt idx="26">
                  <c:v>0.95575</c:v>
                </c:pt>
                <c:pt idx="27">
                  <c:v>0.027625</c:v>
                </c:pt>
                <c:pt idx="28">
                  <c:v>0.0105</c:v>
                </c:pt>
                <c:pt idx="29">
                  <c:v>1.693333333333333</c:v>
                </c:pt>
                <c:pt idx="30">
                  <c:v>0.016375</c:v>
                </c:pt>
                <c:pt idx="31">
                  <c:v>0.013625</c:v>
                </c:pt>
                <c:pt idx="32">
                  <c:v>0.01225</c:v>
                </c:pt>
                <c:pt idx="33">
                  <c:v>0.012375</c:v>
                </c:pt>
                <c:pt idx="34">
                  <c:v>0.020375</c:v>
                </c:pt>
              </c:numCache>
            </c:numRef>
          </c:yVal>
          <c:smooth val="0"/>
        </c:ser>
        <c:dLbls>
          <c:showLegendKey val="0"/>
          <c:showVal val="0"/>
          <c:showCatName val="0"/>
          <c:showSerName val="0"/>
          <c:showPercent val="0"/>
          <c:showBubbleSize val="0"/>
        </c:dLbls>
        <c:axId val="2100513680"/>
        <c:axId val="2100357552"/>
      </c:scatterChart>
      <c:valAx>
        <c:axId val="2100513680"/>
        <c:scaling>
          <c:orientation val="minMax"/>
          <c:max val="0.2"/>
        </c:scaling>
        <c:delete val="0"/>
        <c:axPos val="b"/>
        <c:majorGridlines/>
        <c:title>
          <c:tx>
            <c:rich>
              <a:bodyPr/>
              <a:lstStyle/>
              <a:p>
                <a:pPr>
                  <a:defRPr sz="1400" b="0"/>
                </a:pPr>
                <a:r>
                  <a:rPr lang="en-US" sz="1400" b="0"/>
                  <a:t>Wt. % MnO ICP-MS</a:t>
                </a:r>
              </a:p>
            </c:rich>
          </c:tx>
          <c:layout>
            <c:manualLayout>
              <c:xMode val="edge"/>
              <c:yMode val="edge"/>
              <c:x val="0.384730389713944"/>
              <c:y val="0.911275544705383"/>
            </c:manualLayout>
          </c:layout>
          <c:overlay val="0"/>
        </c:title>
        <c:numFmt formatCode="0.00" sourceLinked="1"/>
        <c:majorTickMark val="out"/>
        <c:minorTickMark val="none"/>
        <c:tickLblPos val="nextTo"/>
        <c:crossAx val="2100357552"/>
        <c:crosses val="autoZero"/>
        <c:crossBetween val="midCat"/>
        <c:majorUnit val="0.02"/>
      </c:valAx>
      <c:valAx>
        <c:axId val="2100357552"/>
        <c:scaling>
          <c:orientation val="minMax"/>
          <c:max val="0.2"/>
          <c:min val="0.0"/>
        </c:scaling>
        <c:delete val="0"/>
        <c:axPos val="l"/>
        <c:majorGridlines/>
        <c:title>
          <c:tx>
            <c:rich>
              <a:bodyPr rot="-5400000" vert="horz"/>
              <a:lstStyle/>
              <a:p>
                <a:pPr>
                  <a:defRPr sz="1400" b="0"/>
                </a:pPr>
                <a:r>
                  <a:rPr lang="en-US" sz="1400" b="0"/>
                  <a:t>Wt. % MnO EPMA</a:t>
                </a:r>
              </a:p>
            </c:rich>
          </c:tx>
          <c:layout>
            <c:manualLayout>
              <c:xMode val="edge"/>
              <c:yMode val="edge"/>
              <c:x val="0.019690576652602"/>
              <c:y val="0.285390319659824"/>
            </c:manualLayout>
          </c:layout>
          <c:overlay val="0"/>
        </c:title>
        <c:numFmt formatCode="0.00" sourceLinked="1"/>
        <c:majorTickMark val="out"/>
        <c:minorTickMark val="none"/>
        <c:tickLblPos val="nextTo"/>
        <c:crossAx val="2100513680"/>
        <c:crosses val="autoZero"/>
        <c:crossBetween val="midCat"/>
        <c:majorUnit val="0.02"/>
        <c:minorUnit val="0.02"/>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366</Words>
  <Characters>2089</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Freestone</dc:creator>
  <cp:keywords/>
  <dc:description/>
  <cp:lastModifiedBy>Microsoft Office User</cp:lastModifiedBy>
  <cp:revision>5</cp:revision>
  <dcterms:created xsi:type="dcterms:W3CDTF">2015-12-11T11:42:00Z</dcterms:created>
  <dcterms:modified xsi:type="dcterms:W3CDTF">2015-12-28T08:51:00Z</dcterms:modified>
</cp:coreProperties>
</file>