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3E9" w:rsidRPr="00423121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423121">
        <w:rPr>
          <w:rFonts w:ascii="Arial" w:hAnsi="Arial" w:cs="Arial"/>
          <w:b/>
          <w:sz w:val="24"/>
          <w:szCs w:val="24"/>
          <w:lang w:val="en-GB"/>
        </w:rPr>
        <w:t>Supplementary Information</w:t>
      </w: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E23E9" w:rsidRPr="00423121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shd w:val="clear" w:color="auto" w:fill="FCFCFC"/>
          <w:lang w:val="en-GB"/>
        </w:rPr>
      </w:pPr>
      <w:r w:rsidRPr="00423121">
        <w:rPr>
          <w:rFonts w:ascii="Arial" w:hAnsi="Arial" w:cs="Arial"/>
          <w:b/>
          <w:sz w:val="24"/>
          <w:szCs w:val="24"/>
          <w:shd w:val="clear" w:color="auto" w:fill="FCFCFC"/>
          <w:lang w:val="en-GB"/>
        </w:rPr>
        <w:t xml:space="preserve">Article title: </w:t>
      </w:r>
    </w:p>
    <w:p w:rsidR="004E23E9" w:rsidRPr="00423121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423121">
        <w:rPr>
          <w:rFonts w:ascii="Arial" w:hAnsi="Arial" w:cs="Arial"/>
          <w:sz w:val="24"/>
          <w:szCs w:val="24"/>
          <w:lang w:val="en-GB"/>
        </w:rPr>
        <w:t>BURIAL TAPHONOMY AND MEGALITHIC RITUAL PRACTICES IN IBERIA: THE PANORÍA CEMETERY</w:t>
      </w: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4E23E9" w:rsidRDefault="004E23E9" w:rsidP="004E23E9">
      <w:pPr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423121">
        <w:rPr>
          <w:rFonts w:ascii="Arial" w:hAnsi="Arial" w:cs="Arial"/>
          <w:b/>
          <w:sz w:val="24"/>
          <w:szCs w:val="24"/>
          <w:lang w:val="en-GB"/>
        </w:rPr>
        <w:t>Journal Name</w:t>
      </w:r>
      <w:r w:rsidRPr="00423121">
        <w:rPr>
          <w:rFonts w:ascii="Arial" w:hAnsi="Arial" w:cs="Arial"/>
          <w:sz w:val="24"/>
          <w:szCs w:val="24"/>
          <w:lang w:val="en-GB"/>
        </w:rPr>
        <w:t xml:space="preserve">: </w:t>
      </w:r>
    </w:p>
    <w:p w:rsidR="004E23E9" w:rsidRPr="00423121" w:rsidRDefault="004E23E9" w:rsidP="004E23E9">
      <w:pPr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423121">
        <w:rPr>
          <w:rFonts w:ascii="Arial" w:hAnsi="Arial" w:cs="Arial"/>
          <w:sz w:val="24"/>
          <w:szCs w:val="24"/>
          <w:lang w:val="en-GB"/>
        </w:rPr>
        <w:t>Archaeological and Anthropological Sciences</w:t>
      </w: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4E23E9" w:rsidRPr="00374916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374916">
        <w:rPr>
          <w:rFonts w:ascii="Arial" w:hAnsi="Arial" w:cs="Arial"/>
          <w:b/>
          <w:sz w:val="24"/>
          <w:szCs w:val="24"/>
        </w:rPr>
        <w:t>Autors</w:t>
      </w:r>
      <w:proofErr w:type="spellEnd"/>
      <w:r w:rsidRPr="00374916">
        <w:rPr>
          <w:rFonts w:ascii="Arial" w:hAnsi="Arial" w:cs="Arial"/>
          <w:b/>
          <w:sz w:val="24"/>
          <w:szCs w:val="24"/>
        </w:rPr>
        <w:t>:</w:t>
      </w:r>
    </w:p>
    <w:p w:rsidR="004E23E9" w:rsidRPr="00374916" w:rsidRDefault="004E23E9" w:rsidP="004E23E9">
      <w:pPr>
        <w:spacing w:after="0" w:line="240" w:lineRule="auto"/>
        <w:rPr>
          <w:rFonts w:ascii="Arial" w:eastAsia="TimesNewRomanPS" w:hAnsi="Arial" w:cs="Arial"/>
          <w:sz w:val="24"/>
          <w:szCs w:val="24"/>
          <w:vertAlign w:val="superscript"/>
        </w:rPr>
      </w:pPr>
      <w:r w:rsidRPr="00423121">
        <w:rPr>
          <w:rFonts w:ascii="Arial" w:hAnsi="Arial" w:cs="Arial"/>
          <w:sz w:val="24"/>
          <w:szCs w:val="24"/>
        </w:rPr>
        <w:t>Miriam Vílchez Suárez</w:t>
      </w:r>
      <w:r w:rsidRPr="00423121">
        <w:rPr>
          <w:rFonts w:ascii="Arial" w:hAnsi="Arial" w:cs="Arial"/>
          <w:sz w:val="24"/>
          <w:szCs w:val="24"/>
          <w:vertAlign w:val="superscript"/>
        </w:rPr>
        <w:t>1</w:t>
      </w:r>
      <w:r w:rsidRPr="00423121">
        <w:rPr>
          <w:rFonts w:ascii="Arial" w:hAnsi="Arial" w:cs="Arial"/>
          <w:sz w:val="24"/>
          <w:szCs w:val="24"/>
        </w:rPr>
        <w:t>; Gonzalo Aranda Jiménez</w:t>
      </w:r>
      <w:r w:rsidRPr="00423121">
        <w:rPr>
          <w:rFonts w:ascii="Arial" w:hAnsi="Arial" w:cs="Arial"/>
          <w:sz w:val="24"/>
          <w:szCs w:val="24"/>
          <w:vertAlign w:val="superscript"/>
        </w:rPr>
        <w:t>1</w:t>
      </w:r>
      <w:r w:rsidRPr="00423121">
        <w:rPr>
          <w:rFonts w:ascii="Arial" w:hAnsi="Arial" w:cs="Arial"/>
          <w:sz w:val="24"/>
          <w:szCs w:val="24"/>
        </w:rPr>
        <w:t>; Marta Díaz-Zorita Bonilla</w:t>
      </w:r>
      <w:r w:rsidRPr="00423121">
        <w:rPr>
          <w:rFonts w:ascii="Arial" w:hAnsi="Arial" w:cs="Arial"/>
          <w:sz w:val="24"/>
          <w:szCs w:val="24"/>
          <w:vertAlign w:val="superscript"/>
        </w:rPr>
        <w:t>2</w:t>
      </w:r>
      <w:r w:rsidRPr="00423121">
        <w:rPr>
          <w:rFonts w:ascii="Arial" w:hAnsi="Arial" w:cs="Arial"/>
          <w:sz w:val="24"/>
          <w:szCs w:val="24"/>
        </w:rPr>
        <w:t>; Sonia Robles Carrasco</w:t>
      </w:r>
      <w:r w:rsidRPr="00423121">
        <w:rPr>
          <w:rFonts w:ascii="Arial" w:hAnsi="Arial" w:cs="Arial"/>
          <w:sz w:val="24"/>
          <w:szCs w:val="24"/>
          <w:vertAlign w:val="superscript"/>
        </w:rPr>
        <w:t>1</w:t>
      </w:r>
      <w:r w:rsidRPr="00423121">
        <w:rPr>
          <w:rFonts w:ascii="Arial" w:hAnsi="Arial" w:cs="Arial"/>
          <w:sz w:val="24"/>
          <w:szCs w:val="24"/>
        </w:rPr>
        <w:t>; Margarita Sánchez Romero</w:t>
      </w:r>
      <w:r w:rsidRPr="00423121">
        <w:rPr>
          <w:rFonts w:ascii="Arial" w:hAnsi="Arial" w:cs="Arial"/>
          <w:sz w:val="24"/>
          <w:szCs w:val="24"/>
          <w:vertAlign w:val="superscript"/>
        </w:rPr>
        <w:t>1</w:t>
      </w:r>
      <w:r w:rsidRPr="00423121">
        <w:rPr>
          <w:rFonts w:ascii="Arial" w:hAnsi="Arial" w:cs="Arial"/>
          <w:sz w:val="24"/>
          <w:szCs w:val="24"/>
        </w:rPr>
        <w:t>; Lara Milesi García</w:t>
      </w:r>
      <w:r w:rsidRPr="00423121">
        <w:rPr>
          <w:rFonts w:ascii="Arial" w:hAnsi="Arial" w:cs="Arial"/>
          <w:sz w:val="24"/>
          <w:szCs w:val="24"/>
          <w:vertAlign w:val="superscript"/>
        </w:rPr>
        <w:t>1</w:t>
      </w:r>
      <w:r w:rsidRPr="00423121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r w:rsidRPr="00374916">
        <w:rPr>
          <w:rFonts w:ascii="Arial" w:eastAsia="TimesNewRomanPS" w:hAnsi="Arial" w:cs="Arial"/>
          <w:sz w:val="24"/>
          <w:szCs w:val="24"/>
        </w:rPr>
        <w:t>Francisco Javier Esquivel Sánchez</w:t>
      </w:r>
      <w:r w:rsidRPr="00374916">
        <w:rPr>
          <w:rFonts w:ascii="Arial" w:eastAsia="TimesNewRomanPS" w:hAnsi="Arial" w:cs="Arial"/>
          <w:sz w:val="24"/>
          <w:szCs w:val="24"/>
          <w:vertAlign w:val="superscript"/>
        </w:rPr>
        <w:t>3</w:t>
      </w:r>
    </w:p>
    <w:p w:rsidR="004E23E9" w:rsidRPr="00374916" w:rsidRDefault="004E23E9" w:rsidP="004E23E9">
      <w:pPr>
        <w:spacing w:after="0" w:line="240" w:lineRule="auto"/>
        <w:rPr>
          <w:rFonts w:ascii="Arial" w:eastAsia="TimesNewRomanPS" w:hAnsi="Arial" w:cs="Arial"/>
          <w:sz w:val="24"/>
          <w:szCs w:val="24"/>
        </w:rPr>
      </w:pPr>
    </w:p>
    <w:p w:rsidR="004E23E9" w:rsidRPr="00161673" w:rsidRDefault="004E23E9" w:rsidP="004E23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proofErr w:type="gramStart"/>
      <w:r w:rsidRPr="00AF1DCA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Pr="00AF1DCA">
        <w:rPr>
          <w:rFonts w:ascii="Arial" w:hAnsi="Arial" w:cs="Arial"/>
          <w:sz w:val="24"/>
          <w:szCs w:val="24"/>
          <w:lang w:val="en-GB"/>
        </w:rPr>
        <w:t xml:space="preserve">Department of Prehistory and Archaeology, University of Granada, Campus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Cartuja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 xml:space="preserve"> s/n, 18071, Granada, Spain.</w:t>
      </w:r>
      <w:proofErr w:type="gramEnd"/>
      <w:r w:rsidRPr="00AF1DCA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4E23E9" w:rsidRPr="00AF1DCA" w:rsidRDefault="004E23E9" w:rsidP="004E23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AF1DCA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AF1DCA"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 w:rsidRPr="00AF1DCA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Institut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für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 xml:space="preserve"> Ur- und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Frühgeschichte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 xml:space="preserve"> und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Archäologie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 xml:space="preserve"> des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Mittelalters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 xml:space="preserve">, University of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Tübingen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Hölderlinstr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>.</w:t>
      </w:r>
      <w:proofErr w:type="gramEnd"/>
      <w:r w:rsidRPr="00AF1DCA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AF1DCA">
        <w:rPr>
          <w:rFonts w:ascii="Arial" w:hAnsi="Arial" w:cs="Arial"/>
          <w:sz w:val="24"/>
          <w:szCs w:val="24"/>
          <w:lang w:val="en-GB"/>
        </w:rPr>
        <w:t xml:space="preserve">12, 72074, </w:t>
      </w:r>
      <w:proofErr w:type="spellStart"/>
      <w:r w:rsidRPr="00AF1DCA">
        <w:rPr>
          <w:rFonts w:ascii="Arial" w:hAnsi="Arial" w:cs="Arial"/>
          <w:sz w:val="24"/>
          <w:szCs w:val="24"/>
          <w:lang w:val="en-GB"/>
        </w:rPr>
        <w:t>Tübingen</w:t>
      </w:r>
      <w:proofErr w:type="spellEnd"/>
      <w:r w:rsidRPr="00AF1DCA">
        <w:rPr>
          <w:rFonts w:ascii="Arial" w:hAnsi="Arial" w:cs="Arial"/>
          <w:sz w:val="24"/>
          <w:szCs w:val="24"/>
          <w:lang w:val="en-GB"/>
        </w:rPr>
        <w:t>, Germany.</w:t>
      </w:r>
      <w:proofErr w:type="gramEnd"/>
      <w:r w:rsidRPr="00AF1DCA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AF1DCA">
        <w:rPr>
          <w:rFonts w:ascii="Arial" w:eastAsia="TimesNewRomanPS" w:hAnsi="Arial" w:cs="Arial"/>
          <w:sz w:val="24"/>
          <w:szCs w:val="24"/>
          <w:vertAlign w:val="superscript"/>
          <w:lang w:val="en-GB"/>
        </w:rPr>
        <w:t>3</w:t>
      </w:r>
      <w:r w:rsidRPr="00AF1DCA">
        <w:rPr>
          <w:rFonts w:ascii="Arial" w:hAnsi="Arial" w:cs="Arial"/>
          <w:sz w:val="24"/>
          <w:szCs w:val="24"/>
          <w:lang w:val="en-GB"/>
        </w:rPr>
        <w:t>Department of Statistics and Operations Research, University of Granada, Spain.</w:t>
      </w:r>
      <w:proofErr w:type="gramEnd"/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4E23E9" w:rsidRPr="00AF1DCA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shd w:val="clear" w:color="auto" w:fill="FCFCFC"/>
          <w:lang w:val="en-GB"/>
        </w:rPr>
      </w:pPr>
      <w:r w:rsidRPr="00AF1DCA">
        <w:rPr>
          <w:rFonts w:ascii="Arial" w:hAnsi="Arial" w:cs="Arial"/>
          <w:b/>
          <w:sz w:val="24"/>
          <w:szCs w:val="24"/>
          <w:shd w:val="clear" w:color="auto" w:fill="FCFCFC"/>
          <w:lang w:val="en-GB"/>
        </w:rPr>
        <w:t>E-mail address of the corresponding author</w:t>
      </w:r>
      <w:r>
        <w:rPr>
          <w:rFonts w:ascii="Arial" w:hAnsi="Arial" w:cs="Arial"/>
          <w:b/>
          <w:sz w:val="24"/>
          <w:szCs w:val="24"/>
          <w:shd w:val="clear" w:color="auto" w:fill="FCFCFC"/>
          <w:lang w:val="en-GB"/>
        </w:rPr>
        <w:t>:</w:t>
      </w:r>
    </w:p>
    <w:p w:rsidR="004E23E9" w:rsidRDefault="004E23E9" w:rsidP="004E23E9">
      <w:pPr>
        <w:spacing w:after="0" w:line="240" w:lineRule="auto"/>
        <w:rPr>
          <w:rFonts w:ascii="Arial" w:hAnsi="Arial" w:cs="Arial"/>
          <w:b/>
          <w:sz w:val="24"/>
          <w:szCs w:val="24"/>
          <w:shd w:val="clear" w:color="auto" w:fill="FCFCFC"/>
          <w:lang w:val="en-GB"/>
        </w:rPr>
      </w:pPr>
    </w:p>
    <w:p w:rsidR="004E23E9" w:rsidRPr="00AF1DCA" w:rsidRDefault="004E23E9" w:rsidP="004E23E9">
      <w:pPr>
        <w:spacing w:after="0" w:line="240" w:lineRule="auto"/>
        <w:rPr>
          <w:rFonts w:ascii="Arial" w:hAnsi="Arial" w:cs="Arial"/>
          <w:sz w:val="24"/>
          <w:szCs w:val="24"/>
          <w:shd w:val="clear" w:color="auto" w:fill="FCFCFC"/>
        </w:rPr>
      </w:pPr>
      <w:r w:rsidRPr="00AF1DCA">
        <w:rPr>
          <w:rFonts w:ascii="Arial" w:hAnsi="Arial" w:cs="Arial"/>
          <w:sz w:val="24"/>
          <w:szCs w:val="24"/>
          <w:shd w:val="clear" w:color="auto" w:fill="FCFCFC"/>
        </w:rPr>
        <w:t xml:space="preserve">Gonzalo Aranda Jiménez: </w:t>
      </w:r>
      <w:hyperlink r:id="rId5" w:history="1">
        <w:r w:rsidRPr="00AF1DCA">
          <w:rPr>
            <w:rStyle w:val="Hipervnculo"/>
            <w:rFonts w:ascii="Arial" w:hAnsi="Arial" w:cs="Arial"/>
            <w:sz w:val="24"/>
            <w:szCs w:val="24"/>
            <w:shd w:val="clear" w:color="auto" w:fill="FCFCFC"/>
          </w:rPr>
          <w:t>garanda@ugr.es</w:t>
        </w:r>
      </w:hyperlink>
    </w:p>
    <w:p w:rsidR="006A5167" w:rsidRDefault="006A5167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p w:rsidR="004E23E9" w:rsidRDefault="004E23E9" w:rsidP="004F4330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page" w:horzAnchor="margin" w:tblpY="1367"/>
        <w:tblW w:w="8505" w:type="dxa"/>
        <w:tblLook w:val="04A0" w:firstRow="1" w:lastRow="0" w:firstColumn="1" w:lastColumn="0" w:noHBand="0" w:noVBand="1"/>
      </w:tblPr>
      <w:tblGrid>
        <w:gridCol w:w="1843"/>
        <w:gridCol w:w="2126"/>
        <w:gridCol w:w="2268"/>
        <w:gridCol w:w="2268"/>
      </w:tblGrid>
      <w:tr w:rsidR="00B12534" w:rsidRPr="004E23E9" w:rsidTr="00B12534">
        <w:tc>
          <w:tcPr>
            <w:tcW w:w="1843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lastRenderedPageBreak/>
              <w:t>Cluster criteria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en-GB"/>
              </w:rPr>
              <w:t>Posterior density estimate</w:t>
            </w:r>
          </w:p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t xml:space="preserve">(68% of probability </w:t>
            </w:r>
            <w:proofErr w:type="spellStart"/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t>cal</w:t>
            </w:r>
            <w:proofErr w:type="spellEnd"/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t xml:space="preserve"> BC)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  <w:lang w:val="en-GB"/>
              </w:rPr>
              <w:t>Posterior density estimate</w:t>
            </w:r>
          </w:p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t xml:space="preserve">(95% of probability </w:t>
            </w:r>
            <w:proofErr w:type="spellStart"/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t>cal</w:t>
            </w:r>
            <w:proofErr w:type="spellEnd"/>
            <w:r w:rsidRPr="0007121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GB"/>
              </w:rPr>
              <w:t xml:space="preserve"> BC)</w:t>
            </w:r>
          </w:p>
        </w:tc>
      </w:tr>
      <w:tr w:rsidR="00B12534" w:rsidRPr="005B31CD" w:rsidTr="00B12534">
        <w:tc>
          <w:tcPr>
            <w:tcW w:w="8505" w:type="dxa"/>
            <w:gridSpan w:val="4"/>
            <w:shd w:val="clear" w:color="auto" w:fill="D9D9D9" w:themeFill="background1" w:themeFillShade="D9"/>
            <w:vAlign w:val="center"/>
          </w:tcPr>
          <w:p w:rsidR="00B12534" w:rsidRPr="00403BD9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i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Tomb 3 </w:t>
            </w:r>
          </w:p>
        </w:tc>
      </w:tr>
      <w:tr w:rsidR="00B12534" w:rsidRPr="0007121D" w:rsidTr="00B12534">
        <w:tc>
          <w:tcPr>
            <w:tcW w:w="1843" w:type="dxa"/>
            <w:vMerge w:val="restart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Phase A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First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2560–2465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2570</w:t>
            </w:r>
            <w:r w:rsidRPr="004E7893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2460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2570</w:t>
            </w: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2465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2625</w:t>
            </w: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2460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Last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2555–2450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2560–2405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2550</w:t>
            </w: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2435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2560</w:t>
            </w: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2340</w:t>
            </w:r>
          </w:p>
        </w:tc>
      </w:tr>
      <w:tr w:rsidR="00B12534" w:rsidRPr="0007121D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4E7893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4E7893">
              <w:rPr>
                <w:rFonts w:ascii="Arial" w:hAnsi="Arial" w:cs="Arial"/>
                <w:i/>
                <w:sz w:val="20"/>
                <w:szCs w:val="20"/>
              </w:rPr>
              <w:t xml:space="preserve">30 </w:t>
            </w:r>
            <w:proofErr w:type="spellStart"/>
            <w:r w:rsidRPr="004E7893">
              <w:rPr>
                <w:rFonts w:ascii="Arial" w:hAnsi="Arial" w:cs="Arial"/>
                <w:i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4E7893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4E7893"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4E7893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4E7893">
              <w:rPr>
                <w:rFonts w:ascii="Arial" w:hAnsi="Arial" w:cs="Arial"/>
                <w:i/>
                <w:sz w:val="20"/>
                <w:szCs w:val="20"/>
              </w:rPr>
              <w:t xml:space="preserve">120 </w:t>
            </w:r>
            <w:proofErr w:type="spellStart"/>
            <w:r w:rsidRPr="004E7893">
              <w:rPr>
                <w:rFonts w:ascii="Arial" w:hAnsi="Arial" w:cs="Arial"/>
                <w:i/>
                <w:sz w:val="20"/>
                <w:szCs w:val="20"/>
              </w:rPr>
              <w:t>years</w:t>
            </w:r>
            <w:proofErr w:type="spellEnd"/>
          </w:p>
        </w:tc>
      </w:tr>
      <w:tr w:rsidR="00B12534" w:rsidRPr="0007121D" w:rsidTr="00B12534">
        <w:trPr>
          <w:trHeight w:val="470"/>
        </w:trPr>
        <w:tc>
          <w:tcPr>
            <w:tcW w:w="1843" w:type="dxa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Chronological hiatus </w:t>
            </w:r>
          </w:p>
        </w:tc>
        <w:tc>
          <w:tcPr>
            <w:tcW w:w="2126" w:type="dxa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Difference between Phase A and B </w:t>
            </w:r>
          </w:p>
        </w:tc>
        <w:tc>
          <w:tcPr>
            <w:tcW w:w="2268" w:type="dxa"/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300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420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268" w:type="dxa"/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210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43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0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years</w:t>
            </w:r>
          </w:p>
        </w:tc>
      </w:tr>
      <w:tr w:rsidR="00B12534" w:rsidRPr="0007121D" w:rsidTr="00B12534">
        <w:tc>
          <w:tcPr>
            <w:tcW w:w="1843" w:type="dxa"/>
            <w:vMerge w:val="restart"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Phase B Primary reuse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First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2900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2880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2910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2780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3015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2795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3245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2785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Last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2895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2785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2900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2705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2890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2710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2895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2565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1-25 years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1-135 years</w:t>
            </w:r>
          </w:p>
        </w:tc>
      </w:tr>
      <w:tr w:rsidR="00B12534" w:rsidRPr="0007121D" w:rsidTr="00B12534">
        <w:tc>
          <w:tcPr>
            <w:tcW w:w="1843" w:type="dxa"/>
            <w:vMerge w:val="restart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Phase B Primary use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First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3465–3410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3530–3395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3470</w:t>
            </w: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3415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3535</w:t>
            </w: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3400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Last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3345–3315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3355–32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7</w:t>
            </w:r>
            <w:r w:rsidRPr="000D0D3C">
              <w:rPr>
                <w:rFonts w:ascii="Arial" w:hAnsi="Arial" w:cs="Arial"/>
                <w:i/>
                <w:sz w:val="20"/>
                <w:szCs w:val="20"/>
                <w:lang w:val="en-GB"/>
              </w:rPr>
              <w:t>5</w:t>
            </w:r>
          </w:p>
        </w:tc>
      </w:tr>
      <w:tr w:rsidR="00B12534" w:rsidRPr="0007121D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3340</w:t>
            </w: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3305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3350</w:t>
            </w: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3250</w:t>
            </w:r>
          </w:p>
        </w:tc>
      </w:tr>
      <w:tr w:rsidR="00B12534" w:rsidRPr="0007121D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70–145</w:t>
            </w:r>
            <w:r w:rsidRPr="000D0D3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D0D3C">
              <w:rPr>
                <w:rFonts w:ascii="Arial" w:hAnsi="Arial" w:cs="Arial"/>
                <w:i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D0D3C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5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5</w:t>
            </w: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–2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2</w:t>
            </w:r>
            <w:r w:rsidRPr="000D0D3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5 </w:t>
            </w:r>
            <w:proofErr w:type="spellStart"/>
            <w:r w:rsidRPr="000D0D3C">
              <w:rPr>
                <w:rFonts w:ascii="Arial" w:hAnsi="Arial" w:cs="Arial"/>
                <w:i/>
                <w:sz w:val="20"/>
                <w:szCs w:val="20"/>
              </w:rPr>
              <w:t>years</w:t>
            </w:r>
            <w:proofErr w:type="spellEnd"/>
          </w:p>
        </w:tc>
      </w:tr>
      <w:tr w:rsidR="00B12534" w:rsidRPr="00602185" w:rsidTr="00B12534">
        <w:tc>
          <w:tcPr>
            <w:tcW w:w="8505" w:type="dxa"/>
            <w:gridSpan w:val="4"/>
            <w:shd w:val="clear" w:color="auto" w:fill="D9D9D9" w:themeFill="background1" w:themeFillShade="D9"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Tomb 10</w:t>
            </w:r>
          </w:p>
        </w:tc>
      </w:tr>
      <w:tr w:rsidR="00B12534" w:rsidRPr="00602185" w:rsidTr="00B12534">
        <w:tc>
          <w:tcPr>
            <w:tcW w:w="1843" w:type="dxa"/>
            <w:vMerge w:val="restart"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Phase A</w:t>
            </w:r>
          </w:p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(bone samples)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2225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2070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2375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2045</w:t>
            </w:r>
          </w:p>
        </w:tc>
      </w:tr>
      <w:tr w:rsidR="00B12534" w:rsidRPr="00602185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2135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2010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2190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1925</w:t>
            </w:r>
          </w:p>
        </w:tc>
      </w:tr>
      <w:tr w:rsidR="00B12534" w:rsidRPr="00602185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40 </w:t>
            </w:r>
            <w:r w:rsidRPr="00602185">
              <w:rPr>
                <w:rFonts w:ascii="Arial" w:hAnsi="Arial" w:cs="Arial"/>
                <w:i/>
                <w:sz w:val="20"/>
                <w:szCs w:val="20"/>
                <w:lang w:val="en-GB"/>
              </w:rPr>
              <w:t>years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10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0 </w:t>
            </w:r>
            <w:r w:rsidRPr="00602185">
              <w:rPr>
                <w:rFonts w:ascii="Arial" w:hAnsi="Arial" w:cs="Arial"/>
                <w:i/>
                <w:sz w:val="20"/>
                <w:szCs w:val="20"/>
                <w:lang w:val="en-GB"/>
              </w:rPr>
              <w:t>years</w:t>
            </w:r>
          </w:p>
        </w:tc>
      </w:tr>
      <w:tr w:rsidR="00B12534" w:rsidRPr="000113F7" w:rsidTr="00B12534">
        <w:trPr>
          <w:trHeight w:val="470"/>
        </w:trPr>
        <w:tc>
          <w:tcPr>
            <w:tcW w:w="1843" w:type="dxa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Chronological hiatus </w:t>
            </w:r>
          </w:p>
        </w:tc>
        <w:tc>
          <w:tcPr>
            <w:tcW w:w="2126" w:type="dxa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Difference between Phase A and B </w:t>
            </w:r>
          </w:p>
        </w:tc>
        <w:tc>
          <w:tcPr>
            <w:tcW w:w="2268" w:type="dxa"/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220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380 years</w:t>
            </w:r>
          </w:p>
        </w:tc>
        <w:tc>
          <w:tcPr>
            <w:tcW w:w="2268" w:type="dxa"/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70</w:t>
            </w:r>
            <w:r w:rsidRPr="000C5D84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41</w:t>
            </w:r>
            <w:r w:rsidRPr="000C5D84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0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 xml:space="preserve"> years</w:t>
            </w:r>
          </w:p>
        </w:tc>
      </w:tr>
      <w:tr w:rsidR="00B12534" w:rsidRPr="003E7E9D" w:rsidTr="00B12534">
        <w:tc>
          <w:tcPr>
            <w:tcW w:w="1843" w:type="dxa"/>
            <w:vMerge w:val="restart"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Phase B</w:t>
            </w:r>
          </w:p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(bone samples)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2480–2470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2500–2460</w:t>
            </w:r>
          </w:p>
        </w:tc>
      </w:tr>
      <w:tr w:rsidR="00B12534" w:rsidRPr="008021A7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2465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2445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2470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2400</w:t>
            </w:r>
          </w:p>
        </w:tc>
      </w:tr>
      <w:tr w:rsidR="00B12534" w:rsidRPr="008021A7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–2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 xml:space="preserve"> years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–70 years</w:t>
            </w:r>
          </w:p>
        </w:tc>
      </w:tr>
      <w:tr w:rsidR="00B12534" w:rsidRPr="008021A7" w:rsidTr="00B12534">
        <w:tc>
          <w:tcPr>
            <w:tcW w:w="1843" w:type="dxa"/>
            <w:vMerge w:val="restart"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Phase C</w:t>
            </w:r>
          </w:p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(teeth samples)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3200–3110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3310–3050</w:t>
            </w:r>
          </w:p>
        </w:tc>
      </w:tr>
      <w:tr w:rsidR="00B12534" w:rsidRPr="008021A7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2500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2470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</w:rPr>
              <w:t>2525–2465</w:t>
            </w:r>
          </w:p>
        </w:tc>
      </w:tr>
      <w:tr w:rsidR="00B12534" w:rsidRPr="008021A7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595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665 years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F1935">
              <w:rPr>
                <w:rFonts w:ascii="Arial" w:hAnsi="Arial" w:cs="Arial"/>
                <w:i/>
                <w:sz w:val="20"/>
                <w:szCs w:val="20"/>
                <w:lang w:val="en-GB"/>
              </w:rPr>
              <w:t>550</w:t>
            </w:r>
            <w:r w:rsidRPr="000F1935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–730 years</w:t>
            </w:r>
          </w:p>
        </w:tc>
      </w:tr>
      <w:tr w:rsidR="00B12534" w:rsidRPr="004D5944" w:rsidTr="00B12534">
        <w:trPr>
          <w:trHeight w:val="515"/>
        </w:trPr>
        <w:tc>
          <w:tcPr>
            <w:tcW w:w="1843" w:type="dxa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Difference between phases </w:t>
            </w:r>
          </w:p>
        </w:tc>
        <w:tc>
          <w:tcPr>
            <w:tcW w:w="2126" w:type="dxa"/>
            <w:vAlign w:val="center"/>
          </w:tcPr>
          <w:p w:rsidR="00B12534" w:rsidRPr="00EB354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EB3545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Difference 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Start</w:t>
            </w:r>
            <w:r w:rsidRPr="00EB3545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T</w:t>
            </w:r>
            <w:r w:rsidRPr="00EB3545">
              <w:rPr>
                <w:rFonts w:ascii="Arial" w:hAnsi="Arial" w:cs="Arial"/>
                <w:i/>
                <w:sz w:val="20"/>
                <w:szCs w:val="20"/>
                <w:lang w:val="en-GB"/>
              </w:rPr>
              <w:t>eeth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&amp;  Start B</w:t>
            </w:r>
            <w:r w:rsidRPr="00EB3545">
              <w:rPr>
                <w:rFonts w:ascii="Arial" w:hAnsi="Arial" w:cs="Arial"/>
                <w:i/>
                <w:sz w:val="20"/>
                <w:szCs w:val="20"/>
                <w:lang w:val="en-GB"/>
              </w:rPr>
              <w:t>ones</w:t>
            </w:r>
          </w:p>
        </w:tc>
        <w:tc>
          <w:tcPr>
            <w:tcW w:w="2268" w:type="dxa"/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640</w:t>
            </w:r>
            <w:r w:rsidRPr="003A3E30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730 years</w:t>
            </w:r>
          </w:p>
        </w:tc>
        <w:tc>
          <w:tcPr>
            <w:tcW w:w="2268" w:type="dxa"/>
            <w:vAlign w:val="center"/>
          </w:tcPr>
          <w:p w:rsidR="00B12534" w:rsidRPr="000F1935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575</w:t>
            </w:r>
            <w:r w:rsidRPr="003A3E30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830 years</w:t>
            </w:r>
          </w:p>
        </w:tc>
      </w:tr>
      <w:tr w:rsidR="00B12534" w:rsidRPr="008021A7" w:rsidTr="00B12534">
        <w:tc>
          <w:tcPr>
            <w:tcW w:w="8505" w:type="dxa"/>
            <w:gridSpan w:val="4"/>
            <w:tcBorders>
              <w:bottom w:val="single" w:sz="4" w:space="0" w:color="000000" w:themeColor="text1"/>
            </w:tcBorders>
            <w:shd w:val="pct20" w:color="auto" w:fill="auto"/>
            <w:vAlign w:val="center"/>
          </w:tcPr>
          <w:p w:rsidR="00B12534" w:rsidRPr="007E6C6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Tomb 11</w:t>
            </w:r>
          </w:p>
        </w:tc>
      </w:tr>
      <w:tr w:rsidR="00B12534" w:rsidRPr="007E6C64" w:rsidTr="00B12534">
        <w:tc>
          <w:tcPr>
            <w:tcW w:w="1843" w:type="dxa"/>
            <w:vMerge w:val="restart"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sz w:val="20"/>
                <w:szCs w:val="20"/>
                <w:lang w:val="en-GB"/>
              </w:rPr>
              <w:t>Indiv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id</w:t>
            </w:r>
            <w:r w:rsidRPr="007E6C64">
              <w:rPr>
                <w:rFonts w:ascii="Arial" w:hAnsi="Arial" w:cs="Arial"/>
                <w:sz w:val="20"/>
                <w:szCs w:val="20"/>
                <w:lang w:val="en-GB"/>
              </w:rPr>
              <w:t>uals 1, 3 and 4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(Phase A1)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2300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2140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2625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2050</w:t>
            </w:r>
          </w:p>
        </w:tc>
      </w:tr>
      <w:tr w:rsidR="00B12534" w:rsidRPr="007E6C64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2140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1985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2200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1650</w:t>
            </w:r>
          </w:p>
        </w:tc>
      </w:tr>
      <w:tr w:rsidR="00B12534" w:rsidRPr="007E6C64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95 years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190 years</w:t>
            </w:r>
          </w:p>
        </w:tc>
      </w:tr>
      <w:tr w:rsidR="00B12534" w:rsidRPr="007E6C64" w:rsidTr="00B12534">
        <w:tc>
          <w:tcPr>
            <w:tcW w:w="1843" w:type="dxa"/>
            <w:vMerge w:val="restart"/>
            <w:vAlign w:val="center"/>
          </w:tcPr>
          <w:p w:rsidR="00B12534" w:rsidRPr="007E6C6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sz w:val="20"/>
                <w:szCs w:val="20"/>
                <w:lang w:val="en-GB"/>
              </w:rPr>
              <w:t xml:space="preserve">Individuals </w:t>
            </w:r>
            <w:r w:rsidRPr="007E6C64">
              <w:rPr>
                <w:rFonts w:ascii="Arial" w:hAnsi="Arial" w:cs="Arial"/>
                <w:iCs/>
                <w:sz w:val="20"/>
                <w:szCs w:val="20"/>
                <w:lang w:val="en-GB"/>
              </w:rPr>
              <w:t>2, 5, 6 and 7</w:t>
            </w:r>
            <w:r>
              <w:rPr>
                <w:rFonts w:ascii="Arial" w:hAnsi="Arial" w:cs="Arial"/>
                <w:iCs/>
                <w:sz w:val="20"/>
                <w:szCs w:val="20"/>
                <w:lang w:val="en-GB"/>
              </w:rPr>
              <w:t xml:space="preserve"> (Phase A2)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2560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2460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2740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2360</w:t>
            </w:r>
          </w:p>
        </w:tc>
      </w:tr>
      <w:tr w:rsidR="00B12534" w:rsidRPr="007E6C64" w:rsidTr="00B12534">
        <w:tc>
          <w:tcPr>
            <w:tcW w:w="1843" w:type="dxa"/>
            <w:vMerge/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2465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2340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2470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2152</w:t>
            </w:r>
          </w:p>
        </w:tc>
      </w:tr>
      <w:tr w:rsidR="00B12534" w:rsidRPr="007E6C64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120 years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1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190 years</w:t>
            </w:r>
          </w:p>
        </w:tc>
      </w:tr>
      <w:tr w:rsidR="00B12534" w:rsidRPr="007E6C64" w:rsidTr="00B12534">
        <w:tc>
          <w:tcPr>
            <w:tcW w:w="1843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Chronological hiatus 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Difference between Phase A and B 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213022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213022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4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60</w:t>
            </w:r>
            <w:r w:rsidRPr="00213022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and 765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213022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213022">
              <w:rPr>
                <w:rFonts w:ascii="Arial" w:hAnsi="Arial" w:cs="Arial"/>
                <w:i/>
                <w:sz w:val="20"/>
                <w:szCs w:val="20"/>
                <w:lang w:val="en-GB"/>
              </w:rPr>
              <w:t>300 and 840</w:t>
            </w:r>
          </w:p>
        </w:tc>
      </w:tr>
      <w:tr w:rsidR="00B12534" w:rsidRPr="007E6C64" w:rsidTr="00B12534">
        <w:tc>
          <w:tcPr>
            <w:tcW w:w="1843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Phase B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Individual 11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B270F">
              <w:rPr>
                <w:rFonts w:ascii="Arial" w:hAnsi="Arial" w:cs="Arial"/>
                <w:i/>
                <w:sz w:val="20"/>
                <w:szCs w:val="20"/>
                <w:lang w:val="en-GB"/>
              </w:rPr>
              <w:t>3320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8B270F">
              <w:rPr>
                <w:rFonts w:ascii="Arial" w:hAnsi="Arial" w:cs="Arial"/>
                <w:i/>
                <w:sz w:val="20"/>
                <w:szCs w:val="20"/>
                <w:lang w:val="en-GB"/>
              </w:rPr>
              <w:t>3025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8B270F">
              <w:rPr>
                <w:rFonts w:ascii="Arial" w:hAnsi="Arial" w:cs="Arial"/>
                <w:i/>
                <w:sz w:val="20"/>
                <w:szCs w:val="20"/>
                <w:lang w:val="en-GB"/>
              </w:rPr>
              <w:t>3335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8B270F">
              <w:rPr>
                <w:rFonts w:ascii="Arial" w:hAnsi="Arial" w:cs="Arial"/>
                <w:i/>
                <w:sz w:val="20"/>
                <w:szCs w:val="20"/>
                <w:lang w:val="en-GB"/>
              </w:rPr>
              <w:t>29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35</w:t>
            </w:r>
          </w:p>
        </w:tc>
      </w:tr>
      <w:tr w:rsidR="00B12534" w:rsidRPr="007E6C64" w:rsidTr="00B12534">
        <w:tc>
          <w:tcPr>
            <w:tcW w:w="8505" w:type="dxa"/>
            <w:gridSpan w:val="4"/>
            <w:shd w:val="clear" w:color="auto" w:fill="BFBFBF" w:themeFill="background1" w:themeFillShade="BF"/>
            <w:vAlign w:val="center"/>
          </w:tcPr>
          <w:p w:rsidR="00B12534" w:rsidRPr="00CB6DE7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6DE7">
              <w:rPr>
                <w:rFonts w:ascii="Arial" w:hAnsi="Arial" w:cs="Arial"/>
                <w:b/>
                <w:sz w:val="20"/>
                <w:szCs w:val="20"/>
                <w:lang w:val="en-GB"/>
              </w:rPr>
              <w:t>Tomb 15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  <w:tr w:rsidR="00B12534" w:rsidRPr="007E6C64" w:rsidTr="00B12534">
        <w:tc>
          <w:tcPr>
            <w:tcW w:w="1843" w:type="dxa"/>
            <w:vMerge w:val="restart"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Funerary chamber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Start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353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5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33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75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color w:val="FF0000"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3690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3365</w:t>
            </w:r>
          </w:p>
        </w:tc>
      </w:tr>
      <w:tr w:rsidR="00B12534" w:rsidRPr="007E6C64" w:rsidTr="00B12534">
        <w:tc>
          <w:tcPr>
            <w:tcW w:w="1843" w:type="dxa"/>
            <w:vMerge/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Boundary End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2900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2800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color w:val="FF0000"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2910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26</w:t>
            </w:r>
            <w:r>
              <w:rPr>
                <w:rFonts w:ascii="Arial" w:hAnsi="Arial" w:cs="Arial"/>
                <w:i/>
                <w:sz w:val="20"/>
                <w:szCs w:val="20"/>
                <w:lang w:val="en-GB"/>
              </w:rPr>
              <w:t>2</w:t>
            </w: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0</w:t>
            </w:r>
          </w:p>
        </w:tc>
      </w:tr>
      <w:tr w:rsidR="00B12534" w:rsidRPr="007E6C64" w:rsidTr="00B12534"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:rsidR="00B12534" w:rsidRPr="0007121D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07121D">
              <w:rPr>
                <w:rFonts w:ascii="Arial" w:hAnsi="Arial" w:cs="Arial"/>
                <w:i/>
                <w:sz w:val="20"/>
                <w:szCs w:val="20"/>
                <w:lang w:val="en-GB"/>
              </w:rPr>
              <w:t>Span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470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610 years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:rsidR="00B12534" w:rsidRPr="008B270F" w:rsidRDefault="00B12534" w:rsidP="00B12534">
            <w:pPr>
              <w:spacing w:after="0"/>
              <w:ind w:right="-1"/>
              <w:jc w:val="center"/>
              <w:rPr>
                <w:rFonts w:ascii="Arial" w:hAnsi="Arial" w:cs="Arial"/>
                <w:i/>
                <w:color w:val="FF0000"/>
                <w:sz w:val="20"/>
                <w:szCs w:val="20"/>
                <w:lang w:val="en-GB"/>
              </w:rPr>
            </w:pP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460</w:t>
            </w:r>
            <w:r w:rsidRPr="008B270F">
              <w:rPr>
                <w:rFonts w:ascii="Arial" w:hAnsi="Arial" w:cs="Arial"/>
                <w:i/>
                <w:color w:val="000000"/>
                <w:sz w:val="20"/>
                <w:szCs w:val="20"/>
                <w:lang w:val="en-GB"/>
              </w:rPr>
              <w:t>–</w:t>
            </w:r>
            <w:r w:rsidRPr="007E6C64">
              <w:rPr>
                <w:rFonts w:ascii="Arial" w:hAnsi="Arial" w:cs="Arial"/>
                <w:i/>
                <w:sz w:val="20"/>
                <w:szCs w:val="20"/>
                <w:lang w:val="en-GB"/>
              </w:rPr>
              <w:t>635 years</w:t>
            </w:r>
          </w:p>
        </w:tc>
      </w:tr>
    </w:tbl>
    <w:p w:rsidR="004E23E9" w:rsidRPr="00B12534" w:rsidRDefault="004E23E9" w:rsidP="00B1253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12534" w:rsidRDefault="00B12534" w:rsidP="00B12534">
      <w:pPr>
        <w:pStyle w:val="EndNoteBibliography"/>
        <w:rPr>
          <w:noProof w:val="0"/>
          <w:szCs w:val="24"/>
          <w:lang w:val="en-GB"/>
        </w:rPr>
      </w:pPr>
      <w:proofErr w:type="gramStart"/>
      <w:r w:rsidRPr="00B12534">
        <w:rPr>
          <w:noProof w:val="0"/>
          <w:szCs w:val="24"/>
          <w:lang w:val="en-GB"/>
        </w:rPr>
        <w:t>Probabilistic estimation</w:t>
      </w:r>
      <w:r>
        <w:rPr>
          <w:noProof w:val="0"/>
          <w:szCs w:val="24"/>
          <w:lang w:val="en-GB"/>
        </w:rPr>
        <w:t>s</w:t>
      </w:r>
      <w:r w:rsidRPr="00B12534">
        <w:rPr>
          <w:noProof w:val="0"/>
          <w:szCs w:val="24"/>
          <w:lang w:val="en-GB"/>
        </w:rPr>
        <w:t xml:space="preserve"> of the period of use of each tomb.</w:t>
      </w:r>
      <w:proofErr w:type="gramEnd"/>
      <w:r w:rsidRPr="00B12534">
        <w:rPr>
          <w:noProof w:val="0"/>
          <w:szCs w:val="24"/>
          <w:lang w:val="en-GB"/>
        </w:rPr>
        <w:t xml:space="preserve"> The full discussion can be found in:</w:t>
      </w:r>
    </w:p>
    <w:p w:rsidR="00B12534" w:rsidRPr="00CB3EE8" w:rsidRDefault="00B12534" w:rsidP="00B12534">
      <w:pPr>
        <w:pStyle w:val="EndNoteBibliography"/>
        <w:rPr>
          <w:szCs w:val="24"/>
        </w:rPr>
      </w:pPr>
      <w:r w:rsidRPr="005859E7">
        <w:t>Aranda Jiménez G, Milesi García L, Hamilton D, Díaz-Zorita Bonilla M, Vílchez Suárez M, Robles Carrasco S, Sánchez Romero M, Benavides López JA (2022) Th</w:t>
      </w:r>
      <w:bookmarkStart w:id="0" w:name="_GoBack"/>
      <w:bookmarkEnd w:id="0"/>
      <w:r w:rsidRPr="005859E7">
        <w:t xml:space="preserve">e tempo of the Iberian megalithic rituals in the European context: The </w:t>
      </w:r>
      <w:r w:rsidRPr="005859E7">
        <w:lastRenderedPageBreak/>
        <w:t xml:space="preserve">cemetery of Panoría. </w:t>
      </w:r>
      <w:r w:rsidRPr="005859E7">
        <w:rPr>
          <w:color w:val="131413"/>
          <w:lang w:val="en-GB"/>
        </w:rPr>
        <w:t>J Archaeol Sci</w:t>
      </w:r>
      <w:r w:rsidRPr="005859E7">
        <w:rPr>
          <w:lang w:val="en-GB"/>
        </w:rPr>
        <w:t xml:space="preserve"> 140. </w:t>
      </w:r>
      <w:hyperlink r:id="rId6" w:history="1">
        <w:r w:rsidRPr="00CB3EE8">
          <w:rPr>
            <w:rStyle w:val="Hipervnculo"/>
            <w:szCs w:val="24"/>
          </w:rPr>
          <w:t>https://doi.org/10.1016/j.jas.2022.105579</w:t>
        </w:r>
      </w:hyperlink>
    </w:p>
    <w:p w:rsidR="00B12534" w:rsidRPr="00B12534" w:rsidRDefault="00B12534" w:rsidP="004E23E9">
      <w:pPr>
        <w:rPr>
          <w:rFonts w:ascii="Arial" w:hAnsi="Arial" w:cs="Arial"/>
          <w:sz w:val="24"/>
          <w:szCs w:val="24"/>
          <w:lang w:val="en-GB"/>
        </w:rPr>
      </w:pPr>
    </w:p>
    <w:sectPr w:rsidR="00B12534" w:rsidRPr="00B12534" w:rsidSect="006A02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334"/>
    <w:rsid w:val="00000FFB"/>
    <w:rsid w:val="000044B6"/>
    <w:rsid w:val="000113F7"/>
    <w:rsid w:val="00037B73"/>
    <w:rsid w:val="0004016E"/>
    <w:rsid w:val="0007121D"/>
    <w:rsid w:val="0007356F"/>
    <w:rsid w:val="0007388E"/>
    <w:rsid w:val="000959F8"/>
    <w:rsid w:val="000A2560"/>
    <w:rsid w:val="000A4CEB"/>
    <w:rsid w:val="000C0068"/>
    <w:rsid w:val="000C5D84"/>
    <w:rsid w:val="000C6229"/>
    <w:rsid w:val="000D0D3C"/>
    <w:rsid w:val="000D590D"/>
    <w:rsid w:val="000F1935"/>
    <w:rsid w:val="00111899"/>
    <w:rsid w:val="00111DA3"/>
    <w:rsid w:val="001238B2"/>
    <w:rsid w:val="00137C0B"/>
    <w:rsid w:val="00141256"/>
    <w:rsid w:val="001418AC"/>
    <w:rsid w:val="00162A28"/>
    <w:rsid w:val="001800C4"/>
    <w:rsid w:val="00183F9D"/>
    <w:rsid w:val="001B7607"/>
    <w:rsid w:val="001C3590"/>
    <w:rsid w:val="001C6D0F"/>
    <w:rsid w:val="001D5DFB"/>
    <w:rsid w:val="00213022"/>
    <w:rsid w:val="00215687"/>
    <w:rsid w:val="002256F2"/>
    <w:rsid w:val="00231ABB"/>
    <w:rsid w:val="0025056E"/>
    <w:rsid w:val="0026012B"/>
    <w:rsid w:val="00266277"/>
    <w:rsid w:val="0027233D"/>
    <w:rsid w:val="002C3505"/>
    <w:rsid w:val="002D3FF4"/>
    <w:rsid w:val="002D6515"/>
    <w:rsid w:val="0030365F"/>
    <w:rsid w:val="00330C2D"/>
    <w:rsid w:val="003422BC"/>
    <w:rsid w:val="00346A7D"/>
    <w:rsid w:val="00365BF4"/>
    <w:rsid w:val="003673D5"/>
    <w:rsid w:val="00384599"/>
    <w:rsid w:val="003925B4"/>
    <w:rsid w:val="003A3E30"/>
    <w:rsid w:val="003C49CB"/>
    <w:rsid w:val="003D332D"/>
    <w:rsid w:val="003D6C1C"/>
    <w:rsid w:val="003E7E9D"/>
    <w:rsid w:val="003F1466"/>
    <w:rsid w:val="00402874"/>
    <w:rsid w:val="00403BD9"/>
    <w:rsid w:val="004118A8"/>
    <w:rsid w:val="004A5FD3"/>
    <w:rsid w:val="004B56B5"/>
    <w:rsid w:val="004D586F"/>
    <w:rsid w:val="004D5944"/>
    <w:rsid w:val="004D626C"/>
    <w:rsid w:val="004E23E9"/>
    <w:rsid w:val="004E7893"/>
    <w:rsid w:val="004F4330"/>
    <w:rsid w:val="0051590A"/>
    <w:rsid w:val="00523F36"/>
    <w:rsid w:val="0053439C"/>
    <w:rsid w:val="005420EC"/>
    <w:rsid w:val="00555A95"/>
    <w:rsid w:val="005A72D4"/>
    <w:rsid w:val="005B31CD"/>
    <w:rsid w:val="005C02CB"/>
    <w:rsid w:val="005C1F3A"/>
    <w:rsid w:val="00602185"/>
    <w:rsid w:val="006154DC"/>
    <w:rsid w:val="00631CC0"/>
    <w:rsid w:val="006664F3"/>
    <w:rsid w:val="00681000"/>
    <w:rsid w:val="006A0220"/>
    <w:rsid w:val="006A5167"/>
    <w:rsid w:val="006B045E"/>
    <w:rsid w:val="006B11E1"/>
    <w:rsid w:val="006C5193"/>
    <w:rsid w:val="006E70BE"/>
    <w:rsid w:val="006F2F42"/>
    <w:rsid w:val="00713555"/>
    <w:rsid w:val="00746809"/>
    <w:rsid w:val="00765945"/>
    <w:rsid w:val="00782085"/>
    <w:rsid w:val="007B33DE"/>
    <w:rsid w:val="007C7899"/>
    <w:rsid w:val="007E6C64"/>
    <w:rsid w:val="007E7010"/>
    <w:rsid w:val="008021A7"/>
    <w:rsid w:val="008104F9"/>
    <w:rsid w:val="00830AB9"/>
    <w:rsid w:val="008317C7"/>
    <w:rsid w:val="00843675"/>
    <w:rsid w:val="0085376D"/>
    <w:rsid w:val="00885A29"/>
    <w:rsid w:val="00885D30"/>
    <w:rsid w:val="00895EFA"/>
    <w:rsid w:val="008B270F"/>
    <w:rsid w:val="008D3B7F"/>
    <w:rsid w:val="008E42C3"/>
    <w:rsid w:val="008E6CF5"/>
    <w:rsid w:val="008F4334"/>
    <w:rsid w:val="00910F27"/>
    <w:rsid w:val="009171FA"/>
    <w:rsid w:val="009543EB"/>
    <w:rsid w:val="0096764F"/>
    <w:rsid w:val="009A6625"/>
    <w:rsid w:val="009A7907"/>
    <w:rsid w:val="009B676E"/>
    <w:rsid w:val="009B6D34"/>
    <w:rsid w:val="009E2B04"/>
    <w:rsid w:val="00A06F8F"/>
    <w:rsid w:val="00A2318E"/>
    <w:rsid w:val="00A60924"/>
    <w:rsid w:val="00A650D0"/>
    <w:rsid w:val="00AB2270"/>
    <w:rsid w:val="00AC084D"/>
    <w:rsid w:val="00AC6035"/>
    <w:rsid w:val="00AD4F4F"/>
    <w:rsid w:val="00AD5DCE"/>
    <w:rsid w:val="00AE694E"/>
    <w:rsid w:val="00B11739"/>
    <w:rsid w:val="00B12534"/>
    <w:rsid w:val="00B136F5"/>
    <w:rsid w:val="00B35540"/>
    <w:rsid w:val="00B5341F"/>
    <w:rsid w:val="00B54EBE"/>
    <w:rsid w:val="00B62547"/>
    <w:rsid w:val="00B65C2D"/>
    <w:rsid w:val="00B73F4D"/>
    <w:rsid w:val="00BA5690"/>
    <w:rsid w:val="00C01316"/>
    <w:rsid w:val="00C047B6"/>
    <w:rsid w:val="00C06470"/>
    <w:rsid w:val="00C37624"/>
    <w:rsid w:val="00C711FB"/>
    <w:rsid w:val="00C76534"/>
    <w:rsid w:val="00C82CA9"/>
    <w:rsid w:val="00C83391"/>
    <w:rsid w:val="00C916DB"/>
    <w:rsid w:val="00CA03CE"/>
    <w:rsid w:val="00CA68C4"/>
    <w:rsid w:val="00CB6DE7"/>
    <w:rsid w:val="00CC2C84"/>
    <w:rsid w:val="00CC339F"/>
    <w:rsid w:val="00CF3477"/>
    <w:rsid w:val="00D120ED"/>
    <w:rsid w:val="00DA3270"/>
    <w:rsid w:val="00DD773D"/>
    <w:rsid w:val="00DF4B7C"/>
    <w:rsid w:val="00E27634"/>
    <w:rsid w:val="00E6787A"/>
    <w:rsid w:val="00E933CB"/>
    <w:rsid w:val="00EB3545"/>
    <w:rsid w:val="00F54CE0"/>
    <w:rsid w:val="00F61D68"/>
    <w:rsid w:val="00F86EAE"/>
    <w:rsid w:val="00FB12FA"/>
    <w:rsid w:val="00FC2903"/>
    <w:rsid w:val="00FC5C46"/>
    <w:rsid w:val="00FD7F55"/>
    <w:rsid w:val="00FE2A7F"/>
    <w:rsid w:val="00FE6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334"/>
    <w:pPr>
      <w:spacing w:before="0" w:beforeAutospacing="0" w:after="200" w:afterAutospacing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F4334"/>
    <w:pPr>
      <w:spacing w:before="0" w:beforeAutospacing="0" w:after="0" w:afterAutospacing="0" w:line="240" w:lineRule="auto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F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3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C1F3A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4E23E9"/>
    <w:rPr>
      <w:color w:val="0563C1"/>
      <w:u w:val="single"/>
    </w:rPr>
  </w:style>
  <w:style w:type="paragraph" w:customStyle="1" w:styleId="EndNoteBibliography">
    <w:name w:val="EndNote Bibliography"/>
    <w:basedOn w:val="Normal"/>
    <w:link w:val="EndNoteBibliographyCar"/>
    <w:rsid w:val="00B12534"/>
    <w:pPr>
      <w:spacing w:after="0" w:line="240" w:lineRule="auto"/>
      <w:jc w:val="left"/>
    </w:pPr>
    <w:rPr>
      <w:rFonts w:ascii="Arial" w:hAnsi="Arial" w:cs="Arial"/>
      <w:noProof/>
      <w:sz w:val="24"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B12534"/>
    <w:rPr>
      <w:rFonts w:ascii="Arial" w:hAnsi="Arial" w:cs="Arial"/>
      <w:noProof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334"/>
    <w:pPr>
      <w:spacing w:before="0" w:beforeAutospacing="0" w:after="200" w:afterAutospacing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F4334"/>
    <w:pPr>
      <w:spacing w:before="0" w:beforeAutospacing="0" w:after="0" w:afterAutospacing="0" w:line="240" w:lineRule="auto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F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3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C1F3A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4E23E9"/>
    <w:rPr>
      <w:color w:val="0563C1"/>
      <w:u w:val="single"/>
    </w:rPr>
  </w:style>
  <w:style w:type="paragraph" w:customStyle="1" w:styleId="EndNoteBibliography">
    <w:name w:val="EndNote Bibliography"/>
    <w:basedOn w:val="Normal"/>
    <w:link w:val="EndNoteBibliographyCar"/>
    <w:rsid w:val="00B12534"/>
    <w:pPr>
      <w:spacing w:after="0" w:line="240" w:lineRule="auto"/>
      <w:jc w:val="left"/>
    </w:pPr>
    <w:rPr>
      <w:rFonts w:ascii="Arial" w:hAnsi="Arial" w:cs="Arial"/>
      <w:noProof/>
      <w:sz w:val="24"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B12534"/>
    <w:rPr>
      <w:rFonts w:ascii="Arial" w:hAnsi="Arial" w:cs="Arial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1016/j.jas.2022.105579" TargetMode="External"/><Relationship Id="rId5" Type="http://schemas.openxmlformats.org/officeDocument/2006/relationships/hyperlink" Target="mailto:garanda@ugr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2022-09-10T09:00:00Z</dcterms:created>
  <dcterms:modified xsi:type="dcterms:W3CDTF">2022-09-10T09:08:00Z</dcterms:modified>
</cp:coreProperties>
</file>