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6ED4C" w14:textId="77777777" w:rsidR="004D2AAA" w:rsidRDefault="00E712B1" w:rsidP="00E712B1">
      <w:pPr>
        <w:pStyle w:val="Heading1"/>
        <w:rPr>
          <w:sz w:val="26"/>
          <w:szCs w:val="26"/>
        </w:rPr>
      </w:pPr>
      <w:r>
        <w:t xml:space="preserve">Materials and methods </w:t>
      </w:r>
    </w:p>
    <w:p w14:paraId="196A6284" w14:textId="77777777" w:rsidR="004D2AAA" w:rsidRDefault="00E712B1" w:rsidP="00E712B1">
      <w:pPr>
        <w:pStyle w:val="Heading2"/>
      </w:pPr>
      <w:r>
        <w:t>Frequency of millet and rice impression on ceramics</w:t>
      </w:r>
    </w:p>
    <w:p w14:paraId="215216A1" w14:textId="7AF3FE1D" w:rsidR="004D2AAA" w:rsidRDefault="00E712B1">
      <w:pPr>
        <w:shd w:val="clear" w:color="auto" w:fill="FFFFFF"/>
        <w:spacing w:before="240" w:after="240"/>
        <w:jc w:val="both"/>
        <w:rPr>
          <w:rFonts w:ascii="Calibri" w:eastAsia="Calibri" w:hAnsi="Calibri" w:cs="Calibri"/>
          <w:sz w:val="24"/>
          <w:szCs w:val="24"/>
        </w:rPr>
      </w:pPr>
      <w:r>
        <w:rPr>
          <w:rFonts w:ascii="Calibri" w:eastAsia="Calibri" w:hAnsi="Calibri" w:cs="Calibri"/>
          <w:color w:val="333132"/>
          <w:sz w:val="24"/>
          <w:szCs w:val="24"/>
        </w:rPr>
        <w:t xml:space="preserve">Endo and </w:t>
      </w:r>
      <w:proofErr w:type="spellStart"/>
      <w:r>
        <w:rPr>
          <w:rFonts w:ascii="Calibri" w:eastAsia="Calibri" w:hAnsi="Calibri" w:cs="Calibri"/>
          <w:color w:val="333132"/>
          <w:sz w:val="24"/>
          <w:szCs w:val="24"/>
        </w:rPr>
        <w:t>Leipe</w:t>
      </w:r>
      <w:proofErr w:type="spellEnd"/>
      <w:r>
        <w:rPr>
          <w:rFonts w:ascii="Calibri" w:eastAsia="Calibri" w:hAnsi="Calibri" w:cs="Calibri"/>
          <w:color w:val="333132"/>
          <w:sz w:val="24"/>
          <w:szCs w:val="24"/>
        </w:rPr>
        <w:t xml:space="preserve"> </w:t>
      </w:r>
      <w:hyperlink r:id="rId5">
        <w:r>
          <w:rPr>
            <w:rFonts w:ascii="Calibri" w:eastAsia="Calibri" w:hAnsi="Calibri" w:cs="Calibri"/>
            <w:color w:val="000000"/>
            <w:sz w:val="24"/>
            <w:szCs w:val="24"/>
          </w:rPr>
          <w:t>(2022)</w:t>
        </w:r>
      </w:hyperlink>
      <w:r>
        <w:rPr>
          <w:rFonts w:ascii="Calibri" w:eastAsia="Calibri" w:hAnsi="Calibri" w:cs="Calibri"/>
          <w:sz w:val="24"/>
          <w:szCs w:val="24"/>
        </w:rPr>
        <w:t xml:space="preserve"> have recently provided a comprehensive review study of seed impressions of rice, broomcorn millet, and foxtail millets on Late/Final Jomon to Middle Yayoi ceramics across the Japanese archipelago. Here we examine a subset of their data comprising 42 sites from the Chubu Highlands and the Tokai region (see Table 1 in the main paper for sample sizes per period and region). We considered only sites meeting the following criteria: 1) located in either Chubu or Tokai region; 2) </w:t>
      </w:r>
      <w:r w:rsidR="00FF699F">
        <w:rPr>
          <w:rFonts w:ascii="Calibri" w:eastAsia="Calibri" w:hAnsi="Calibri" w:cs="Calibri"/>
          <w:sz w:val="24"/>
          <w:szCs w:val="24"/>
        </w:rPr>
        <w:t xml:space="preserve">those than </w:t>
      </w:r>
      <w:r>
        <w:rPr>
          <w:rFonts w:ascii="Calibri" w:eastAsia="Calibri" w:hAnsi="Calibri" w:cs="Calibri"/>
          <w:sz w:val="24"/>
          <w:szCs w:val="24"/>
        </w:rPr>
        <w:t>can be clear</w:t>
      </w:r>
      <w:r w:rsidR="00FF699F">
        <w:rPr>
          <w:rFonts w:ascii="Calibri" w:eastAsia="Calibri" w:hAnsi="Calibri" w:cs="Calibri"/>
          <w:sz w:val="24"/>
          <w:szCs w:val="24"/>
        </w:rPr>
        <w:t>l</w:t>
      </w:r>
      <w:r>
        <w:rPr>
          <w:rFonts w:ascii="Calibri" w:eastAsia="Calibri" w:hAnsi="Calibri" w:cs="Calibri"/>
          <w:sz w:val="24"/>
          <w:szCs w:val="24"/>
        </w:rPr>
        <w:t xml:space="preserve">y assigned to either Late Jomon to Initial Yayoi, Early Yayoi, or Middle Yayoi period; and 3) has data on the total number of sherds examined. Our final sample reflects the examination of over 35,000 potsherds, although with considerable variability in the number of samples examined in each site (ranging between 2 to 9,364 sherds). </w:t>
      </w:r>
    </w:p>
    <w:p w14:paraId="653AEC90" w14:textId="77777777" w:rsidR="004D2AAA" w:rsidRDefault="00E712B1">
      <w:pPr>
        <w:shd w:val="clear" w:color="auto" w:fill="FFFFFF"/>
        <w:spacing w:before="240" w:after="240"/>
        <w:jc w:val="both"/>
        <w:rPr>
          <w:rFonts w:ascii="Calibri" w:eastAsia="Calibri" w:hAnsi="Calibri" w:cs="Calibri"/>
          <w:sz w:val="26"/>
          <w:szCs w:val="26"/>
        </w:rPr>
      </w:pPr>
      <w:r>
        <w:rPr>
          <w:rFonts w:ascii="Calibri" w:eastAsia="Calibri" w:hAnsi="Calibri" w:cs="Calibri"/>
          <w:sz w:val="24"/>
          <w:szCs w:val="24"/>
        </w:rPr>
        <w:t xml:space="preserve">We examined variations in the number of seeds impressions for rice and two species of millets by fitting a negative binomial model (to account for overdispersion) using as offset the number of sherds and as predictor an interaction between the nominal variables </w:t>
      </w:r>
      <w:r>
        <w:rPr>
          <w:rFonts w:ascii="Calibri" w:eastAsia="Calibri" w:hAnsi="Calibri" w:cs="Calibri"/>
          <w:i/>
          <w:sz w:val="24"/>
          <w:szCs w:val="24"/>
        </w:rPr>
        <w:t>period</w:t>
      </w:r>
      <w:r>
        <w:rPr>
          <w:rFonts w:ascii="Calibri" w:eastAsia="Calibri" w:hAnsi="Calibri" w:cs="Calibri"/>
          <w:sz w:val="24"/>
          <w:szCs w:val="24"/>
        </w:rPr>
        <w:t xml:space="preserve"> (three levels: Late Jomon to Initial Yayoi, Early Yayoi, and Middle Yayoi) and </w:t>
      </w:r>
      <w:r>
        <w:rPr>
          <w:rFonts w:ascii="Calibri" w:eastAsia="Calibri" w:hAnsi="Calibri" w:cs="Calibri"/>
          <w:i/>
          <w:sz w:val="24"/>
          <w:szCs w:val="24"/>
        </w:rPr>
        <w:t>region</w:t>
      </w:r>
      <w:r>
        <w:rPr>
          <w:rFonts w:ascii="Calibri" w:eastAsia="Calibri" w:hAnsi="Calibri" w:cs="Calibri"/>
          <w:sz w:val="24"/>
          <w:szCs w:val="24"/>
        </w:rPr>
        <w:t xml:space="preserve"> (two levels: Chubu Highlands and Tokai). The regression model was fitted using </w:t>
      </w:r>
      <w:r>
        <w:rPr>
          <w:rFonts w:ascii="Calibri" w:eastAsia="Calibri" w:hAnsi="Calibri" w:cs="Calibri"/>
          <w:i/>
          <w:sz w:val="24"/>
          <w:szCs w:val="24"/>
        </w:rPr>
        <w:t xml:space="preserve">brms </w:t>
      </w:r>
      <w:hyperlink r:id="rId6">
        <w:r>
          <w:rPr>
            <w:rFonts w:ascii="Calibri" w:eastAsia="Calibri" w:hAnsi="Calibri" w:cs="Calibri"/>
            <w:i/>
            <w:color w:val="000000"/>
            <w:sz w:val="24"/>
            <w:szCs w:val="24"/>
          </w:rPr>
          <w:t>(</w:t>
        </w:r>
        <w:proofErr w:type="spellStart"/>
        <w:r>
          <w:rPr>
            <w:rFonts w:ascii="Calibri" w:eastAsia="Calibri" w:hAnsi="Calibri" w:cs="Calibri"/>
            <w:i/>
            <w:color w:val="000000"/>
            <w:sz w:val="24"/>
            <w:szCs w:val="24"/>
          </w:rPr>
          <w:t>Bürkner</w:t>
        </w:r>
        <w:proofErr w:type="spellEnd"/>
        <w:r>
          <w:rPr>
            <w:rFonts w:ascii="Calibri" w:eastAsia="Calibri" w:hAnsi="Calibri" w:cs="Calibri"/>
            <w:i/>
            <w:color w:val="000000"/>
            <w:sz w:val="24"/>
            <w:szCs w:val="24"/>
          </w:rPr>
          <w:t xml:space="preserve"> 2017)</w:t>
        </w:r>
      </w:hyperlink>
      <w:r>
        <w:rPr>
          <w:rFonts w:ascii="Calibri" w:eastAsia="Calibri" w:hAnsi="Calibri" w:cs="Calibri"/>
          <w:sz w:val="24"/>
          <w:szCs w:val="24"/>
        </w:rPr>
        <w:t xml:space="preserve"> using four chains and 5,000 iterations. All parameters achieved a good convergence (</w:t>
      </w:r>
      <w:proofErr w:type="spellStart"/>
      <w:r>
        <w:rPr>
          <w:rFonts w:ascii="Calibri" w:eastAsia="Calibri" w:hAnsi="Calibri" w:cs="Calibri"/>
          <w:sz w:val="24"/>
          <w:szCs w:val="24"/>
        </w:rPr>
        <w:t>Rhat</w:t>
      </w:r>
      <w:proofErr w:type="spellEnd"/>
      <w:r>
        <w:rPr>
          <w:rFonts w:ascii="Calibri" w:eastAsia="Calibri" w:hAnsi="Calibri" w:cs="Calibri"/>
          <w:sz w:val="24"/>
          <w:szCs w:val="24"/>
        </w:rPr>
        <w:t xml:space="preserve"> &lt;1.01) and sufficient effective sample size (&gt;2000). </w:t>
      </w:r>
    </w:p>
    <w:p w14:paraId="2092347E" w14:textId="77777777" w:rsidR="004D2AAA" w:rsidRDefault="00E712B1" w:rsidP="00E712B1">
      <w:pPr>
        <w:pStyle w:val="Heading2"/>
        <w:rPr>
          <w:sz w:val="24"/>
          <w:szCs w:val="24"/>
        </w:rPr>
      </w:pPr>
      <w:r>
        <w:t>Rice agriculture arrival time</w:t>
      </w:r>
    </w:p>
    <w:p w14:paraId="23F499FF" w14:textId="3A631CC6"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Arrival dates of rice agriculture in Tokai and Chubu Highlands were estimat</w:t>
      </w:r>
      <w:r w:rsidR="00FF699F">
        <w:rPr>
          <w:rFonts w:ascii="Calibri" w:eastAsia="Calibri" w:hAnsi="Calibri" w:cs="Calibri"/>
          <w:color w:val="333132"/>
          <w:sz w:val="24"/>
          <w:szCs w:val="24"/>
        </w:rPr>
        <w:t>ed</w:t>
      </w:r>
      <w:r>
        <w:rPr>
          <w:rFonts w:ascii="Calibri" w:eastAsia="Calibri" w:hAnsi="Calibri" w:cs="Calibri"/>
          <w:color w:val="333132"/>
          <w:sz w:val="24"/>
          <w:szCs w:val="24"/>
        </w:rPr>
        <w:t xml:space="preserve"> by using a hierarchical Bayesian model on </w:t>
      </w:r>
      <w:r>
        <w:rPr>
          <w:rFonts w:ascii="Calibri" w:eastAsia="Calibri" w:hAnsi="Calibri" w:cs="Calibri"/>
          <w:color w:val="333132"/>
          <w:sz w:val="24"/>
          <w:szCs w:val="24"/>
          <w:vertAlign w:val="superscript"/>
        </w:rPr>
        <w:t>14</w:t>
      </w:r>
      <w:r>
        <w:rPr>
          <w:rFonts w:ascii="Calibri" w:eastAsia="Calibri" w:hAnsi="Calibri" w:cs="Calibri"/>
          <w:color w:val="333132"/>
          <w:sz w:val="24"/>
          <w:szCs w:val="24"/>
        </w:rPr>
        <w:t xml:space="preserve">C dates obtained from charred rice grains. We employ the same methods and a subset of the data presented in a previous work by Crema et al </w:t>
      </w:r>
      <w:hyperlink r:id="rId7">
        <w:r>
          <w:rPr>
            <w:rFonts w:ascii="Calibri" w:eastAsia="Calibri" w:hAnsi="Calibri" w:cs="Calibri"/>
            <w:color w:val="000000"/>
            <w:sz w:val="24"/>
            <w:szCs w:val="24"/>
          </w:rPr>
          <w:t>(2022)</w:t>
        </w:r>
      </w:hyperlink>
      <w:r>
        <w:rPr>
          <w:rFonts w:ascii="Calibri" w:eastAsia="Calibri" w:hAnsi="Calibri" w:cs="Calibri"/>
          <w:color w:val="333132"/>
          <w:sz w:val="24"/>
          <w:szCs w:val="24"/>
        </w:rPr>
        <w:t xml:space="preserve"> using a different geographic subdivision to specifically focus on two regions examined here. More specifically we divided the Japanese islands into the following five regions: Kyushu (1), Chugoku and Shikoku (2), Kansai (3), Tokai (4), and Chubu Highlands (5). The remaining regions of the Japanese islands were excluded from our analyses. </w:t>
      </w:r>
    </w:p>
    <w:p w14:paraId="79C48567" w14:textId="3DE33035" w:rsidR="004D2AAA" w:rsidRDefault="00E712B1">
      <w:pPr>
        <w:shd w:val="clear" w:color="auto" w:fill="FFFFFF"/>
        <w:spacing w:before="240" w:after="240"/>
        <w:rPr>
          <w:rFonts w:ascii="Calibri" w:eastAsia="Calibri" w:hAnsi="Calibri" w:cs="Calibri"/>
          <w:color w:val="333132"/>
          <w:sz w:val="24"/>
          <w:szCs w:val="24"/>
        </w:rPr>
      </w:pPr>
      <w:r>
        <w:rPr>
          <w:rFonts w:ascii="Calibri" w:eastAsia="Calibri" w:hAnsi="Calibri" w:cs="Calibri"/>
          <w:color w:val="333132"/>
          <w:sz w:val="24"/>
          <w:szCs w:val="24"/>
        </w:rPr>
        <w:t xml:space="preserve">The Bayesian approach presented in Crema et al </w:t>
      </w:r>
      <w:hyperlink r:id="rId8">
        <w:r>
          <w:rPr>
            <w:rFonts w:ascii="Calibri" w:eastAsia="Calibri" w:hAnsi="Calibri" w:cs="Calibri"/>
            <w:color w:val="000000"/>
            <w:sz w:val="24"/>
            <w:szCs w:val="24"/>
          </w:rPr>
          <w:t>(2022)</w:t>
        </w:r>
      </w:hyperlink>
      <w:r>
        <w:rPr>
          <w:rFonts w:ascii="Calibri" w:eastAsia="Calibri" w:hAnsi="Calibri" w:cs="Calibri"/>
          <w:color w:val="333132"/>
          <w:sz w:val="24"/>
          <w:szCs w:val="24"/>
        </w:rPr>
        <w:t xml:space="preserve"> estimated the occupation length of and start date for each site and subsequently models the regional arrival time using the estimated values of the latter (</w:t>
      </w:r>
      <w:r w:rsidRPr="00E712B1">
        <w:rPr>
          <w:rFonts w:ascii="Calibri" w:eastAsia="Calibri" w:hAnsi="Calibri" w:cs="Calibri"/>
          <w:color w:val="333132"/>
          <w:sz w:val="24"/>
          <w:szCs w:val="24"/>
        </w:rPr>
        <w:t>see Table S1 for</w:t>
      </w:r>
      <w:r>
        <w:rPr>
          <w:rFonts w:ascii="Calibri" w:eastAsia="Calibri" w:hAnsi="Calibri" w:cs="Calibri"/>
          <w:color w:val="333132"/>
          <w:sz w:val="24"/>
          <w:szCs w:val="24"/>
        </w:rPr>
        <w:t xml:space="preserve"> sample sizes). The distribution of site-level start dates of each region </w:t>
      </w:r>
      <w:r w:rsidR="002D13EE">
        <w:rPr>
          <w:rFonts w:ascii="Calibri" w:eastAsia="Calibri" w:hAnsi="Calibri" w:cs="Calibri"/>
          <w:color w:val="333132"/>
          <w:sz w:val="24"/>
          <w:szCs w:val="24"/>
        </w:rPr>
        <w:t>was</w:t>
      </w:r>
      <w:r>
        <w:rPr>
          <w:rFonts w:ascii="Calibri" w:eastAsia="Calibri" w:hAnsi="Calibri" w:cs="Calibri"/>
          <w:color w:val="333132"/>
          <w:sz w:val="24"/>
          <w:szCs w:val="24"/>
        </w:rPr>
        <w:t xml:space="preserve"> modelled as uniform distribution. The start dates </w:t>
      </w:r>
      <w:r>
        <w:rPr>
          <w:rFonts w:ascii="Times New Roman" w:eastAsia="Times New Roman" w:hAnsi="Times New Roman" w:cs="Times New Roman"/>
          <w:color w:val="333333"/>
          <w:sz w:val="27"/>
          <w:szCs w:val="27"/>
          <w:highlight w:val="white"/>
        </w:rPr>
        <w:t>ν</w:t>
      </w:r>
      <w:r>
        <w:rPr>
          <w:rFonts w:ascii="Calibri" w:eastAsia="Calibri" w:hAnsi="Calibri" w:cs="Calibri"/>
          <w:color w:val="333132"/>
          <w:sz w:val="24"/>
          <w:szCs w:val="24"/>
        </w:rPr>
        <w:t xml:space="preserve"> of these distributions (our parameters of interest) were constrained to reflect the putative dispersal process of rice agriculture in Japan based on previous studies and the results in Crema et al </w:t>
      </w:r>
      <w:hyperlink r:id="rId9">
        <w:r>
          <w:rPr>
            <w:rFonts w:ascii="Calibri" w:eastAsia="Calibri" w:hAnsi="Calibri" w:cs="Calibri"/>
            <w:color w:val="000000"/>
            <w:sz w:val="24"/>
            <w:szCs w:val="24"/>
          </w:rPr>
          <w:t>(2022)</w:t>
        </w:r>
      </w:hyperlink>
      <w:r>
        <w:rPr>
          <w:rFonts w:ascii="Calibri" w:eastAsia="Calibri" w:hAnsi="Calibri" w:cs="Calibri"/>
          <w:color w:val="333132"/>
          <w:sz w:val="24"/>
          <w:szCs w:val="24"/>
        </w:rPr>
        <w:t>. More specifically, we assumed the following three constraints:</w:t>
      </w:r>
    </w:p>
    <w:p w14:paraId="033EC259" w14:textId="77777777" w:rsidR="004D2AAA" w:rsidRDefault="00E712B1">
      <w:pPr>
        <w:shd w:val="clear" w:color="auto" w:fill="FFFFFF"/>
        <w:spacing w:before="240" w:after="240"/>
        <w:rPr>
          <w:rFonts w:ascii="Times New Roman" w:eastAsia="Times New Roman" w:hAnsi="Times New Roman" w:cs="Times New Roman"/>
          <w:color w:val="333333"/>
          <w:sz w:val="27"/>
          <w:szCs w:val="27"/>
          <w:highlight w:val="white"/>
          <w:vertAlign w:val="subscript"/>
        </w:rPr>
      </w:pPr>
      <w:r>
        <w:rPr>
          <w:rFonts w:ascii="Times New Roman" w:eastAsia="Times New Roman" w:hAnsi="Times New Roman" w:cs="Times New Roman"/>
          <w:i/>
          <w:color w:val="333333"/>
          <w:sz w:val="27"/>
          <w:szCs w:val="27"/>
          <w:highlight w:val="white"/>
        </w:rPr>
        <w:lastRenderedPageBreak/>
        <w:t>c1</w:t>
      </w:r>
      <w:r>
        <w:rPr>
          <w:rFonts w:ascii="Times New Roman" w:eastAsia="Times New Roman" w:hAnsi="Times New Roman" w:cs="Times New Roman"/>
          <w:color w:val="333333"/>
          <w:sz w:val="27"/>
          <w:szCs w:val="27"/>
          <w:highlight w:val="white"/>
        </w:rPr>
        <w:t xml:space="preserve">.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Kyushu</w:t>
      </w:r>
      <w:proofErr w:type="spellEnd"/>
      <w:r>
        <w:rPr>
          <w:rFonts w:ascii="Times New Roman" w:eastAsia="Times New Roman" w:hAnsi="Times New Roman" w:cs="Times New Roman"/>
          <w:color w:val="333333"/>
          <w:sz w:val="27"/>
          <w:szCs w:val="27"/>
          <w:highlight w:val="white"/>
          <w:vertAlign w:val="subscript"/>
        </w:rPr>
        <w:t xml:space="preserve"> </w:t>
      </w:r>
      <w:r>
        <w:rPr>
          <w:rFonts w:ascii="Times New Roman" w:eastAsia="Times New Roman" w:hAnsi="Times New Roman" w:cs="Times New Roman"/>
          <w:color w:val="333333"/>
          <w:sz w:val="27"/>
          <w:szCs w:val="27"/>
          <w:highlight w:val="white"/>
        </w:rPr>
        <w:t xml:space="preserve">&gt;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Chugoku</w:t>
      </w:r>
      <w:proofErr w:type="spellEnd"/>
      <w:r>
        <w:rPr>
          <w:rFonts w:ascii="Times New Roman" w:eastAsia="Times New Roman" w:hAnsi="Times New Roman" w:cs="Times New Roman"/>
          <w:color w:val="333333"/>
          <w:sz w:val="27"/>
          <w:szCs w:val="27"/>
          <w:highlight w:val="white"/>
          <w:vertAlign w:val="subscript"/>
        </w:rPr>
        <w:t xml:space="preserve"> &amp; </w:t>
      </w:r>
      <w:proofErr w:type="spellStart"/>
      <w:r>
        <w:rPr>
          <w:rFonts w:ascii="Times New Roman" w:eastAsia="Times New Roman" w:hAnsi="Times New Roman" w:cs="Times New Roman"/>
          <w:color w:val="333333"/>
          <w:sz w:val="27"/>
          <w:szCs w:val="27"/>
          <w:highlight w:val="white"/>
          <w:vertAlign w:val="subscript"/>
        </w:rPr>
        <w:t>Shukoku</w:t>
      </w:r>
      <w:proofErr w:type="spellEnd"/>
      <w:r>
        <w:rPr>
          <w:rFonts w:ascii="Times New Roman" w:eastAsia="Times New Roman" w:hAnsi="Times New Roman" w:cs="Times New Roman"/>
          <w:color w:val="333333"/>
          <w:sz w:val="27"/>
          <w:szCs w:val="27"/>
          <w:highlight w:val="white"/>
          <w:vertAlign w:val="subscript"/>
        </w:rPr>
        <w:t xml:space="preserve"> </w:t>
      </w:r>
      <w:r>
        <w:rPr>
          <w:rFonts w:ascii="Times New Roman" w:eastAsia="Times New Roman" w:hAnsi="Times New Roman" w:cs="Times New Roman"/>
          <w:color w:val="333333"/>
          <w:sz w:val="27"/>
          <w:szCs w:val="27"/>
          <w:highlight w:val="white"/>
        </w:rPr>
        <w:t xml:space="preserve">&gt;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Kansai</w:t>
      </w:r>
      <w:proofErr w:type="spellEnd"/>
      <w:r>
        <w:rPr>
          <w:rFonts w:ascii="Times New Roman" w:eastAsia="Times New Roman" w:hAnsi="Times New Roman" w:cs="Times New Roman"/>
          <w:color w:val="333333"/>
          <w:sz w:val="27"/>
          <w:szCs w:val="27"/>
          <w:highlight w:val="white"/>
          <w:vertAlign w:val="subscript"/>
        </w:rPr>
        <w:t xml:space="preserve">    </w:t>
      </w:r>
    </w:p>
    <w:p w14:paraId="19B2829D" w14:textId="77777777" w:rsidR="004D2AAA" w:rsidRDefault="00E712B1">
      <w:pPr>
        <w:shd w:val="clear" w:color="auto" w:fill="FFFFFF"/>
        <w:spacing w:before="240" w:after="240"/>
        <w:rPr>
          <w:rFonts w:ascii="Times New Roman" w:eastAsia="Times New Roman" w:hAnsi="Times New Roman" w:cs="Times New Roman"/>
          <w:color w:val="333333"/>
          <w:sz w:val="27"/>
          <w:szCs w:val="27"/>
          <w:highlight w:val="white"/>
          <w:vertAlign w:val="subscript"/>
        </w:rPr>
      </w:pPr>
      <w:r>
        <w:rPr>
          <w:rFonts w:ascii="Times New Roman" w:eastAsia="Times New Roman" w:hAnsi="Times New Roman" w:cs="Times New Roman"/>
          <w:i/>
          <w:color w:val="333333"/>
          <w:sz w:val="27"/>
          <w:szCs w:val="27"/>
          <w:highlight w:val="white"/>
        </w:rPr>
        <w:t>c2</w:t>
      </w:r>
      <w:r>
        <w:rPr>
          <w:rFonts w:ascii="Times New Roman" w:eastAsia="Times New Roman" w:hAnsi="Times New Roman" w:cs="Times New Roman"/>
          <w:color w:val="333333"/>
          <w:sz w:val="27"/>
          <w:szCs w:val="27"/>
          <w:highlight w:val="white"/>
        </w:rPr>
        <w:t xml:space="preserve">.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Kansai</w:t>
      </w:r>
      <w:proofErr w:type="spellEnd"/>
      <w:r>
        <w:rPr>
          <w:rFonts w:ascii="Times New Roman" w:eastAsia="Times New Roman" w:hAnsi="Times New Roman" w:cs="Times New Roman"/>
          <w:color w:val="333333"/>
          <w:sz w:val="27"/>
          <w:szCs w:val="27"/>
          <w:highlight w:val="white"/>
          <w:vertAlign w:val="subscript"/>
        </w:rPr>
        <w:t xml:space="preserve">  </w:t>
      </w:r>
      <w:r>
        <w:rPr>
          <w:rFonts w:ascii="Times New Roman" w:eastAsia="Times New Roman" w:hAnsi="Times New Roman" w:cs="Times New Roman"/>
          <w:color w:val="333333"/>
          <w:sz w:val="27"/>
          <w:szCs w:val="27"/>
          <w:highlight w:val="white"/>
        </w:rPr>
        <w:t xml:space="preserve">&gt;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Tokai</w:t>
      </w:r>
      <w:proofErr w:type="spellEnd"/>
      <w:r>
        <w:rPr>
          <w:rFonts w:ascii="Times New Roman" w:eastAsia="Times New Roman" w:hAnsi="Times New Roman" w:cs="Times New Roman"/>
          <w:color w:val="333333"/>
          <w:sz w:val="27"/>
          <w:szCs w:val="27"/>
          <w:highlight w:val="white"/>
          <w:vertAlign w:val="subscript"/>
        </w:rPr>
        <w:t xml:space="preserve"> </w:t>
      </w:r>
    </w:p>
    <w:p w14:paraId="70496FF1" w14:textId="77777777" w:rsidR="004D2AAA" w:rsidRDefault="00E712B1">
      <w:pPr>
        <w:shd w:val="clear" w:color="auto" w:fill="FFFFFF"/>
        <w:spacing w:before="240" w:after="240"/>
        <w:rPr>
          <w:rFonts w:ascii="Times New Roman" w:eastAsia="Times New Roman" w:hAnsi="Times New Roman" w:cs="Times New Roman"/>
          <w:color w:val="333333"/>
          <w:sz w:val="27"/>
          <w:szCs w:val="27"/>
          <w:highlight w:val="white"/>
          <w:vertAlign w:val="subscript"/>
        </w:rPr>
      </w:pPr>
      <w:r>
        <w:rPr>
          <w:rFonts w:ascii="Times New Roman" w:eastAsia="Times New Roman" w:hAnsi="Times New Roman" w:cs="Times New Roman"/>
          <w:i/>
          <w:color w:val="333333"/>
          <w:sz w:val="27"/>
          <w:szCs w:val="27"/>
          <w:highlight w:val="white"/>
        </w:rPr>
        <w:t>c3</w:t>
      </w:r>
      <w:r>
        <w:rPr>
          <w:rFonts w:ascii="Times New Roman" w:eastAsia="Times New Roman" w:hAnsi="Times New Roman" w:cs="Times New Roman"/>
          <w:color w:val="333333"/>
          <w:sz w:val="27"/>
          <w:szCs w:val="27"/>
          <w:highlight w:val="white"/>
        </w:rPr>
        <w:t xml:space="preserve">.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Kansai</w:t>
      </w:r>
      <w:proofErr w:type="spellEnd"/>
      <w:r>
        <w:rPr>
          <w:rFonts w:ascii="Times New Roman" w:eastAsia="Times New Roman" w:hAnsi="Times New Roman" w:cs="Times New Roman"/>
          <w:color w:val="333333"/>
          <w:sz w:val="27"/>
          <w:szCs w:val="27"/>
          <w:highlight w:val="white"/>
          <w:vertAlign w:val="subscript"/>
        </w:rPr>
        <w:t xml:space="preserve">  </w:t>
      </w:r>
      <w:r>
        <w:rPr>
          <w:rFonts w:ascii="Times New Roman" w:eastAsia="Times New Roman" w:hAnsi="Times New Roman" w:cs="Times New Roman"/>
          <w:color w:val="333333"/>
          <w:sz w:val="27"/>
          <w:szCs w:val="27"/>
          <w:highlight w:val="white"/>
        </w:rPr>
        <w:t xml:space="preserve">&gt; </w:t>
      </w:r>
      <w:proofErr w:type="spellStart"/>
      <w:r>
        <w:rPr>
          <w:rFonts w:ascii="Times New Roman" w:eastAsia="Times New Roman" w:hAnsi="Times New Roman" w:cs="Times New Roman"/>
          <w:color w:val="333333"/>
          <w:sz w:val="27"/>
          <w:szCs w:val="27"/>
          <w:highlight w:val="white"/>
        </w:rPr>
        <w:t>ν</w:t>
      </w:r>
      <w:r>
        <w:rPr>
          <w:rFonts w:ascii="Times New Roman" w:eastAsia="Times New Roman" w:hAnsi="Times New Roman" w:cs="Times New Roman"/>
          <w:color w:val="333333"/>
          <w:sz w:val="27"/>
          <w:szCs w:val="27"/>
          <w:highlight w:val="white"/>
          <w:vertAlign w:val="subscript"/>
        </w:rPr>
        <w:t>Chubu</w:t>
      </w:r>
      <w:proofErr w:type="spellEnd"/>
      <w:r>
        <w:rPr>
          <w:rFonts w:ascii="Times New Roman" w:eastAsia="Times New Roman" w:hAnsi="Times New Roman" w:cs="Times New Roman"/>
          <w:color w:val="333333"/>
          <w:sz w:val="27"/>
          <w:szCs w:val="27"/>
          <w:highlight w:val="white"/>
          <w:vertAlign w:val="subscript"/>
        </w:rPr>
        <w:t xml:space="preserve"> Highlands </w:t>
      </w:r>
    </w:p>
    <w:p w14:paraId="4C585627" w14:textId="77777777"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We assumed a wave of advance model for the dispersal of rice farming from northern Kyushu to Kansai (</w:t>
      </w:r>
      <w:r>
        <w:rPr>
          <w:rFonts w:ascii="Calibri" w:eastAsia="Calibri" w:hAnsi="Calibri" w:cs="Calibri"/>
          <w:i/>
          <w:color w:val="333132"/>
          <w:sz w:val="24"/>
          <w:szCs w:val="24"/>
        </w:rPr>
        <w:t>c1</w:t>
      </w:r>
      <w:proofErr w:type="gramStart"/>
      <w:r>
        <w:rPr>
          <w:rFonts w:ascii="Calibri" w:eastAsia="Calibri" w:hAnsi="Calibri" w:cs="Calibri"/>
          <w:color w:val="333132"/>
          <w:sz w:val="24"/>
          <w:szCs w:val="24"/>
        </w:rPr>
        <w:t>)</w:t>
      </w:r>
      <w:proofErr w:type="gramEnd"/>
      <w:r>
        <w:rPr>
          <w:rFonts w:ascii="Calibri" w:eastAsia="Calibri" w:hAnsi="Calibri" w:cs="Calibri"/>
          <w:color w:val="333132"/>
          <w:sz w:val="24"/>
          <w:szCs w:val="24"/>
        </w:rPr>
        <w:t xml:space="preserve"> but we only assumed that the arrival time in Tokai and Chubu Highlands to be </w:t>
      </w:r>
      <w:r>
        <w:rPr>
          <w:rFonts w:ascii="Calibri" w:eastAsia="Calibri" w:hAnsi="Calibri" w:cs="Calibri"/>
          <w:i/>
          <w:color w:val="333132"/>
          <w:sz w:val="24"/>
          <w:szCs w:val="24"/>
        </w:rPr>
        <w:t>after</w:t>
      </w:r>
      <w:r>
        <w:rPr>
          <w:rFonts w:ascii="Calibri" w:eastAsia="Calibri" w:hAnsi="Calibri" w:cs="Calibri"/>
          <w:color w:val="333132"/>
          <w:sz w:val="24"/>
          <w:szCs w:val="24"/>
        </w:rPr>
        <w:t xml:space="preserve"> Kansai (c2 and c3). In other words, we have not assumed a priori that rice arrived before in any of the two regions. </w:t>
      </w:r>
    </w:p>
    <w:tbl>
      <w:tblPr>
        <w:tblStyle w:val="a"/>
        <w:tblW w:w="4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960"/>
        <w:gridCol w:w="855"/>
      </w:tblGrid>
      <w:tr w:rsidR="004D2AAA" w14:paraId="69811B03" w14:textId="77777777">
        <w:tc>
          <w:tcPr>
            <w:tcW w:w="2565" w:type="dxa"/>
            <w:shd w:val="clear" w:color="auto" w:fill="B7B7B7"/>
            <w:tcMar>
              <w:top w:w="100" w:type="dxa"/>
              <w:left w:w="100" w:type="dxa"/>
              <w:bottom w:w="100" w:type="dxa"/>
              <w:right w:w="100" w:type="dxa"/>
            </w:tcMar>
          </w:tcPr>
          <w:p w14:paraId="73EDFBB1"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rPr>
            </w:pPr>
            <w:r>
              <w:rPr>
                <w:rFonts w:ascii="Calibri" w:eastAsia="Calibri" w:hAnsi="Calibri" w:cs="Calibri"/>
                <w:color w:val="333132"/>
                <w:sz w:val="24"/>
                <w:szCs w:val="24"/>
              </w:rPr>
              <w:t>Region</w:t>
            </w:r>
          </w:p>
        </w:tc>
        <w:tc>
          <w:tcPr>
            <w:tcW w:w="960" w:type="dxa"/>
            <w:shd w:val="clear" w:color="auto" w:fill="B7B7B7"/>
            <w:tcMar>
              <w:top w:w="100" w:type="dxa"/>
              <w:left w:w="100" w:type="dxa"/>
              <w:bottom w:w="100" w:type="dxa"/>
              <w:right w:w="100" w:type="dxa"/>
            </w:tcMar>
          </w:tcPr>
          <w:p w14:paraId="0BDDBA3A"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vertAlign w:val="subscript"/>
              </w:rPr>
            </w:pPr>
            <w:proofErr w:type="spellStart"/>
            <w:r>
              <w:rPr>
                <w:rFonts w:ascii="Calibri" w:eastAsia="Calibri" w:hAnsi="Calibri" w:cs="Calibri"/>
                <w:color w:val="333132"/>
                <w:sz w:val="24"/>
                <w:szCs w:val="24"/>
              </w:rPr>
              <w:t>n</w:t>
            </w:r>
            <w:r>
              <w:rPr>
                <w:rFonts w:ascii="Calibri" w:eastAsia="Calibri" w:hAnsi="Calibri" w:cs="Calibri"/>
                <w:color w:val="333132"/>
                <w:sz w:val="24"/>
                <w:szCs w:val="24"/>
                <w:vertAlign w:val="subscript"/>
              </w:rPr>
              <w:t>dates</w:t>
            </w:r>
            <w:proofErr w:type="spellEnd"/>
          </w:p>
        </w:tc>
        <w:tc>
          <w:tcPr>
            <w:tcW w:w="855" w:type="dxa"/>
            <w:shd w:val="clear" w:color="auto" w:fill="B7B7B7"/>
            <w:tcMar>
              <w:top w:w="100" w:type="dxa"/>
              <w:left w:w="100" w:type="dxa"/>
              <w:bottom w:w="100" w:type="dxa"/>
              <w:right w:w="100" w:type="dxa"/>
            </w:tcMar>
          </w:tcPr>
          <w:p w14:paraId="543DFF89"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vertAlign w:val="subscript"/>
              </w:rPr>
            </w:pPr>
            <w:proofErr w:type="spellStart"/>
            <w:r>
              <w:rPr>
                <w:rFonts w:ascii="Calibri" w:eastAsia="Calibri" w:hAnsi="Calibri" w:cs="Calibri"/>
                <w:color w:val="333132"/>
                <w:sz w:val="24"/>
                <w:szCs w:val="24"/>
              </w:rPr>
              <w:t>n</w:t>
            </w:r>
            <w:r>
              <w:rPr>
                <w:rFonts w:ascii="Calibri" w:eastAsia="Calibri" w:hAnsi="Calibri" w:cs="Calibri"/>
                <w:color w:val="333132"/>
                <w:sz w:val="24"/>
                <w:szCs w:val="24"/>
                <w:vertAlign w:val="subscript"/>
              </w:rPr>
              <w:t>sites</w:t>
            </w:r>
            <w:proofErr w:type="spellEnd"/>
          </w:p>
        </w:tc>
      </w:tr>
      <w:tr w:rsidR="004D2AAA" w14:paraId="6ADF6162" w14:textId="77777777">
        <w:tc>
          <w:tcPr>
            <w:tcW w:w="2565" w:type="dxa"/>
            <w:shd w:val="clear" w:color="auto" w:fill="auto"/>
            <w:tcMar>
              <w:top w:w="100" w:type="dxa"/>
              <w:left w:w="100" w:type="dxa"/>
              <w:bottom w:w="100" w:type="dxa"/>
              <w:right w:w="100" w:type="dxa"/>
            </w:tcMar>
          </w:tcPr>
          <w:p w14:paraId="18F61FAE"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rPr>
            </w:pPr>
            <w:r>
              <w:rPr>
                <w:rFonts w:ascii="Calibri" w:eastAsia="Calibri" w:hAnsi="Calibri" w:cs="Calibri"/>
                <w:color w:val="333132"/>
                <w:sz w:val="24"/>
                <w:szCs w:val="24"/>
              </w:rPr>
              <w:t>Kyushu</w:t>
            </w:r>
          </w:p>
        </w:tc>
        <w:tc>
          <w:tcPr>
            <w:tcW w:w="960" w:type="dxa"/>
            <w:shd w:val="clear" w:color="auto" w:fill="auto"/>
            <w:tcMar>
              <w:top w:w="100" w:type="dxa"/>
              <w:left w:w="100" w:type="dxa"/>
              <w:bottom w:w="100" w:type="dxa"/>
              <w:right w:w="100" w:type="dxa"/>
            </w:tcMar>
          </w:tcPr>
          <w:p w14:paraId="352A04AB"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81</w:t>
            </w:r>
          </w:p>
        </w:tc>
        <w:tc>
          <w:tcPr>
            <w:tcW w:w="855" w:type="dxa"/>
            <w:shd w:val="clear" w:color="auto" w:fill="auto"/>
            <w:tcMar>
              <w:top w:w="100" w:type="dxa"/>
              <w:left w:w="100" w:type="dxa"/>
              <w:bottom w:w="100" w:type="dxa"/>
              <w:right w:w="100" w:type="dxa"/>
            </w:tcMar>
          </w:tcPr>
          <w:p w14:paraId="2801DF47"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41</w:t>
            </w:r>
          </w:p>
        </w:tc>
      </w:tr>
      <w:tr w:rsidR="004D2AAA" w14:paraId="051519FB" w14:textId="77777777">
        <w:tc>
          <w:tcPr>
            <w:tcW w:w="2565" w:type="dxa"/>
            <w:shd w:val="clear" w:color="auto" w:fill="auto"/>
            <w:tcMar>
              <w:top w:w="100" w:type="dxa"/>
              <w:left w:w="100" w:type="dxa"/>
              <w:bottom w:w="100" w:type="dxa"/>
              <w:right w:w="100" w:type="dxa"/>
            </w:tcMar>
          </w:tcPr>
          <w:p w14:paraId="16A7EE75"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rPr>
            </w:pPr>
            <w:r>
              <w:rPr>
                <w:rFonts w:ascii="Calibri" w:eastAsia="Calibri" w:hAnsi="Calibri" w:cs="Calibri"/>
                <w:color w:val="333132"/>
                <w:sz w:val="24"/>
                <w:szCs w:val="24"/>
              </w:rPr>
              <w:t>Chugoku and Shikoku</w:t>
            </w:r>
          </w:p>
        </w:tc>
        <w:tc>
          <w:tcPr>
            <w:tcW w:w="960" w:type="dxa"/>
            <w:shd w:val="clear" w:color="auto" w:fill="auto"/>
            <w:tcMar>
              <w:top w:w="100" w:type="dxa"/>
              <w:left w:w="100" w:type="dxa"/>
              <w:bottom w:w="100" w:type="dxa"/>
              <w:right w:w="100" w:type="dxa"/>
            </w:tcMar>
          </w:tcPr>
          <w:p w14:paraId="4373A9BD"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27</w:t>
            </w:r>
          </w:p>
        </w:tc>
        <w:tc>
          <w:tcPr>
            <w:tcW w:w="855" w:type="dxa"/>
            <w:shd w:val="clear" w:color="auto" w:fill="auto"/>
            <w:tcMar>
              <w:top w:w="100" w:type="dxa"/>
              <w:left w:w="100" w:type="dxa"/>
              <w:bottom w:w="100" w:type="dxa"/>
              <w:right w:w="100" w:type="dxa"/>
            </w:tcMar>
          </w:tcPr>
          <w:p w14:paraId="47438A15"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18</w:t>
            </w:r>
          </w:p>
        </w:tc>
      </w:tr>
      <w:tr w:rsidR="004D2AAA" w14:paraId="5B37C8C4" w14:textId="77777777">
        <w:tc>
          <w:tcPr>
            <w:tcW w:w="2565" w:type="dxa"/>
            <w:shd w:val="clear" w:color="auto" w:fill="auto"/>
            <w:tcMar>
              <w:top w:w="100" w:type="dxa"/>
              <w:left w:w="100" w:type="dxa"/>
              <w:bottom w:w="100" w:type="dxa"/>
              <w:right w:w="100" w:type="dxa"/>
            </w:tcMar>
          </w:tcPr>
          <w:p w14:paraId="15925733"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rPr>
            </w:pPr>
            <w:r>
              <w:rPr>
                <w:rFonts w:ascii="Calibri" w:eastAsia="Calibri" w:hAnsi="Calibri" w:cs="Calibri"/>
                <w:color w:val="333132"/>
                <w:sz w:val="24"/>
                <w:szCs w:val="24"/>
              </w:rPr>
              <w:t>Kansai</w:t>
            </w:r>
          </w:p>
        </w:tc>
        <w:tc>
          <w:tcPr>
            <w:tcW w:w="960" w:type="dxa"/>
            <w:tcMar>
              <w:top w:w="100" w:type="dxa"/>
              <w:left w:w="100" w:type="dxa"/>
              <w:bottom w:w="100" w:type="dxa"/>
              <w:right w:w="100" w:type="dxa"/>
            </w:tcMar>
          </w:tcPr>
          <w:p w14:paraId="2A280F07"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26</w:t>
            </w:r>
          </w:p>
        </w:tc>
        <w:tc>
          <w:tcPr>
            <w:tcW w:w="855" w:type="dxa"/>
            <w:shd w:val="clear" w:color="auto" w:fill="auto"/>
            <w:tcMar>
              <w:top w:w="100" w:type="dxa"/>
              <w:left w:w="100" w:type="dxa"/>
              <w:bottom w:w="100" w:type="dxa"/>
              <w:right w:w="100" w:type="dxa"/>
            </w:tcMar>
          </w:tcPr>
          <w:p w14:paraId="5DD54EAA"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6</w:t>
            </w:r>
          </w:p>
        </w:tc>
      </w:tr>
      <w:tr w:rsidR="004D2AAA" w14:paraId="1B004D1D" w14:textId="77777777">
        <w:tc>
          <w:tcPr>
            <w:tcW w:w="2565" w:type="dxa"/>
            <w:shd w:val="clear" w:color="auto" w:fill="auto"/>
            <w:tcMar>
              <w:top w:w="100" w:type="dxa"/>
              <w:left w:w="100" w:type="dxa"/>
              <w:bottom w:w="100" w:type="dxa"/>
              <w:right w:w="100" w:type="dxa"/>
            </w:tcMar>
          </w:tcPr>
          <w:p w14:paraId="061DEE75"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rPr>
            </w:pPr>
            <w:r>
              <w:rPr>
                <w:rFonts w:ascii="Calibri" w:eastAsia="Calibri" w:hAnsi="Calibri" w:cs="Calibri"/>
                <w:color w:val="333132"/>
                <w:sz w:val="24"/>
                <w:szCs w:val="24"/>
              </w:rPr>
              <w:t>Tokai</w:t>
            </w:r>
          </w:p>
        </w:tc>
        <w:tc>
          <w:tcPr>
            <w:tcW w:w="960" w:type="dxa"/>
            <w:shd w:val="clear" w:color="auto" w:fill="auto"/>
            <w:tcMar>
              <w:top w:w="100" w:type="dxa"/>
              <w:left w:w="100" w:type="dxa"/>
              <w:bottom w:w="100" w:type="dxa"/>
              <w:right w:w="100" w:type="dxa"/>
            </w:tcMar>
          </w:tcPr>
          <w:p w14:paraId="4551BD85"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5</w:t>
            </w:r>
          </w:p>
        </w:tc>
        <w:tc>
          <w:tcPr>
            <w:tcW w:w="855" w:type="dxa"/>
            <w:shd w:val="clear" w:color="auto" w:fill="auto"/>
            <w:tcMar>
              <w:top w:w="100" w:type="dxa"/>
              <w:left w:w="100" w:type="dxa"/>
              <w:bottom w:w="100" w:type="dxa"/>
              <w:right w:w="100" w:type="dxa"/>
            </w:tcMar>
          </w:tcPr>
          <w:p w14:paraId="6BE067F0"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5</w:t>
            </w:r>
          </w:p>
        </w:tc>
      </w:tr>
      <w:tr w:rsidR="004D2AAA" w14:paraId="5A9E017D" w14:textId="77777777">
        <w:tc>
          <w:tcPr>
            <w:tcW w:w="2565" w:type="dxa"/>
            <w:shd w:val="clear" w:color="auto" w:fill="auto"/>
            <w:tcMar>
              <w:top w:w="100" w:type="dxa"/>
              <w:left w:w="100" w:type="dxa"/>
              <w:bottom w:w="100" w:type="dxa"/>
              <w:right w:w="100" w:type="dxa"/>
            </w:tcMar>
          </w:tcPr>
          <w:p w14:paraId="759B0CCD" w14:textId="77777777" w:rsidR="004D2AAA" w:rsidRDefault="00E712B1">
            <w:pPr>
              <w:widowControl w:val="0"/>
              <w:pBdr>
                <w:top w:val="nil"/>
                <w:left w:val="nil"/>
                <w:bottom w:val="nil"/>
                <w:right w:val="nil"/>
                <w:between w:val="nil"/>
              </w:pBdr>
              <w:spacing w:line="240" w:lineRule="auto"/>
              <w:rPr>
                <w:rFonts w:ascii="Calibri" w:eastAsia="Calibri" w:hAnsi="Calibri" w:cs="Calibri"/>
                <w:color w:val="333132"/>
                <w:sz w:val="24"/>
                <w:szCs w:val="24"/>
              </w:rPr>
            </w:pPr>
            <w:r>
              <w:rPr>
                <w:rFonts w:ascii="Calibri" w:eastAsia="Calibri" w:hAnsi="Calibri" w:cs="Calibri"/>
                <w:color w:val="333132"/>
                <w:sz w:val="24"/>
                <w:szCs w:val="24"/>
              </w:rPr>
              <w:t>Chubu Highlands</w:t>
            </w:r>
          </w:p>
        </w:tc>
        <w:tc>
          <w:tcPr>
            <w:tcW w:w="960" w:type="dxa"/>
            <w:shd w:val="clear" w:color="auto" w:fill="auto"/>
            <w:tcMar>
              <w:top w:w="100" w:type="dxa"/>
              <w:left w:w="100" w:type="dxa"/>
              <w:bottom w:w="100" w:type="dxa"/>
              <w:right w:w="100" w:type="dxa"/>
            </w:tcMar>
          </w:tcPr>
          <w:p w14:paraId="58470850"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27</w:t>
            </w:r>
          </w:p>
        </w:tc>
        <w:tc>
          <w:tcPr>
            <w:tcW w:w="855" w:type="dxa"/>
            <w:shd w:val="clear" w:color="auto" w:fill="auto"/>
            <w:tcMar>
              <w:top w:w="100" w:type="dxa"/>
              <w:left w:w="100" w:type="dxa"/>
              <w:bottom w:w="100" w:type="dxa"/>
              <w:right w:w="100" w:type="dxa"/>
            </w:tcMar>
          </w:tcPr>
          <w:p w14:paraId="3816B802"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11</w:t>
            </w:r>
          </w:p>
        </w:tc>
      </w:tr>
      <w:tr w:rsidR="004D2AAA" w14:paraId="61DE4977" w14:textId="77777777">
        <w:tc>
          <w:tcPr>
            <w:tcW w:w="2565" w:type="dxa"/>
            <w:shd w:val="clear" w:color="auto" w:fill="auto"/>
            <w:tcMar>
              <w:top w:w="100" w:type="dxa"/>
              <w:left w:w="100" w:type="dxa"/>
              <w:bottom w:w="100" w:type="dxa"/>
              <w:right w:w="100" w:type="dxa"/>
            </w:tcMar>
          </w:tcPr>
          <w:p w14:paraId="7AABED4D"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TOTAL</w:t>
            </w:r>
          </w:p>
        </w:tc>
        <w:tc>
          <w:tcPr>
            <w:tcW w:w="960" w:type="dxa"/>
            <w:shd w:val="clear" w:color="auto" w:fill="auto"/>
            <w:tcMar>
              <w:top w:w="100" w:type="dxa"/>
              <w:left w:w="100" w:type="dxa"/>
              <w:bottom w:w="100" w:type="dxa"/>
              <w:right w:w="100" w:type="dxa"/>
            </w:tcMar>
          </w:tcPr>
          <w:p w14:paraId="30BB9B75"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166</w:t>
            </w:r>
          </w:p>
        </w:tc>
        <w:tc>
          <w:tcPr>
            <w:tcW w:w="855" w:type="dxa"/>
            <w:shd w:val="clear" w:color="auto" w:fill="auto"/>
            <w:tcMar>
              <w:top w:w="100" w:type="dxa"/>
              <w:left w:w="100" w:type="dxa"/>
              <w:bottom w:w="100" w:type="dxa"/>
              <w:right w:w="100" w:type="dxa"/>
            </w:tcMar>
          </w:tcPr>
          <w:p w14:paraId="2847B458" w14:textId="77777777" w:rsidR="004D2AAA" w:rsidRDefault="00E712B1">
            <w:pPr>
              <w:widowControl w:val="0"/>
              <w:pBdr>
                <w:top w:val="nil"/>
                <w:left w:val="nil"/>
                <w:bottom w:val="nil"/>
                <w:right w:val="nil"/>
                <w:between w:val="nil"/>
              </w:pBdr>
              <w:spacing w:line="240" w:lineRule="auto"/>
              <w:jc w:val="center"/>
              <w:rPr>
                <w:rFonts w:ascii="Calibri" w:eastAsia="Calibri" w:hAnsi="Calibri" w:cs="Calibri"/>
                <w:color w:val="333132"/>
                <w:sz w:val="24"/>
                <w:szCs w:val="24"/>
              </w:rPr>
            </w:pPr>
            <w:r>
              <w:rPr>
                <w:rFonts w:ascii="Calibri" w:eastAsia="Calibri" w:hAnsi="Calibri" w:cs="Calibri"/>
                <w:color w:val="333132"/>
                <w:sz w:val="24"/>
                <w:szCs w:val="24"/>
              </w:rPr>
              <w:t>81</w:t>
            </w:r>
          </w:p>
        </w:tc>
      </w:tr>
    </w:tbl>
    <w:p w14:paraId="27B54E99" w14:textId="77777777" w:rsidR="004D2AAA" w:rsidRDefault="00E712B1">
      <w:pPr>
        <w:shd w:val="clear" w:color="auto" w:fill="FFFFFF"/>
        <w:spacing w:before="240" w:after="240"/>
        <w:rPr>
          <w:rFonts w:ascii="Calibri" w:eastAsia="Calibri" w:hAnsi="Calibri" w:cs="Calibri"/>
          <w:color w:val="333132"/>
          <w:sz w:val="20"/>
          <w:szCs w:val="20"/>
        </w:rPr>
      </w:pPr>
      <w:r>
        <w:rPr>
          <w:rFonts w:ascii="Calibri" w:eastAsia="Calibri" w:hAnsi="Calibri" w:cs="Calibri"/>
          <w:color w:val="333132"/>
          <w:sz w:val="20"/>
          <w:szCs w:val="20"/>
        </w:rPr>
        <w:t>Table S1: Number of sites and charred rice remains used for estimating rice arrival dates</w:t>
      </w:r>
    </w:p>
    <w:p w14:paraId="7194FA6D" w14:textId="308A07BB"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 xml:space="preserve">Arrival times were estimated using the </w:t>
      </w:r>
      <w:r>
        <w:rPr>
          <w:rFonts w:ascii="Calibri" w:eastAsia="Calibri" w:hAnsi="Calibri" w:cs="Calibri"/>
          <w:i/>
          <w:color w:val="333132"/>
          <w:sz w:val="24"/>
          <w:szCs w:val="24"/>
        </w:rPr>
        <w:t>NIMBLE</w:t>
      </w:r>
      <w:r>
        <w:rPr>
          <w:rFonts w:ascii="Calibri" w:eastAsia="Calibri" w:hAnsi="Calibri" w:cs="Calibri"/>
          <w:color w:val="333132"/>
          <w:sz w:val="24"/>
          <w:szCs w:val="24"/>
        </w:rPr>
        <w:t xml:space="preserve"> </w:t>
      </w:r>
      <w:hyperlink r:id="rId10">
        <w:r>
          <w:rPr>
            <w:rFonts w:ascii="Calibri" w:eastAsia="Calibri" w:hAnsi="Calibri" w:cs="Calibri"/>
            <w:color w:val="000000"/>
            <w:sz w:val="24"/>
            <w:szCs w:val="24"/>
          </w:rPr>
          <w:t xml:space="preserve">(de </w:t>
        </w:r>
        <w:proofErr w:type="spellStart"/>
        <w:r>
          <w:rPr>
            <w:rFonts w:ascii="Calibri" w:eastAsia="Calibri" w:hAnsi="Calibri" w:cs="Calibri"/>
            <w:color w:val="000000"/>
            <w:sz w:val="24"/>
            <w:szCs w:val="24"/>
          </w:rPr>
          <w:t>Valpine</w:t>
        </w:r>
        <w:proofErr w:type="spellEnd"/>
        <w:r>
          <w:rPr>
            <w:rFonts w:ascii="Calibri" w:eastAsia="Calibri" w:hAnsi="Calibri" w:cs="Calibri"/>
            <w:color w:val="000000"/>
            <w:sz w:val="24"/>
            <w:szCs w:val="24"/>
          </w:rPr>
          <w:t xml:space="preserve"> et al. 2020)</w:t>
        </w:r>
      </w:hyperlink>
      <w:r>
        <w:rPr>
          <w:rFonts w:ascii="Calibri" w:eastAsia="Calibri" w:hAnsi="Calibri" w:cs="Calibri"/>
          <w:color w:val="333132"/>
          <w:sz w:val="24"/>
          <w:szCs w:val="24"/>
        </w:rPr>
        <w:t xml:space="preserve"> and </w:t>
      </w:r>
      <w:proofErr w:type="spellStart"/>
      <w:r>
        <w:rPr>
          <w:rFonts w:ascii="Calibri" w:eastAsia="Calibri" w:hAnsi="Calibri" w:cs="Calibri"/>
          <w:i/>
          <w:color w:val="333132"/>
          <w:sz w:val="24"/>
          <w:szCs w:val="24"/>
        </w:rPr>
        <w:t>nimbleCarbon</w:t>
      </w:r>
      <w:proofErr w:type="spellEnd"/>
      <w:r>
        <w:rPr>
          <w:rFonts w:ascii="Calibri" w:eastAsia="Calibri" w:hAnsi="Calibri" w:cs="Calibri"/>
          <w:color w:val="333132"/>
          <w:sz w:val="24"/>
          <w:szCs w:val="24"/>
        </w:rPr>
        <w:t xml:space="preserve"> </w:t>
      </w:r>
      <w:hyperlink r:id="rId11">
        <w:r>
          <w:rPr>
            <w:rFonts w:ascii="Calibri" w:eastAsia="Calibri" w:hAnsi="Calibri" w:cs="Calibri"/>
            <w:color w:val="000000"/>
            <w:sz w:val="24"/>
            <w:szCs w:val="24"/>
          </w:rPr>
          <w:t>(E. R. Crema 2022)</w:t>
        </w:r>
      </w:hyperlink>
      <w:r>
        <w:rPr>
          <w:rFonts w:ascii="Calibri" w:eastAsia="Calibri" w:hAnsi="Calibri" w:cs="Calibri"/>
          <w:color w:val="333132"/>
          <w:sz w:val="24"/>
          <w:szCs w:val="24"/>
        </w:rPr>
        <w:t xml:space="preserve"> R packages using four chains, each with 6 million iterations (half discarded for burn-in) and the thinning parameter set to 300 steps. </w:t>
      </w:r>
      <w:r>
        <w:rPr>
          <w:rFonts w:ascii="Calibri" w:eastAsia="Calibri" w:hAnsi="Calibri" w:cs="Calibri"/>
          <w:sz w:val="24"/>
          <w:szCs w:val="24"/>
        </w:rPr>
        <w:t>All parameters achieved a good convergence (</w:t>
      </w:r>
      <w:proofErr w:type="spellStart"/>
      <w:r>
        <w:rPr>
          <w:rFonts w:ascii="Calibri" w:eastAsia="Calibri" w:hAnsi="Calibri" w:cs="Calibri"/>
          <w:sz w:val="24"/>
          <w:szCs w:val="24"/>
        </w:rPr>
        <w:t>Rhat</w:t>
      </w:r>
      <w:proofErr w:type="spellEnd"/>
      <w:r>
        <w:rPr>
          <w:rFonts w:ascii="Calibri" w:eastAsia="Calibri" w:hAnsi="Calibri" w:cs="Calibri"/>
          <w:sz w:val="24"/>
          <w:szCs w:val="24"/>
        </w:rPr>
        <w:t xml:space="preserve"> &lt;1.01</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and the overall agreement (90.1%) suggests a consensus between the model priors and </w:t>
      </w:r>
      <w:r w:rsidR="00FF699F">
        <w:rPr>
          <w:rFonts w:ascii="Calibri" w:eastAsia="Calibri" w:hAnsi="Calibri" w:cs="Calibri"/>
          <w:sz w:val="24"/>
          <w:szCs w:val="24"/>
        </w:rPr>
        <w:t>posteriors</w:t>
      </w:r>
      <w:r>
        <w:rPr>
          <w:rFonts w:ascii="Calibri" w:eastAsia="Calibri" w:hAnsi="Calibri" w:cs="Calibri"/>
          <w:sz w:val="24"/>
          <w:szCs w:val="24"/>
        </w:rPr>
        <w:t xml:space="preserve">. </w:t>
      </w:r>
    </w:p>
    <w:p w14:paraId="7B58264C" w14:textId="77777777" w:rsidR="004D2AAA" w:rsidRDefault="00E712B1" w:rsidP="00E712B1">
      <w:pPr>
        <w:pStyle w:val="Heading1"/>
      </w:pPr>
      <w:r>
        <w:t xml:space="preserve">Organic residue analysis methods </w:t>
      </w:r>
    </w:p>
    <w:p w14:paraId="7FC237CD" w14:textId="4F76D936" w:rsidR="004D2AAA" w:rsidRDefault="00E712B1" w:rsidP="00E712B1">
      <w:pPr>
        <w:pStyle w:val="Heading2"/>
      </w:pPr>
      <w:r>
        <w:t xml:space="preserve">Preparation and extraction </w:t>
      </w:r>
    </w:p>
    <w:p w14:paraId="58E3BFF6" w14:textId="77777777"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 xml:space="preserve">Following common protocol for the extraction of absorbed residues, each ceramic sample was first ‘cleaned’ by removing the outer layer of the ceramic surface before collecting approximately 1-2g of ceramic powder by drilling into the pot. </w:t>
      </w:r>
    </w:p>
    <w:p w14:paraId="34483063" w14:textId="40B1E0FA"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 xml:space="preserve">An acidified methanol extraction (AE) method was applied to all samples following common procedure after </w:t>
      </w:r>
      <w:hyperlink r:id="rId12">
        <w:r>
          <w:rPr>
            <w:rFonts w:ascii="Calibri" w:eastAsia="Calibri" w:hAnsi="Calibri" w:cs="Calibri"/>
            <w:color w:val="000000"/>
            <w:sz w:val="24"/>
            <w:szCs w:val="24"/>
          </w:rPr>
          <w:t>(Correa-Ascencio and Evershed 2014)</w:t>
        </w:r>
      </w:hyperlink>
      <w:r>
        <w:rPr>
          <w:rFonts w:ascii="Calibri" w:eastAsia="Calibri" w:hAnsi="Calibri" w:cs="Calibri"/>
          <w:color w:val="333132"/>
          <w:sz w:val="24"/>
          <w:szCs w:val="24"/>
        </w:rPr>
        <w:t>. A mixture of methanol (4 mL) and sulphuric acid (800 µL) was added to 1 g of ceramic powder alongside an internal standard (10 µL of C</w:t>
      </w:r>
      <w:r>
        <w:rPr>
          <w:rFonts w:ascii="Calibri" w:eastAsia="Calibri" w:hAnsi="Calibri" w:cs="Calibri"/>
          <w:color w:val="333132"/>
          <w:sz w:val="24"/>
          <w:szCs w:val="24"/>
          <w:vertAlign w:val="subscript"/>
        </w:rPr>
        <w:t>34:0</w:t>
      </w:r>
      <w:r>
        <w:rPr>
          <w:rFonts w:ascii="Calibri" w:eastAsia="Calibri" w:hAnsi="Calibri" w:cs="Calibri"/>
          <w:color w:val="333132"/>
          <w:sz w:val="24"/>
          <w:szCs w:val="24"/>
        </w:rPr>
        <w:t xml:space="preserve">) before undergoing 4 hours of heating at 70°C.  The sample was </w:t>
      </w:r>
      <w:r w:rsidR="00FF699F">
        <w:rPr>
          <w:rFonts w:ascii="Calibri" w:eastAsia="Calibri" w:hAnsi="Calibri" w:cs="Calibri"/>
          <w:color w:val="333132"/>
          <w:sz w:val="24"/>
          <w:szCs w:val="24"/>
        </w:rPr>
        <w:t>centrifuged,</w:t>
      </w:r>
      <w:r>
        <w:rPr>
          <w:rFonts w:ascii="Calibri" w:eastAsia="Calibri" w:hAnsi="Calibri" w:cs="Calibri"/>
          <w:color w:val="333132"/>
          <w:sz w:val="24"/>
          <w:szCs w:val="24"/>
        </w:rPr>
        <w:t xml:space="preserve"> </w:t>
      </w:r>
      <w:r>
        <w:rPr>
          <w:rFonts w:ascii="Calibri" w:eastAsia="Calibri" w:hAnsi="Calibri" w:cs="Calibri"/>
          <w:color w:val="333132"/>
          <w:sz w:val="24"/>
          <w:szCs w:val="24"/>
        </w:rPr>
        <w:lastRenderedPageBreak/>
        <w:t xml:space="preserve">and the </w:t>
      </w:r>
      <w:r w:rsidR="00FF699F">
        <w:rPr>
          <w:rFonts w:ascii="Calibri" w:eastAsia="Calibri" w:hAnsi="Calibri" w:cs="Calibri"/>
          <w:color w:val="333132"/>
          <w:sz w:val="24"/>
          <w:szCs w:val="24"/>
        </w:rPr>
        <w:t xml:space="preserve">supernatant </w:t>
      </w:r>
      <w:r>
        <w:rPr>
          <w:rFonts w:ascii="Calibri" w:eastAsia="Calibri" w:hAnsi="Calibri" w:cs="Calibri"/>
          <w:color w:val="333132"/>
          <w:sz w:val="24"/>
          <w:szCs w:val="24"/>
        </w:rPr>
        <w:t>extracted from the pottery powder and transferred to a clean labelled hatch tube. The lipid extract was separated from the acid in hexane and the supernatant passed through a filter pipette to neutralize the sample with potassium carbonate (K</w:t>
      </w:r>
      <w:r>
        <w:rPr>
          <w:rFonts w:ascii="Calibri" w:eastAsia="Calibri" w:hAnsi="Calibri" w:cs="Calibri"/>
          <w:color w:val="333132"/>
          <w:sz w:val="24"/>
          <w:szCs w:val="24"/>
          <w:vertAlign w:val="subscript"/>
        </w:rPr>
        <w:t>2</w:t>
      </w:r>
      <w:r>
        <w:rPr>
          <w:rFonts w:ascii="Calibri" w:eastAsia="Calibri" w:hAnsi="Calibri" w:cs="Calibri"/>
          <w:color w:val="333132"/>
          <w:sz w:val="24"/>
          <w:szCs w:val="24"/>
        </w:rPr>
        <w:t>CO</w:t>
      </w:r>
      <w:r>
        <w:rPr>
          <w:rFonts w:ascii="Calibri" w:eastAsia="Calibri" w:hAnsi="Calibri" w:cs="Calibri"/>
          <w:color w:val="333132"/>
          <w:sz w:val="24"/>
          <w:szCs w:val="24"/>
          <w:vertAlign w:val="subscript"/>
        </w:rPr>
        <w:t>3</w:t>
      </w:r>
      <w:r>
        <w:rPr>
          <w:rFonts w:ascii="Calibri" w:eastAsia="Calibri" w:hAnsi="Calibri" w:cs="Calibri"/>
          <w:color w:val="333132"/>
          <w:sz w:val="24"/>
          <w:szCs w:val="24"/>
        </w:rPr>
        <w:t xml:space="preserve">). The samples were dried under a gentle stream of nitrogen, and then dissolved in </w:t>
      </w:r>
      <w:r>
        <w:rPr>
          <w:rFonts w:ascii="Calibri" w:eastAsia="Calibri" w:hAnsi="Calibri" w:cs="Calibri"/>
          <w:i/>
          <w:color w:val="333132"/>
          <w:sz w:val="24"/>
          <w:szCs w:val="24"/>
        </w:rPr>
        <w:t>n</w:t>
      </w:r>
      <w:r>
        <w:rPr>
          <w:rFonts w:ascii="Calibri" w:eastAsia="Calibri" w:hAnsi="Calibri" w:cs="Calibri"/>
          <w:color w:val="333132"/>
          <w:sz w:val="24"/>
          <w:szCs w:val="24"/>
        </w:rPr>
        <w:t>-hexane and transferred to an auto-sampling vial with a micro insert. A second internal standard (10 µL of C</w:t>
      </w:r>
      <w:r>
        <w:rPr>
          <w:rFonts w:ascii="Calibri" w:eastAsia="Calibri" w:hAnsi="Calibri" w:cs="Calibri"/>
          <w:color w:val="333132"/>
          <w:sz w:val="24"/>
          <w:szCs w:val="24"/>
          <w:vertAlign w:val="subscript"/>
        </w:rPr>
        <w:t>36:0</w:t>
      </w:r>
      <w:r>
        <w:rPr>
          <w:rFonts w:ascii="Calibri" w:eastAsia="Calibri" w:hAnsi="Calibri" w:cs="Calibri"/>
          <w:color w:val="333132"/>
          <w:sz w:val="24"/>
          <w:szCs w:val="24"/>
        </w:rPr>
        <w:t>) was added before analysis by GC techniques.</w:t>
      </w:r>
    </w:p>
    <w:p w14:paraId="50750EA5" w14:textId="77777777"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A solvent extraction (SE) was undertaken on 129 samples where it was possible to retain a further 1g of powder and samples were selected to represent a variety of results obtained by AE. A mixture of dichloromethane-methanol (DCM 2 : 1, v/v) was added to 1 g of ceramic sample. The samples were sonicated for 15 minutes and then centrifuged. The supernatant was transferred to a clean labelled hatch tube. These steps were performed three times. The solution was then dried to completion under a gentle stream of nitrogen.</w:t>
      </w:r>
    </w:p>
    <w:p w14:paraId="35BFB120" w14:textId="77777777"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 xml:space="preserve">The dried extracts from SE and some selected AEs were derivatized by adding </w:t>
      </w:r>
      <w:proofErr w:type="spellStart"/>
      <w:r>
        <w:rPr>
          <w:rFonts w:ascii="Calibri" w:eastAsia="Calibri" w:hAnsi="Calibri" w:cs="Calibri"/>
          <w:i/>
          <w:color w:val="333132"/>
          <w:sz w:val="24"/>
          <w:szCs w:val="24"/>
        </w:rPr>
        <w:t>N,O</w:t>
      </w:r>
      <w:proofErr w:type="spellEnd"/>
      <w:r>
        <w:rPr>
          <w:rFonts w:ascii="Calibri" w:eastAsia="Calibri" w:hAnsi="Calibri" w:cs="Calibri"/>
          <w:color w:val="333132"/>
          <w:sz w:val="24"/>
          <w:szCs w:val="24"/>
        </w:rPr>
        <w:t>-bis(trimethylsilyl)trifluoroacetamide (</w:t>
      </w:r>
      <w:proofErr w:type="spellStart"/>
      <w:r>
        <w:rPr>
          <w:rFonts w:ascii="Calibri" w:eastAsia="Calibri" w:hAnsi="Calibri" w:cs="Calibri"/>
          <w:color w:val="333132"/>
          <w:sz w:val="24"/>
          <w:szCs w:val="24"/>
        </w:rPr>
        <w:t>BSTFA</w:t>
      </w:r>
      <w:proofErr w:type="spellEnd"/>
      <w:r>
        <w:rPr>
          <w:rFonts w:ascii="Calibri" w:eastAsia="Calibri" w:hAnsi="Calibri" w:cs="Calibri"/>
          <w:color w:val="333132"/>
          <w:sz w:val="24"/>
          <w:szCs w:val="24"/>
        </w:rPr>
        <w:t xml:space="preserve">) with 1% trimethyl-chlorosilane and heated for 1 hour at 70°C. </w:t>
      </w:r>
      <w:r>
        <w:rPr>
          <w:rFonts w:ascii="Calibri" w:eastAsia="Calibri" w:hAnsi="Calibri" w:cs="Calibri"/>
          <w:i/>
          <w:color w:val="333132"/>
          <w:sz w:val="24"/>
          <w:szCs w:val="24"/>
        </w:rPr>
        <w:t>n</w:t>
      </w:r>
      <w:r>
        <w:rPr>
          <w:rFonts w:ascii="Calibri" w:eastAsia="Calibri" w:hAnsi="Calibri" w:cs="Calibri"/>
          <w:color w:val="333132"/>
          <w:sz w:val="24"/>
          <w:szCs w:val="24"/>
        </w:rPr>
        <w:t>-hexane was added to redissolve the extract before transferring to an auto-sampling vial which contained 10 µL of the second internal standard C</w:t>
      </w:r>
      <w:r>
        <w:rPr>
          <w:rFonts w:ascii="Calibri" w:eastAsia="Calibri" w:hAnsi="Calibri" w:cs="Calibri"/>
          <w:color w:val="333132"/>
          <w:sz w:val="24"/>
          <w:szCs w:val="24"/>
          <w:vertAlign w:val="subscript"/>
        </w:rPr>
        <w:t>36:0</w:t>
      </w:r>
      <w:r>
        <w:rPr>
          <w:rFonts w:ascii="Calibri" w:eastAsia="Calibri" w:hAnsi="Calibri" w:cs="Calibri"/>
          <w:color w:val="333132"/>
          <w:sz w:val="24"/>
          <w:szCs w:val="24"/>
        </w:rPr>
        <w:t xml:space="preserve"> for GC analysis.</w:t>
      </w:r>
    </w:p>
    <w:p w14:paraId="15FAE2A8" w14:textId="1BADABB1" w:rsidR="004D2AAA" w:rsidRDefault="00E712B1" w:rsidP="00E712B1">
      <w:pPr>
        <w:pStyle w:val="Heading2"/>
      </w:pPr>
      <w:bookmarkStart w:id="0" w:name="_8byq9xsughx6" w:colFirst="0" w:colLast="0"/>
      <w:bookmarkEnd w:id="0"/>
      <w:r>
        <w:t xml:space="preserve">Gas </w:t>
      </w:r>
      <w:r w:rsidR="00FF699F">
        <w:t>C</w:t>
      </w:r>
      <w:r>
        <w:t xml:space="preserve">hromatography- Flame </w:t>
      </w:r>
      <w:r w:rsidR="00FF699F">
        <w:t>I</w:t>
      </w:r>
      <w:r>
        <w:t xml:space="preserve">onization </w:t>
      </w:r>
      <w:r w:rsidR="00FF699F">
        <w:t>D</w:t>
      </w:r>
      <w:r>
        <w:t>etector (</w:t>
      </w:r>
      <w:r w:rsidR="00FF699F">
        <w:t>GC-</w:t>
      </w:r>
      <w:r>
        <w:t>FID)</w:t>
      </w:r>
    </w:p>
    <w:p w14:paraId="54D60C30" w14:textId="1E0DA3E0"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AEs and SEs were screened using</w:t>
      </w:r>
      <w:r w:rsidR="00FF699F">
        <w:rPr>
          <w:rFonts w:ascii="Calibri" w:eastAsia="Calibri" w:hAnsi="Calibri" w:cs="Calibri"/>
          <w:color w:val="333132"/>
          <w:sz w:val="24"/>
          <w:szCs w:val="24"/>
        </w:rPr>
        <w:t xml:space="preserve"> a</w:t>
      </w:r>
      <w:r>
        <w:rPr>
          <w:rFonts w:ascii="Calibri" w:eastAsia="Calibri" w:hAnsi="Calibri" w:cs="Calibri"/>
          <w:color w:val="333132"/>
          <w:sz w:val="24"/>
          <w:szCs w:val="24"/>
        </w:rPr>
        <w:t xml:space="preserve"> GC fitted with a flame ionization detector (FID) for quantification and general screening of preservation. An Agilent 7890A Series gas chromatograph  </w:t>
      </w:r>
      <w:r>
        <w:rPr>
          <w:rFonts w:ascii="Calibri" w:eastAsia="Calibri" w:hAnsi="Calibri" w:cs="Calibri"/>
          <w:sz w:val="24"/>
          <w:szCs w:val="24"/>
        </w:rPr>
        <w:t>(Agilent Technologies, Cheadle, Cheshire, UK)</w:t>
      </w:r>
      <w:r>
        <w:rPr>
          <w:rFonts w:ascii="Calibri" w:eastAsia="Calibri" w:hAnsi="Calibri" w:cs="Calibri"/>
          <w:color w:val="333132"/>
          <w:sz w:val="24"/>
          <w:szCs w:val="24"/>
        </w:rPr>
        <w:t xml:space="preserve"> fitted with a DB1-high temperature (HT) column (15 m × 0.32 mm × 0.1 µm). </w:t>
      </w:r>
      <w:r>
        <w:rPr>
          <w:rFonts w:ascii="Calibri" w:eastAsia="Calibri" w:hAnsi="Calibri" w:cs="Calibri"/>
          <w:color w:val="444746"/>
          <w:sz w:val="24"/>
          <w:szCs w:val="24"/>
        </w:rPr>
        <w:t xml:space="preserve">1 </w:t>
      </w:r>
      <w:proofErr w:type="spellStart"/>
      <w:r>
        <w:rPr>
          <w:rFonts w:ascii="Calibri" w:eastAsia="Calibri" w:hAnsi="Calibri" w:cs="Calibri"/>
          <w:color w:val="444746"/>
          <w:sz w:val="24"/>
          <w:szCs w:val="24"/>
        </w:rPr>
        <w:t>μ</w:t>
      </w:r>
      <w:r w:rsidR="00FF699F">
        <w:rPr>
          <w:rFonts w:ascii="Calibri" w:eastAsia="Calibri" w:hAnsi="Calibri" w:cs="Calibri"/>
          <w:color w:val="444746"/>
          <w:sz w:val="24"/>
          <w:szCs w:val="24"/>
        </w:rPr>
        <w:t>L</w:t>
      </w:r>
      <w:proofErr w:type="spellEnd"/>
      <w:r>
        <w:rPr>
          <w:rFonts w:ascii="Calibri" w:eastAsia="Calibri" w:hAnsi="Calibri" w:cs="Calibri"/>
          <w:color w:val="333132"/>
          <w:sz w:val="24"/>
          <w:szCs w:val="24"/>
        </w:rPr>
        <w:t xml:space="preserve"> of the extract was injected via a </w:t>
      </w:r>
      <w:proofErr w:type="spellStart"/>
      <w:r>
        <w:rPr>
          <w:rFonts w:ascii="Calibri" w:eastAsia="Calibri" w:hAnsi="Calibri" w:cs="Calibri"/>
          <w:color w:val="333132"/>
          <w:sz w:val="24"/>
          <w:szCs w:val="24"/>
        </w:rPr>
        <w:t>splitless</w:t>
      </w:r>
      <w:proofErr w:type="spellEnd"/>
      <w:r>
        <w:rPr>
          <w:rFonts w:ascii="Calibri" w:eastAsia="Calibri" w:hAnsi="Calibri" w:cs="Calibri"/>
          <w:color w:val="333132"/>
          <w:sz w:val="24"/>
          <w:szCs w:val="24"/>
        </w:rPr>
        <w:t xml:space="preserve"> injector maintained at a temperature of 300°C. </w:t>
      </w:r>
      <w:r>
        <w:rPr>
          <w:rFonts w:ascii="Calibri" w:eastAsia="Calibri" w:hAnsi="Calibri" w:cs="Calibri"/>
          <w:sz w:val="24"/>
          <w:szCs w:val="24"/>
        </w:rPr>
        <w:t>The temperature program was set at 100°C for 2 minutes, which rose by 20°C/min until 325°C, where it was held for 3 min.</w:t>
      </w:r>
      <w:r>
        <w:rPr>
          <w:rFonts w:ascii="Calibri" w:eastAsia="Calibri" w:hAnsi="Calibri" w:cs="Calibri"/>
          <w:color w:val="333132"/>
          <w:sz w:val="24"/>
          <w:szCs w:val="24"/>
        </w:rPr>
        <w:t xml:space="preserve"> For SEs, the temperature of the column was kept at 50°C for 2 min and then increased by 10°C every minute until a final temperature of 375°C was reached. A temperature of 375°C was then held for 10 min.</w:t>
      </w:r>
    </w:p>
    <w:p w14:paraId="329E8061" w14:textId="1D95044C" w:rsidR="004D2AAA" w:rsidRDefault="00E712B1" w:rsidP="00E712B1">
      <w:pPr>
        <w:pStyle w:val="Heading2"/>
      </w:pPr>
      <w:r>
        <w:t>Gas Chromatography- Mass Spectrometry (GCMS)</w:t>
      </w:r>
    </w:p>
    <w:p w14:paraId="05AFD525" w14:textId="32DE992C"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444746"/>
          <w:sz w:val="24"/>
          <w:szCs w:val="24"/>
        </w:rPr>
        <w:t xml:space="preserve">Extracts were also </w:t>
      </w:r>
      <w:r w:rsidR="00FF699F">
        <w:rPr>
          <w:rFonts w:ascii="Calibri" w:eastAsia="Calibri" w:hAnsi="Calibri" w:cs="Calibri"/>
          <w:color w:val="444746"/>
          <w:sz w:val="24"/>
          <w:szCs w:val="24"/>
        </w:rPr>
        <w:t>analysed</w:t>
      </w:r>
      <w:r>
        <w:rPr>
          <w:rFonts w:ascii="Calibri" w:eastAsia="Calibri" w:hAnsi="Calibri" w:cs="Calibri"/>
          <w:color w:val="444746"/>
          <w:sz w:val="24"/>
          <w:szCs w:val="24"/>
        </w:rPr>
        <w:t xml:space="preserve"> by GC-MS using a Shimadzu GCMS-QP2010Ultra. The inlet temperature was set to 300°C and 1 </w:t>
      </w:r>
      <w:proofErr w:type="spellStart"/>
      <w:r>
        <w:rPr>
          <w:rFonts w:ascii="Calibri" w:eastAsia="Calibri" w:hAnsi="Calibri" w:cs="Calibri"/>
          <w:color w:val="444746"/>
          <w:sz w:val="24"/>
          <w:szCs w:val="24"/>
        </w:rPr>
        <w:t>μL</w:t>
      </w:r>
      <w:proofErr w:type="spellEnd"/>
      <w:r>
        <w:rPr>
          <w:rFonts w:ascii="Calibri" w:eastAsia="Calibri" w:hAnsi="Calibri" w:cs="Calibri"/>
          <w:color w:val="444746"/>
          <w:sz w:val="24"/>
          <w:szCs w:val="24"/>
        </w:rPr>
        <w:t xml:space="preserve"> sample was injected using the </w:t>
      </w:r>
      <w:proofErr w:type="spellStart"/>
      <w:r>
        <w:rPr>
          <w:rFonts w:ascii="Calibri" w:eastAsia="Calibri" w:hAnsi="Calibri" w:cs="Calibri"/>
          <w:color w:val="444746"/>
          <w:sz w:val="24"/>
          <w:szCs w:val="24"/>
        </w:rPr>
        <w:t>splitless</w:t>
      </w:r>
      <w:proofErr w:type="spellEnd"/>
      <w:r>
        <w:rPr>
          <w:rFonts w:ascii="Calibri" w:eastAsia="Calibri" w:hAnsi="Calibri" w:cs="Calibri"/>
          <w:color w:val="444746"/>
          <w:sz w:val="24"/>
          <w:szCs w:val="24"/>
        </w:rPr>
        <w:t xml:space="preserve"> injection method. An Ultra ALLOY-5 (Frontier Laboratories Ltd., Japan: 30 m × 0.25 mm, film thickness 0.25 μm) column was used. The oven temperature was set to 50°C for 1 minute, raised to 280°C at 20°C</w:t>
      </w:r>
      <w:r w:rsidR="00FF699F">
        <w:rPr>
          <w:rFonts w:ascii="Calibri" w:eastAsia="Calibri" w:hAnsi="Calibri" w:cs="Calibri"/>
          <w:color w:val="444746"/>
          <w:sz w:val="24"/>
          <w:szCs w:val="24"/>
        </w:rPr>
        <w:t xml:space="preserve"> every </w:t>
      </w:r>
      <w:r>
        <w:rPr>
          <w:rFonts w:ascii="Calibri" w:eastAsia="Calibri" w:hAnsi="Calibri" w:cs="Calibri"/>
          <w:color w:val="444746"/>
          <w:sz w:val="24"/>
          <w:szCs w:val="24"/>
        </w:rPr>
        <w:t>min</w:t>
      </w:r>
      <w:r w:rsidR="00FF699F">
        <w:rPr>
          <w:rFonts w:ascii="Calibri" w:eastAsia="Calibri" w:hAnsi="Calibri" w:cs="Calibri"/>
          <w:color w:val="444746"/>
          <w:sz w:val="24"/>
          <w:szCs w:val="24"/>
        </w:rPr>
        <w:t>ute</w:t>
      </w:r>
      <w:r>
        <w:rPr>
          <w:rFonts w:ascii="Calibri" w:eastAsia="Calibri" w:hAnsi="Calibri" w:cs="Calibri"/>
          <w:color w:val="444746"/>
          <w:sz w:val="24"/>
          <w:szCs w:val="24"/>
        </w:rPr>
        <w:t>, then raised to 325°C at 5°C</w:t>
      </w:r>
      <w:r w:rsidR="00FF699F">
        <w:rPr>
          <w:rFonts w:ascii="Calibri" w:eastAsia="Calibri" w:hAnsi="Calibri" w:cs="Calibri"/>
          <w:color w:val="444746"/>
          <w:sz w:val="24"/>
          <w:szCs w:val="24"/>
        </w:rPr>
        <w:t xml:space="preserve"> every </w:t>
      </w:r>
      <w:r>
        <w:rPr>
          <w:rFonts w:ascii="Calibri" w:eastAsia="Calibri" w:hAnsi="Calibri" w:cs="Calibri"/>
          <w:color w:val="444746"/>
          <w:sz w:val="24"/>
          <w:szCs w:val="24"/>
        </w:rPr>
        <w:t>min</w:t>
      </w:r>
      <w:r w:rsidR="00FF699F">
        <w:rPr>
          <w:rFonts w:ascii="Calibri" w:eastAsia="Calibri" w:hAnsi="Calibri" w:cs="Calibri"/>
          <w:color w:val="444746"/>
          <w:sz w:val="24"/>
          <w:szCs w:val="24"/>
        </w:rPr>
        <w:t>ute</w:t>
      </w:r>
      <w:r>
        <w:rPr>
          <w:rFonts w:ascii="Calibri" w:eastAsia="Calibri" w:hAnsi="Calibri" w:cs="Calibri"/>
          <w:color w:val="444746"/>
          <w:sz w:val="24"/>
          <w:szCs w:val="24"/>
        </w:rPr>
        <w:t>, and held for 8.5 minutes. The ion source temperature was set to 230°C and ionization voltage to 70 eV. Helium was the carrier gas, with a flow of 3 m</w:t>
      </w:r>
      <w:r w:rsidR="00FF699F">
        <w:rPr>
          <w:rFonts w:ascii="Calibri" w:eastAsia="Calibri" w:hAnsi="Calibri" w:cs="Calibri"/>
          <w:color w:val="444746"/>
          <w:sz w:val="24"/>
          <w:szCs w:val="24"/>
        </w:rPr>
        <w:t xml:space="preserve">L per </w:t>
      </w:r>
      <w:r>
        <w:rPr>
          <w:rFonts w:ascii="Calibri" w:eastAsia="Calibri" w:hAnsi="Calibri" w:cs="Calibri"/>
          <w:color w:val="444746"/>
          <w:sz w:val="24"/>
          <w:szCs w:val="24"/>
        </w:rPr>
        <w:t>min</w:t>
      </w:r>
      <w:r w:rsidR="00FF699F">
        <w:rPr>
          <w:rFonts w:ascii="Calibri" w:eastAsia="Calibri" w:hAnsi="Calibri" w:cs="Calibri"/>
          <w:color w:val="444746"/>
          <w:sz w:val="24"/>
          <w:szCs w:val="24"/>
        </w:rPr>
        <w:t>ute</w:t>
      </w:r>
      <w:r>
        <w:rPr>
          <w:rFonts w:ascii="Calibri" w:eastAsia="Calibri" w:hAnsi="Calibri" w:cs="Calibri"/>
          <w:color w:val="444746"/>
          <w:sz w:val="24"/>
          <w:szCs w:val="24"/>
        </w:rPr>
        <w:t xml:space="preserve">. </w:t>
      </w:r>
      <w:r>
        <w:rPr>
          <w:rFonts w:ascii="Calibri" w:eastAsia="Calibri" w:hAnsi="Calibri" w:cs="Calibri"/>
          <w:color w:val="333132"/>
          <w:sz w:val="24"/>
          <w:szCs w:val="24"/>
        </w:rPr>
        <w:t xml:space="preserve">A separate temperature program and selected ion monitoring (SIM) mode was used to target different ion groups of </w:t>
      </w:r>
      <w:r w:rsidR="00FF699F">
        <w:rPr>
          <w:rFonts w:ascii="Calibri" w:eastAsia="Calibri" w:hAnsi="Calibri" w:cs="Calibri"/>
          <w:color w:val="333132"/>
          <w:sz w:val="24"/>
          <w:szCs w:val="24"/>
        </w:rPr>
        <w:t>miliacin</w:t>
      </w:r>
      <w:r>
        <w:rPr>
          <w:rFonts w:ascii="Calibri" w:eastAsia="Calibri" w:hAnsi="Calibri" w:cs="Calibri"/>
          <w:color w:val="333132"/>
          <w:sz w:val="24"/>
          <w:szCs w:val="24"/>
        </w:rPr>
        <w:t xml:space="preserve"> (</w:t>
      </w:r>
      <w:r>
        <w:rPr>
          <w:rFonts w:ascii="Calibri" w:eastAsia="Calibri" w:hAnsi="Calibri" w:cs="Calibri"/>
          <w:i/>
          <w:color w:val="333132"/>
          <w:sz w:val="24"/>
          <w:szCs w:val="24"/>
        </w:rPr>
        <w:t>m/z</w:t>
      </w:r>
      <w:r>
        <w:rPr>
          <w:rFonts w:ascii="Calibri" w:eastAsia="Calibri" w:hAnsi="Calibri" w:cs="Calibri"/>
          <w:color w:val="333132"/>
          <w:sz w:val="24"/>
          <w:szCs w:val="24"/>
        </w:rPr>
        <w:t xml:space="preserve"> 189, 204, 231, 425, 440). Alternatively, </w:t>
      </w:r>
      <w:r>
        <w:rPr>
          <w:rFonts w:ascii="Calibri" w:eastAsia="Calibri" w:hAnsi="Calibri" w:cs="Calibri"/>
          <w:sz w:val="24"/>
          <w:szCs w:val="24"/>
        </w:rPr>
        <w:t xml:space="preserve">GC-MS analysis was performed on a Trace Ultra gas </w:t>
      </w:r>
      <w:r>
        <w:rPr>
          <w:rFonts w:ascii="Calibri" w:eastAsia="Calibri" w:hAnsi="Calibri" w:cs="Calibri"/>
          <w:sz w:val="24"/>
          <w:szCs w:val="24"/>
        </w:rPr>
        <w:lastRenderedPageBreak/>
        <w:t>chromatograph with a ISQ mass spectrometer (</w:t>
      </w:r>
      <w:proofErr w:type="spellStart"/>
      <w:r>
        <w:rPr>
          <w:rFonts w:ascii="Calibri" w:eastAsia="Calibri" w:hAnsi="Calibri" w:cs="Calibri"/>
          <w:sz w:val="24"/>
          <w:szCs w:val="24"/>
        </w:rPr>
        <w:t>Thermo</w:t>
      </w:r>
      <w:proofErr w:type="spellEnd"/>
      <w:r>
        <w:rPr>
          <w:rFonts w:ascii="Calibri" w:eastAsia="Calibri" w:hAnsi="Calibri" w:cs="Calibri"/>
          <w:sz w:val="24"/>
          <w:szCs w:val="24"/>
        </w:rPr>
        <w:t xml:space="preserve"> Fisher). </w:t>
      </w:r>
      <w:r>
        <w:rPr>
          <w:rFonts w:ascii="Calibri" w:eastAsia="Calibri" w:hAnsi="Calibri" w:cs="Calibri"/>
          <w:color w:val="444746"/>
          <w:sz w:val="24"/>
          <w:szCs w:val="24"/>
        </w:rPr>
        <w:t xml:space="preserve">1 </w:t>
      </w:r>
      <w:proofErr w:type="spellStart"/>
      <w:r>
        <w:rPr>
          <w:rFonts w:ascii="Calibri" w:eastAsia="Calibri" w:hAnsi="Calibri" w:cs="Calibri"/>
          <w:color w:val="444746"/>
          <w:sz w:val="24"/>
          <w:szCs w:val="24"/>
        </w:rPr>
        <w:t>μ</w:t>
      </w:r>
      <w:r w:rsidR="00FF699F">
        <w:rPr>
          <w:rFonts w:ascii="Calibri" w:eastAsia="Calibri" w:hAnsi="Calibri" w:cs="Calibri"/>
          <w:color w:val="444746"/>
          <w:sz w:val="24"/>
          <w:szCs w:val="24"/>
        </w:rPr>
        <w:t>L</w:t>
      </w:r>
      <w:proofErr w:type="spellEnd"/>
      <w:r w:rsidR="00FF699F">
        <w:rPr>
          <w:rFonts w:ascii="Calibri" w:eastAsia="Calibri" w:hAnsi="Calibri" w:cs="Calibri"/>
          <w:color w:val="444746"/>
          <w:sz w:val="24"/>
          <w:szCs w:val="24"/>
        </w:rPr>
        <w:t xml:space="preserve"> of</w:t>
      </w:r>
      <w:r>
        <w:rPr>
          <w:rFonts w:ascii="Calibri" w:eastAsia="Calibri" w:hAnsi="Calibri" w:cs="Calibri"/>
          <w:color w:val="444746"/>
          <w:sz w:val="24"/>
          <w:szCs w:val="24"/>
        </w:rPr>
        <w:t xml:space="preserve"> sample was introduced to the GC-MS using the </w:t>
      </w:r>
      <w:proofErr w:type="spellStart"/>
      <w:r>
        <w:rPr>
          <w:rFonts w:ascii="Calibri" w:eastAsia="Calibri" w:hAnsi="Calibri" w:cs="Calibri"/>
          <w:color w:val="444746"/>
          <w:sz w:val="24"/>
          <w:szCs w:val="24"/>
        </w:rPr>
        <w:t>splitless</w:t>
      </w:r>
      <w:proofErr w:type="spellEnd"/>
      <w:r>
        <w:rPr>
          <w:rFonts w:ascii="Calibri" w:eastAsia="Calibri" w:hAnsi="Calibri" w:cs="Calibri"/>
          <w:color w:val="444746"/>
          <w:sz w:val="24"/>
          <w:szCs w:val="24"/>
        </w:rPr>
        <w:t xml:space="preserve"> injection method. </w:t>
      </w:r>
      <w:r>
        <w:rPr>
          <w:rFonts w:ascii="Calibri" w:eastAsia="Calibri" w:hAnsi="Calibri" w:cs="Calibri"/>
          <w:sz w:val="24"/>
          <w:szCs w:val="24"/>
        </w:rPr>
        <w:t xml:space="preserve">A DB5-ms (5%-phenyl)-methylpolysiloxane column (30 m × 0.32 mm × 0.25 µm; </w:t>
      </w:r>
      <w:proofErr w:type="spellStart"/>
      <w:r>
        <w:rPr>
          <w:rFonts w:ascii="Calibri" w:eastAsia="Calibri" w:hAnsi="Calibri" w:cs="Calibri"/>
          <w:sz w:val="24"/>
          <w:szCs w:val="24"/>
        </w:rPr>
        <w:t>J&amp;W</w:t>
      </w:r>
      <w:proofErr w:type="spellEnd"/>
      <w:r>
        <w:rPr>
          <w:rFonts w:ascii="Calibri" w:eastAsia="Calibri" w:hAnsi="Calibri" w:cs="Calibri"/>
          <w:sz w:val="24"/>
          <w:szCs w:val="24"/>
        </w:rPr>
        <w:t xml:space="preserve"> Scientific, Folsom, CA, USA)</w:t>
      </w:r>
      <w:r w:rsidR="00FF699F">
        <w:rPr>
          <w:rFonts w:ascii="Calibri" w:eastAsia="Calibri" w:hAnsi="Calibri" w:cs="Calibri"/>
          <w:sz w:val="24"/>
          <w:szCs w:val="24"/>
        </w:rPr>
        <w:t xml:space="preserve"> was used</w:t>
      </w:r>
      <w:r>
        <w:rPr>
          <w:rFonts w:ascii="Calibri" w:eastAsia="Calibri" w:hAnsi="Calibri" w:cs="Calibri"/>
          <w:sz w:val="24"/>
          <w:szCs w:val="24"/>
        </w:rPr>
        <w:t xml:space="preserve">. The </w:t>
      </w:r>
      <w:proofErr w:type="spellStart"/>
      <w:r>
        <w:rPr>
          <w:rFonts w:ascii="Calibri" w:eastAsia="Calibri" w:hAnsi="Calibri" w:cs="Calibri"/>
          <w:sz w:val="24"/>
          <w:szCs w:val="24"/>
        </w:rPr>
        <w:t>splitless</w:t>
      </w:r>
      <w:proofErr w:type="spellEnd"/>
      <w:r>
        <w:rPr>
          <w:rFonts w:ascii="Calibri" w:eastAsia="Calibri" w:hAnsi="Calibri" w:cs="Calibri"/>
          <w:sz w:val="24"/>
          <w:szCs w:val="24"/>
        </w:rPr>
        <w:t xml:space="preserve"> injector and interface were maintained at 300°C and 340 °C respectively. Helium was the carrier gas at constant inlet pressure. The ionisation energy was 70 eV and spectra were obtained by scanning between</w:t>
      </w:r>
      <w:r>
        <w:rPr>
          <w:rFonts w:ascii="Calibri" w:eastAsia="Calibri" w:hAnsi="Calibri" w:cs="Calibri"/>
          <w:i/>
          <w:sz w:val="24"/>
          <w:szCs w:val="24"/>
        </w:rPr>
        <w:t xml:space="preserve"> m/z</w:t>
      </w:r>
      <w:r>
        <w:rPr>
          <w:rFonts w:ascii="Calibri" w:eastAsia="Calibri" w:hAnsi="Calibri" w:cs="Calibri"/>
          <w:sz w:val="24"/>
          <w:szCs w:val="24"/>
        </w:rPr>
        <w:t xml:space="preserve"> 50 and 800. The oven temperature programme was set to 50°C for 2 minutes and raised by 10°C every minute until a temperature of 325°C was reached. The final temperature of 325°C was then held for 15 minutes.</w:t>
      </w:r>
    </w:p>
    <w:p w14:paraId="45909FFE" w14:textId="7C086665"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 xml:space="preserve">AEs were also analysed using an Agilent 7890A series chromatograph attached to an MS Agilent 5975 Inert XL mass selective detector with a quadrupole mass analyser (Agilent Technologies, Cheadle, UK) equipped with a DB-23 (50%-Cyanopropyl)-methylpolysiloxane column (60 m × 0.250 mm × 0.25 µm; </w:t>
      </w:r>
      <w:proofErr w:type="spellStart"/>
      <w:r>
        <w:rPr>
          <w:rFonts w:ascii="Calibri" w:eastAsia="Calibri" w:hAnsi="Calibri" w:cs="Calibri"/>
          <w:color w:val="333132"/>
          <w:sz w:val="24"/>
          <w:szCs w:val="24"/>
        </w:rPr>
        <w:t>J&amp;W</w:t>
      </w:r>
      <w:proofErr w:type="spellEnd"/>
      <w:r>
        <w:rPr>
          <w:rFonts w:ascii="Calibri" w:eastAsia="Calibri" w:hAnsi="Calibri" w:cs="Calibri"/>
          <w:color w:val="333132"/>
          <w:sz w:val="24"/>
          <w:szCs w:val="24"/>
        </w:rPr>
        <w:t xml:space="preserve"> Scientific, Folsom, CA, USA). The temperature of the column was kept at 50°C for 2 minutes and then increased by 10°C every minute until 100°C. The temperature increased then until 140°C by 4°C every minute, then until 160°C by 0.5°C every minute and finally until 250°C by 20°C every minute. A SIM mode was used to target different groups of ions. These groups were: </w:t>
      </w:r>
      <w:r>
        <w:rPr>
          <w:rFonts w:ascii="Calibri" w:eastAsia="Calibri" w:hAnsi="Calibri" w:cs="Calibri"/>
          <w:i/>
          <w:color w:val="333132"/>
          <w:sz w:val="24"/>
          <w:szCs w:val="24"/>
        </w:rPr>
        <w:t>m/z</w:t>
      </w:r>
      <w:r>
        <w:rPr>
          <w:rFonts w:ascii="Calibri" w:eastAsia="Calibri" w:hAnsi="Calibri" w:cs="Calibri"/>
          <w:color w:val="333132"/>
          <w:sz w:val="24"/>
          <w:szCs w:val="24"/>
        </w:rPr>
        <w:t xml:space="preserve"> 74, 105, 262, 290, 318 and 346 for the detection of ω-(o-alkyl phenyl)alkanoic acids of carbon lengths C</w:t>
      </w:r>
      <w:r>
        <w:rPr>
          <w:rFonts w:ascii="Calibri" w:eastAsia="Calibri" w:hAnsi="Calibri" w:cs="Calibri"/>
          <w:color w:val="333132"/>
          <w:sz w:val="24"/>
          <w:szCs w:val="24"/>
          <w:vertAlign w:val="subscript"/>
        </w:rPr>
        <w:t>16</w:t>
      </w:r>
      <w:r>
        <w:rPr>
          <w:rFonts w:ascii="Calibri" w:eastAsia="Calibri" w:hAnsi="Calibri" w:cs="Calibri"/>
          <w:color w:val="333132"/>
          <w:sz w:val="24"/>
          <w:szCs w:val="24"/>
        </w:rPr>
        <w:t xml:space="preserve"> to C</w:t>
      </w:r>
      <w:r>
        <w:rPr>
          <w:rFonts w:ascii="Calibri" w:eastAsia="Calibri" w:hAnsi="Calibri" w:cs="Calibri"/>
          <w:color w:val="333132"/>
          <w:sz w:val="24"/>
          <w:szCs w:val="24"/>
          <w:vertAlign w:val="subscript"/>
        </w:rPr>
        <w:t>22</w:t>
      </w:r>
      <w:r>
        <w:rPr>
          <w:rFonts w:ascii="Calibri" w:eastAsia="Calibri" w:hAnsi="Calibri" w:cs="Calibri"/>
          <w:color w:val="333132"/>
          <w:sz w:val="24"/>
          <w:szCs w:val="24"/>
        </w:rPr>
        <w:t xml:space="preserve"> (APAA</w:t>
      </w:r>
      <w:r>
        <w:rPr>
          <w:rFonts w:ascii="Calibri" w:eastAsia="Calibri" w:hAnsi="Calibri" w:cs="Calibri"/>
          <w:color w:val="333132"/>
          <w:sz w:val="24"/>
          <w:szCs w:val="24"/>
          <w:vertAlign w:val="subscript"/>
        </w:rPr>
        <w:t>16–22</w:t>
      </w:r>
      <w:r>
        <w:rPr>
          <w:rFonts w:ascii="Calibri" w:eastAsia="Calibri" w:hAnsi="Calibri" w:cs="Calibri"/>
          <w:color w:val="333132"/>
          <w:sz w:val="24"/>
          <w:szCs w:val="24"/>
        </w:rPr>
        <w:t xml:space="preserve">), </w:t>
      </w:r>
      <w:r>
        <w:rPr>
          <w:rFonts w:ascii="Calibri" w:eastAsia="Calibri" w:hAnsi="Calibri" w:cs="Calibri"/>
          <w:i/>
          <w:color w:val="333132"/>
          <w:sz w:val="24"/>
          <w:szCs w:val="24"/>
        </w:rPr>
        <w:t>m/z</w:t>
      </w:r>
      <w:r>
        <w:rPr>
          <w:rFonts w:ascii="Calibri" w:eastAsia="Calibri" w:hAnsi="Calibri" w:cs="Calibri"/>
          <w:color w:val="333132"/>
          <w:sz w:val="24"/>
          <w:szCs w:val="24"/>
        </w:rPr>
        <w:t xml:space="preserve"> 74, 87, 213, 270 for </w:t>
      </w:r>
      <w:proofErr w:type="spellStart"/>
      <w:r>
        <w:rPr>
          <w:rFonts w:ascii="Calibri" w:eastAsia="Calibri" w:hAnsi="Calibri" w:cs="Calibri"/>
          <w:color w:val="333132"/>
          <w:sz w:val="24"/>
          <w:szCs w:val="24"/>
        </w:rPr>
        <w:t>TMTD</w:t>
      </w:r>
      <w:proofErr w:type="spellEnd"/>
      <w:r>
        <w:rPr>
          <w:rFonts w:ascii="Calibri" w:eastAsia="Calibri" w:hAnsi="Calibri" w:cs="Calibri"/>
          <w:color w:val="333132"/>
          <w:sz w:val="24"/>
          <w:szCs w:val="24"/>
        </w:rPr>
        <w:t xml:space="preserve">, </w:t>
      </w:r>
      <w:r>
        <w:rPr>
          <w:rFonts w:ascii="Calibri" w:eastAsia="Calibri" w:hAnsi="Calibri" w:cs="Calibri"/>
          <w:i/>
          <w:color w:val="333132"/>
          <w:sz w:val="24"/>
          <w:szCs w:val="24"/>
        </w:rPr>
        <w:t>m/z</w:t>
      </w:r>
      <w:r>
        <w:rPr>
          <w:rFonts w:ascii="Calibri" w:eastAsia="Calibri" w:hAnsi="Calibri" w:cs="Calibri"/>
          <w:color w:val="333132"/>
          <w:sz w:val="24"/>
          <w:szCs w:val="24"/>
        </w:rPr>
        <w:t xml:space="preserve"> 74, 88, 101, 312 for </w:t>
      </w:r>
      <w:proofErr w:type="spellStart"/>
      <w:r>
        <w:rPr>
          <w:rFonts w:ascii="Calibri" w:eastAsia="Calibri" w:hAnsi="Calibri" w:cs="Calibri"/>
          <w:color w:val="333132"/>
          <w:sz w:val="24"/>
          <w:szCs w:val="24"/>
        </w:rPr>
        <w:t>pristanic</w:t>
      </w:r>
      <w:proofErr w:type="spellEnd"/>
      <w:r>
        <w:rPr>
          <w:rFonts w:ascii="Calibri" w:eastAsia="Calibri" w:hAnsi="Calibri" w:cs="Calibri"/>
          <w:color w:val="333132"/>
          <w:sz w:val="24"/>
          <w:szCs w:val="24"/>
        </w:rPr>
        <w:t xml:space="preserve"> acid, </w:t>
      </w:r>
      <w:r>
        <w:rPr>
          <w:rFonts w:ascii="Calibri" w:eastAsia="Calibri" w:hAnsi="Calibri" w:cs="Calibri"/>
          <w:i/>
          <w:color w:val="333132"/>
          <w:sz w:val="24"/>
          <w:szCs w:val="24"/>
        </w:rPr>
        <w:t>m/z</w:t>
      </w:r>
      <w:r>
        <w:rPr>
          <w:rFonts w:ascii="Calibri" w:eastAsia="Calibri" w:hAnsi="Calibri" w:cs="Calibri"/>
          <w:color w:val="333132"/>
          <w:sz w:val="24"/>
          <w:szCs w:val="24"/>
        </w:rPr>
        <w:t xml:space="preserve"> 74, 101, 171, 326 for phytanic acid</w:t>
      </w:r>
      <w:r w:rsidR="00FF699F">
        <w:rPr>
          <w:rFonts w:ascii="Calibri" w:eastAsia="Calibri" w:hAnsi="Calibri" w:cs="Calibri"/>
          <w:color w:val="333132"/>
          <w:sz w:val="24"/>
          <w:szCs w:val="24"/>
        </w:rPr>
        <w:t>.</w:t>
      </w:r>
    </w:p>
    <w:p w14:paraId="5856ABEA" w14:textId="41FA271E"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For SEs, a HT column and programme were used to detect the presence of tri-, di and mono-acylglycerols (</w:t>
      </w:r>
      <w:proofErr w:type="spellStart"/>
      <w:r>
        <w:rPr>
          <w:rFonts w:ascii="Calibri" w:eastAsia="Calibri" w:hAnsi="Calibri" w:cs="Calibri"/>
          <w:color w:val="333132"/>
          <w:sz w:val="24"/>
          <w:szCs w:val="24"/>
        </w:rPr>
        <w:t>TAGs</w:t>
      </w:r>
      <w:proofErr w:type="spellEnd"/>
      <w:r>
        <w:rPr>
          <w:rFonts w:ascii="Calibri" w:eastAsia="Calibri" w:hAnsi="Calibri" w:cs="Calibri"/>
          <w:color w:val="333132"/>
          <w:sz w:val="24"/>
          <w:szCs w:val="24"/>
        </w:rPr>
        <w:t xml:space="preserve">, </w:t>
      </w:r>
      <w:proofErr w:type="spellStart"/>
      <w:r>
        <w:rPr>
          <w:rFonts w:ascii="Calibri" w:eastAsia="Calibri" w:hAnsi="Calibri" w:cs="Calibri"/>
          <w:color w:val="333132"/>
          <w:sz w:val="24"/>
          <w:szCs w:val="24"/>
        </w:rPr>
        <w:t>DAGs</w:t>
      </w:r>
      <w:proofErr w:type="spellEnd"/>
      <w:r>
        <w:rPr>
          <w:rFonts w:ascii="Calibri" w:eastAsia="Calibri" w:hAnsi="Calibri" w:cs="Calibri"/>
          <w:color w:val="333132"/>
          <w:sz w:val="24"/>
          <w:szCs w:val="24"/>
        </w:rPr>
        <w:t xml:space="preserve"> and </w:t>
      </w:r>
      <w:proofErr w:type="spellStart"/>
      <w:r>
        <w:rPr>
          <w:rFonts w:ascii="Calibri" w:eastAsia="Calibri" w:hAnsi="Calibri" w:cs="Calibri"/>
          <w:color w:val="333132"/>
          <w:sz w:val="24"/>
          <w:szCs w:val="24"/>
        </w:rPr>
        <w:t>MAGs</w:t>
      </w:r>
      <w:proofErr w:type="spellEnd"/>
      <w:r>
        <w:rPr>
          <w:rFonts w:ascii="Calibri" w:eastAsia="Calibri" w:hAnsi="Calibri" w:cs="Calibri"/>
          <w:color w:val="333132"/>
          <w:sz w:val="24"/>
          <w:szCs w:val="24"/>
        </w:rPr>
        <w:t xml:space="preserve">) and wax esters. A Perkin Elmer Clarus 690 GC coupled to a SQ8-T Mass Spectrometer (PerkinElmer Inc., USA) was used equipped with a DB5-HT column (30 m × 0.25 mm × 0.1 µm). </w:t>
      </w:r>
      <w:r>
        <w:rPr>
          <w:rFonts w:ascii="Calibri" w:eastAsia="Calibri" w:hAnsi="Calibri" w:cs="Calibri"/>
          <w:color w:val="444746"/>
          <w:sz w:val="24"/>
          <w:szCs w:val="24"/>
        </w:rPr>
        <w:t xml:space="preserve">1 </w:t>
      </w:r>
      <w:proofErr w:type="spellStart"/>
      <w:r>
        <w:rPr>
          <w:rFonts w:ascii="Calibri" w:eastAsia="Calibri" w:hAnsi="Calibri" w:cs="Calibri"/>
          <w:color w:val="444746"/>
          <w:sz w:val="24"/>
          <w:szCs w:val="24"/>
        </w:rPr>
        <w:t>μ</w:t>
      </w:r>
      <w:r w:rsidR="00FF699F">
        <w:rPr>
          <w:rFonts w:ascii="Calibri" w:eastAsia="Calibri" w:hAnsi="Calibri" w:cs="Calibri"/>
          <w:color w:val="444746"/>
          <w:sz w:val="24"/>
          <w:szCs w:val="24"/>
        </w:rPr>
        <w:t>L</w:t>
      </w:r>
      <w:proofErr w:type="spellEnd"/>
      <w:r>
        <w:rPr>
          <w:rFonts w:ascii="Calibri" w:eastAsia="Calibri" w:hAnsi="Calibri" w:cs="Calibri"/>
          <w:color w:val="333132"/>
          <w:sz w:val="24"/>
          <w:szCs w:val="24"/>
        </w:rPr>
        <w:t xml:space="preserve"> of the extract was injected directly onto the column. The temperature of the column was kept at 50°C for 2 min and then increased by 10°C every minute until a final temperature of 375°C was reached. To target ions specific to alkylresorcinols SEs were analysed using the same chromatographic conditions with the mass spectrometer in SIM mode. The ions </w:t>
      </w:r>
      <w:r>
        <w:rPr>
          <w:rFonts w:ascii="Calibri" w:eastAsia="Calibri" w:hAnsi="Calibri" w:cs="Calibri"/>
          <w:i/>
          <w:color w:val="333132"/>
          <w:sz w:val="24"/>
          <w:szCs w:val="24"/>
        </w:rPr>
        <w:t>m/z</w:t>
      </w:r>
      <w:r>
        <w:rPr>
          <w:rFonts w:ascii="Calibri" w:eastAsia="Calibri" w:hAnsi="Calibri" w:cs="Calibri"/>
          <w:color w:val="333132"/>
          <w:sz w:val="24"/>
          <w:szCs w:val="24"/>
        </w:rPr>
        <w:t xml:space="preserve"> 73, 268, 464, 492, 520, 548, 576, 604 and 632, corresponding to alkylresorcinols with cyclic carbon chain lengths C</w:t>
      </w:r>
      <w:r>
        <w:rPr>
          <w:rFonts w:ascii="Calibri" w:eastAsia="Calibri" w:hAnsi="Calibri" w:cs="Calibri"/>
          <w:color w:val="333132"/>
          <w:sz w:val="24"/>
          <w:szCs w:val="24"/>
          <w:vertAlign w:val="subscript"/>
        </w:rPr>
        <w:t>17</w:t>
      </w:r>
      <w:r>
        <w:rPr>
          <w:rFonts w:ascii="Calibri" w:eastAsia="Calibri" w:hAnsi="Calibri" w:cs="Calibri"/>
          <w:color w:val="333132"/>
          <w:sz w:val="24"/>
          <w:szCs w:val="24"/>
        </w:rPr>
        <w:t xml:space="preserve"> to C</w:t>
      </w:r>
      <w:r>
        <w:rPr>
          <w:rFonts w:ascii="Calibri" w:eastAsia="Calibri" w:hAnsi="Calibri" w:cs="Calibri"/>
          <w:color w:val="333132"/>
          <w:sz w:val="24"/>
          <w:szCs w:val="24"/>
          <w:vertAlign w:val="subscript"/>
        </w:rPr>
        <w:t>25</w:t>
      </w:r>
      <w:r>
        <w:rPr>
          <w:rFonts w:ascii="Calibri" w:eastAsia="Calibri" w:hAnsi="Calibri" w:cs="Calibri"/>
          <w:color w:val="333132"/>
          <w:sz w:val="24"/>
          <w:szCs w:val="24"/>
        </w:rPr>
        <w:t>, were monitored.</w:t>
      </w:r>
    </w:p>
    <w:p w14:paraId="100E0548" w14:textId="79DB336B" w:rsidR="004D2AAA" w:rsidRDefault="00E712B1" w:rsidP="00E712B1">
      <w:pPr>
        <w:pStyle w:val="Heading2"/>
      </w:pPr>
      <w:bookmarkStart w:id="1" w:name="_p82p4y3m3ey9" w:colFirst="0" w:colLast="0"/>
      <w:bookmarkEnd w:id="1"/>
      <w:r>
        <w:t>Gas Chromatography-combustion-Isotope Ratio Mass Spectrometry (GC-c-IRMS)</w:t>
      </w:r>
    </w:p>
    <w:p w14:paraId="04ED4366" w14:textId="77777777" w:rsidR="004D2AAA" w:rsidRDefault="00E712B1">
      <w:pPr>
        <w:shd w:val="clear" w:color="auto" w:fill="FFFFFF"/>
        <w:spacing w:before="240" w:after="240"/>
        <w:jc w:val="both"/>
        <w:rPr>
          <w:rFonts w:ascii="Calibri" w:eastAsia="Calibri" w:hAnsi="Calibri" w:cs="Calibri"/>
          <w:color w:val="333132"/>
          <w:sz w:val="24"/>
          <w:szCs w:val="24"/>
        </w:rPr>
      </w:pPr>
      <w:r>
        <w:rPr>
          <w:rFonts w:ascii="Calibri" w:eastAsia="Calibri" w:hAnsi="Calibri" w:cs="Calibri"/>
          <w:color w:val="333132"/>
          <w:sz w:val="24"/>
          <w:szCs w:val="24"/>
        </w:rPr>
        <w:t>Stable carbon isotope (</w:t>
      </w:r>
      <w:r>
        <w:rPr>
          <w:rFonts w:ascii="Calibri" w:eastAsia="Calibri" w:hAnsi="Calibri" w:cs="Calibri"/>
          <w:i/>
          <w:color w:val="333132"/>
          <w:sz w:val="24"/>
          <w:szCs w:val="24"/>
        </w:rPr>
        <w:t>δ</w:t>
      </w:r>
      <w:r>
        <w:rPr>
          <w:rFonts w:ascii="Calibri" w:eastAsia="Calibri" w:hAnsi="Calibri" w:cs="Calibri"/>
          <w:color w:val="333132"/>
          <w:sz w:val="24"/>
          <w:szCs w:val="24"/>
          <w:vertAlign w:val="superscript"/>
        </w:rPr>
        <w:t>13</w:t>
      </w:r>
      <w:r>
        <w:rPr>
          <w:rFonts w:ascii="Calibri" w:eastAsia="Calibri" w:hAnsi="Calibri" w:cs="Calibri"/>
          <w:color w:val="333132"/>
          <w:sz w:val="24"/>
          <w:szCs w:val="24"/>
        </w:rPr>
        <w:t>C) values of the major saturated fatty acids (FA; C</w:t>
      </w:r>
      <w:r>
        <w:rPr>
          <w:rFonts w:ascii="Calibri" w:eastAsia="Calibri" w:hAnsi="Calibri" w:cs="Calibri"/>
          <w:color w:val="333132"/>
          <w:sz w:val="24"/>
          <w:szCs w:val="24"/>
          <w:vertAlign w:val="subscript"/>
        </w:rPr>
        <w:t>16:0</w:t>
      </w:r>
      <w:r>
        <w:rPr>
          <w:rFonts w:ascii="Calibri" w:eastAsia="Calibri" w:hAnsi="Calibri" w:cs="Calibri"/>
          <w:color w:val="333132"/>
          <w:sz w:val="24"/>
          <w:szCs w:val="24"/>
        </w:rPr>
        <w:t xml:space="preserve"> and C</w:t>
      </w:r>
      <w:r>
        <w:rPr>
          <w:rFonts w:ascii="Calibri" w:eastAsia="Calibri" w:hAnsi="Calibri" w:cs="Calibri"/>
          <w:color w:val="333132"/>
          <w:sz w:val="24"/>
          <w:szCs w:val="24"/>
          <w:vertAlign w:val="subscript"/>
        </w:rPr>
        <w:t>18:0</w:t>
      </w:r>
      <w:r>
        <w:rPr>
          <w:rFonts w:ascii="Calibri" w:eastAsia="Calibri" w:hAnsi="Calibri" w:cs="Calibri"/>
          <w:color w:val="333132"/>
          <w:sz w:val="24"/>
          <w:szCs w:val="24"/>
        </w:rPr>
        <w:t>) were analysed by GC-c-IRMS. Either a  Delta V Advantage isotope ratio mass spectrometer (</w:t>
      </w:r>
      <w:proofErr w:type="spellStart"/>
      <w:r>
        <w:rPr>
          <w:rFonts w:ascii="Calibri" w:eastAsia="Calibri" w:hAnsi="Calibri" w:cs="Calibri"/>
          <w:color w:val="333132"/>
          <w:sz w:val="24"/>
          <w:szCs w:val="24"/>
        </w:rPr>
        <w:t>Thermo</w:t>
      </w:r>
      <w:proofErr w:type="spellEnd"/>
      <w:r>
        <w:rPr>
          <w:rFonts w:ascii="Calibri" w:eastAsia="Calibri" w:hAnsi="Calibri" w:cs="Calibri"/>
          <w:color w:val="333132"/>
          <w:sz w:val="24"/>
          <w:szCs w:val="24"/>
        </w:rPr>
        <w:t xml:space="preserve"> Fisher, Bremen, Germany) linked to a Trace Ultra gas chromatograph (</w:t>
      </w:r>
      <w:proofErr w:type="spellStart"/>
      <w:r>
        <w:rPr>
          <w:rFonts w:ascii="Calibri" w:eastAsia="Calibri" w:hAnsi="Calibri" w:cs="Calibri"/>
          <w:color w:val="333132"/>
          <w:sz w:val="24"/>
          <w:szCs w:val="24"/>
        </w:rPr>
        <w:t>Thermo</w:t>
      </w:r>
      <w:proofErr w:type="spellEnd"/>
      <w:r>
        <w:rPr>
          <w:rFonts w:ascii="Calibri" w:eastAsia="Calibri" w:hAnsi="Calibri" w:cs="Calibri"/>
          <w:color w:val="333132"/>
          <w:sz w:val="24"/>
          <w:szCs w:val="24"/>
        </w:rPr>
        <w:t xml:space="preserve"> Fisher) with a GC </w:t>
      </w:r>
      <w:proofErr w:type="spellStart"/>
      <w:r>
        <w:rPr>
          <w:rFonts w:ascii="Calibri" w:eastAsia="Calibri" w:hAnsi="Calibri" w:cs="Calibri"/>
          <w:color w:val="333132"/>
          <w:sz w:val="24"/>
          <w:szCs w:val="24"/>
        </w:rPr>
        <w:t>Isolink</w:t>
      </w:r>
      <w:proofErr w:type="spellEnd"/>
      <w:r>
        <w:rPr>
          <w:rFonts w:ascii="Calibri" w:eastAsia="Calibri" w:hAnsi="Calibri" w:cs="Calibri"/>
          <w:color w:val="333132"/>
          <w:sz w:val="24"/>
          <w:szCs w:val="24"/>
        </w:rPr>
        <w:t xml:space="preserve"> II interface was used or an </w:t>
      </w:r>
      <w:proofErr w:type="spellStart"/>
      <w:r>
        <w:rPr>
          <w:rFonts w:ascii="Calibri" w:eastAsia="Calibri" w:hAnsi="Calibri" w:cs="Calibri"/>
          <w:color w:val="333132"/>
          <w:sz w:val="24"/>
          <w:szCs w:val="24"/>
        </w:rPr>
        <w:t>Isoprime</w:t>
      </w:r>
      <w:proofErr w:type="spellEnd"/>
      <w:r>
        <w:rPr>
          <w:rFonts w:ascii="Calibri" w:eastAsia="Calibri" w:hAnsi="Calibri" w:cs="Calibri"/>
          <w:color w:val="333132"/>
          <w:sz w:val="24"/>
          <w:szCs w:val="24"/>
        </w:rPr>
        <w:t xml:space="preserve"> 100 (</w:t>
      </w:r>
      <w:proofErr w:type="spellStart"/>
      <w:r>
        <w:rPr>
          <w:rFonts w:ascii="Calibri" w:eastAsia="Calibri" w:hAnsi="Calibri" w:cs="Calibri"/>
          <w:color w:val="333132"/>
          <w:sz w:val="24"/>
          <w:szCs w:val="24"/>
        </w:rPr>
        <w:t>Isoprime</w:t>
      </w:r>
      <w:proofErr w:type="spellEnd"/>
      <w:r>
        <w:rPr>
          <w:rFonts w:ascii="Calibri" w:eastAsia="Calibri" w:hAnsi="Calibri" w:cs="Calibri"/>
          <w:color w:val="333132"/>
          <w:sz w:val="24"/>
          <w:szCs w:val="24"/>
        </w:rPr>
        <w:t xml:space="preserve">, Cheadle, UK) with a Hewlett Packard 7890B series GC (Agilent Technologies, Santa Clara, CA, USA) and an </w:t>
      </w:r>
      <w:proofErr w:type="spellStart"/>
      <w:r>
        <w:rPr>
          <w:rFonts w:ascii="Calibri" w:eastAsia="Calibri" w:hAnsi="Calibri" w:cs="Calibri"/>
          <w:color w:val="333132"/>
          <w:sz w:val="24"/>
          <w:szCs w:val="24"/>
        </w:rPr>
        <w:t>Isoprime</w:t>
      </w:r>
      <w:proofErr w:type="spellEnd"/>
      <w:r>
        <w:rPr>
          <w:rFonts w:ascii="Calibri" w:eastAsia="Calibri" w:hAnsi="Calibri" w:cs="Calibri"/>
          <w:color w:val="333132"/>
          <w:sz w:val="24"/>
          <w:szCs w:val="24"/>
        </w:rPr>
        <w:t xml:space="preserve"> GC5 interface (</w:t>
      </w:r>
      <w:proofErr w:type="spellStart"/>
      <w:r>
        <w:rPr>
          <w:rFonts w:ascii="Calibri" w:eastAsia="Calibri" w:hAnsi="Calibri" w:cs="Calibri"/>
          <w:color w:val="333132"/>
          <w:sz w:val="24"/>
          <w:szCs w:val="24"/>
        </w:rPr>
        <w:t>Isoprime</w:t>
      </w:r>
      <w:proofErr w:type="spellEnd"/>
      <w:r>
        <w:rPr>
          <w:rFonts w:ascii="Calibri" w:eastAsia="Calibri" w:hAnsi="Calibri" w:cs="Calibri"/>
          <w:color w:val="333132"/>
          <w:sz w:val="24"/>
          <w:szCs w:val="24"/>
        </w:rPr>
        <w:t xml:space="preserve"> Cheadle, UK) was used. In both cases a </w:t>
      </w:r>
      <w:proofErr w:type="spellStart"/>
      <w:r>
        <w:rPr>
          <w:rFonts w:ascii="Calibri" w:eastAsia="Calibri" w:hAnsi="Calibri" w:cs="Calibri"/>
          <w:color w:val="333132"/>
          <w:sz w:val="24"/>
          <w:szCs w:val="24"/>
        </w:rPr>
        <w:t>a</w:t>
      </w:r>
      <w:proofErr w:type="spellEnd"/>
      <w:r>
        <w:rPr>
          <w:rFonts w:ascii="Calibri" w:eastAsia="Calibri" w:hAnsi="Calibri" w:cs="Calibri"/>
          <w:color w:val="333132"/>
          <w:sz w:val="24"/>
          <w:szCs w:val="24"/>
        </w:rPr>
        <w:t xml:space="preserve"> DB-5MS Ultra inert fused silica column (US, 60 m × 0.25 mm × 0.25 µm) was fitted. </w:t>
      </w:r>
      <w:r>
        <w:rPr>
          <w:rFonts w:ascii="Calibri" w:eastAsia="Calibri" w:hAnsi="Calibri" w:cs="Calibri"/>
          <w:color w:val="444746"/>
          <w:sz w:val="24"/>
          <w:szCs w:val="24"/>
        </w:rPr>
        <w:t xml:space="preserve">1 </w:t>
      </w:r>
      <w:proofErr w:type="spellStart"/>
      <w:r>
        <w:rPr>
          <w:rFonts w:ascii="Calibri" w:eastAsia="Calibri" w:hAnsi="Calibri" w:cs="Calibri"/>
          <w:color w:val="444746"/>
          <w:sz w:val="24"/>
          <w:szCs w:val="24"/>
        </w:rPr>
        <w:t>μL</w:t>
      </w:r>
      <w:proofErr w:type="spellEnd"/>
      <w:r>
        <w:rPr>
          <w:rFonts w:ascii="Calibri" w:eastAsia="Calibri" w:hAnsi="Calibri" w:cs="Calibri"/>
          <w:color w:val="444746"/>
          <w:sz w:val="24"/>
          <w:szCs w:val="24"/>
        </w:rPr>
        <w:t xml:space="preserve"> </w:t>
      </w:r>
      <w:r>
        <w:rPr>
          <w:rFonts w:ascii="Calibri" w:eastAsia="Calibri" w:hAnsi="Calibri" w:cs="Calibri"/>
          <w:color w:val="333132"/>
          <w:sz w:val="24"/>
          <w:szCs w:val="24"/>
        </w:rPr>
        <w:t xml:space="preserve"> of sample was injected via a </w:t>
      </w:r>
      <w:proofErr w:type="spellStart"/>
      <w:r>
        <w:rPr>
          <w:rFonts w:ascii="Calibri" w:eastAsia="Calibri" w:hAnsi="Calibri" w:cs="Calibri"/>
          <w:color w:val="333132"/>
          <w:sz w:val="24"/>
          <w:szCs w:val="24"/>
        </w:rPr>
        <w:t>splitless</w:t>
      </w:r>
      <w:proofErr w:type="spellEnd"/>
      <w:r>
        <w:rPr>
          <w:rFonts w:ascii="Calibri" w:eastAsia="Calibri" w:hAnsi="Calibri" w:cs="Calibri"/>
          <w:color w:val="333132"/>
          <w:sz w:val="24"/>
          <w:szCs w:val="24"/>
        </w:rPr>
        <w:t xml:space="preserve"> </w:t>
      </w:r>
      <w:r>
        <w:rPr>
          <w:rFonts w:ascii="Calibri" w:eastAsia="Calibri" w:hAnsi="Calibri" w:cs="Calibri"/>
          <w:color w:val="333132"/>
          <w:sz w:val="24"/>
          <w:szCs w:val="24"/>
        </w:rPr>
        <w:lastRenderedPageBreak/>
        <w:t>injector maintained at a temperature of 300°C. Helium was used as the carrier gas at a constant flow rate of 3 mL per minute. An Agilent 5975C mass spectrometer detector was attached to the column and half of the gas eluting from the column was directed to and ionized in the mass spectrometer. The other half of the gas eluting from the column was directed to the reactor tube to oxidize carbon species in CO</w:t>
      </w:r>
      <w:r>
        <w:rPr>
          <w:rFonts w:ascii="Calibri" w:eastAsia="Calibri" w:hAnsi="Calibri" w:cs="Calibri"/>
          <w:color w:val="333132"/>
          <w:sz w:val="24"/>
          <w:szCs w:val="24"/>
          <w:vertAlign w:val="subscript"/>
        </w:rPr>
        <w:t>2</w:t>
      </w:r>
      <w:r>
        <w:rPr>
          <w:rFonts w:ascii="Calibri" w:eastAsia="Calibri" w:hAnsi="Calibri" w:cs="Calibri"/>
          <w:color w:val="333132"/>
          <w:sz w:val="24"/>
          <w:szCs w:val="24"/>
        </w:rPr>
        <w:t xml:space="preserve">. The ionization energy of the mass spectrometer was 70 eV and ion intensities of </w:t>
      </w:r>
      <w:r>
        <w:rPr>
          <w:rFonts w:ascii="Calibri" w:eastAsia="Calibri" w:hAnsi="Calibri" w:cs="Calibri"/>
          <w:i/>
          <w:color w:val="333132"/>
          <w:sz w:val="24"/>
          <w:szCs w:val="24"/>
        </w:rPr>
        <w:t>m/z</w:t>
      </w:r>
      <w:r>
        <w:rPr>
          <w:rFonts w:ascii="Calibri" w:eastAsia="Calibri" w:hAnsi="Calibri" w:cs="Calibri"/>
          <w:color w:val="333132"/>
          <w:sz w:val="24"/>
          <w:szCs w:val="24"/>
        </w:rPr>
        <w:t xml:space="preserve"> 44, 45 and 46 were recorded.</w:t>
      </w:r>
    </w:p>
    <w:p w14:paraId="1D3F41ED" w14:textId="77777777" w:rsidR="004D2AAA" w:rsidRDefault="00E712B1">
      <w:pPr>
        <w:shd w:val="clear" w:color="auto" w:fill="FFFFFF"/>
        <w:spacing w:before="240" w:after="240"/>
        <w:jc w:val="both"/>
        <w:rPr>
          <w:rFonts w:ascii="Calibri" w:eastAsia="Calibri" w:hAnsi="Calibri" w:cs="Calibri"/>
          <w:color w:val="333132"/>
          <w:sz w:val="24"/>
          <w:szCs w:val="24"/>
        </w:rPr>
      </w:pPr>
      <w:proofErr w:type="spellStart"/>
      <w:r>
        <w:rPr>
          <w:rFonts w:ascii="Calibri" w:eastAsia="Calibri" w:hAnsi="Calibri" w:cs="Calibri"/>
          <w:color w:val="333132"/>
          <w:sz w:val="24"/>
          <w:szCs w:val="24"/>
        </w:rPr>
        <w:t>IonOS</w:t>
      </w:r>
      <w:proofErr w:type="spellEnd"/>
      <w:r>
        <w:rPr>
          <w:rFonts w:ascii="Calibri" w:eastAsia="Calibri" w:hAnsi="Calibri" w:cs="Calibri"/>
          <w:color w:val="333132"/>
          <w:sz w:val="24"/>
          <w:szCs w:val="24"/>
        </w:rPr>
        <w:t xml:space="preserve"> software was used to compute the </w:t>
      </w:r>
      <w:r>
        <w:rPr>
          <w:rFonts w:ascii="Calibri" w:eastAsia="Calibri" w:hAnsi="Calibri" w:cs="Calibri"/>
          <w:color w:val="333132"/>
          <w:sz w:val="24"/>
          <w:szCs w:val="24"/>
          <w:vertAlign w:val="superscript"/>
        </w:rPr>
        <w:t>13</w:t>
      </w:r>
      <w:r>
        <w:rPr>
          <w:rFonts w:ascii="Calibri" w:eastAsia="Calibri" w:hAnsi="Calibri" w:cs="Calibri"/>
          <w:color w:val="333132"/>
          <w:sz w:val="24"/>
          <w:szCs w:val="24"/>
        </w:rPr>
        <w:t>C/</w:t>
      </w:r>
      <w:r>
        <w:rPr>
          <w:rFonts w:ascii="Calibri" w:eastAsia="Calibri" w:hAnsi="Calibri" w:cs="Calibri"/>
          <w:color w:val="333132"/>
          <w:sz w:val="24"/>
          <w:szCs w:val="24"/>
          <w:vertAlign w:val="superscript"/>
        </w:rPr>
        <w:t>12</w:t>
      </w:r>
      <w:r>
        <w:rPr>
          <w:rFonts w:ascii="Calibri" w:eastAsia="Calibri" w:hAnsi="Calibri" w:cs="Calibri"/>
          <w:color w:val="333132"/>
          <w:sz w:val="24"/>
          <w:szCs w:val="24"/>
        </w:rPr>
        <w:t xml:space="preserve">C ratio of the peaks in the extracts. The </w:t>
      </w:r>
      <w:r>
        <w:rPr>
          <w:rFonts w:ascii="Calibri" w:eastAsia="Calibri" w:hAnsi="Calibri" w:cs="Calibri"/>
          <w:color w:val="333132"/>
          <w:sz w:val="24"/>
          <w:szCs w:val="24"/>
          <w:vertAlign w:val="superscript"/>
        </w:rPr>
        <w:t>13</w:t>
      </w:r>
      <w:r>
        <w:rPr>
          <w:rFonts w:ascii="Calibri" w:eastAsia="Calibri" w:hAnsi="Calibri" w:cs="Calibri"/>
          <w:color w:val="333132"/>
          <w:sz w:val="24"/>
          <w:szCs w:val="24"/>
        </w:rPr>
        <w:t>C/</w:t>
      </w:r>
      <w:r>
        <w:rPr>
          <w:rFonts w:ascii="Calibri" w:eastAsia="Calibri" w:hAnsi="Calibri" w:cs="Calibri"/>
          <w:color w:val="333132"/>
          <w:sz w:val="24"/>
          <w:szCs w:val="24"/>
          <w:vertAlign w:val="superscript"/>
        </w:rPr>
        <w:t>12</w:t>
      </w:r>
      <w:r>
        <w:rPr>
          <w:rFonts w:ascii="Calibri" w:eastAsia="Calibri" w:hAnsi="Calibri" w:cs="Calibri"/>
          <w:color w:val="333132"/>
          <w:sz w:val="24"/>
          <w:szCs w:val="24"/>
        </w:rPr>
        <w:t>C ratio was calculated in comparison with a standard reference gas (CO</w:t>
      </w:r>
      <w:r>
        <w:rPr>
          <w:rFonts w:ascii="Calibri" w:eastAsia="Calibri" w:hAnsi="Calibri" w:cs="Calibri"/>
          <w:color w:val="333132"/>
          <w:sz w:val="24"/>
          <w:szCs w:val="24"/>
          <w:vertAlign w:val="subscript"/>
        </w:rPr>
        <w:t>2</w:t>
      </w:r>
      <w:r>
        <w:rPr>
          <w:rFonts w:ascii="Calibri" w:eastAsia="Calibri" w:hAnsi="Calibri" w:cs="Calibri"/>
          <w:color w:val="333132"/>
          <w:sz w:val="24"/>
          <w:szCs w:val="24"/>
        </w:rPr>
        <w:t xml:space="preserve">) of known isotopic composition. The delta C values were expressed as per mil (‰) relative to the internal standard V-PDB (Vienna Pee Dee Belemnite). An </w:t>
      </w:r>
      <w:r>
        <w:rPr>
          <w:rFonts w:ascii="Calibri" w:eastAsia="Calibri" w:hAnsi="Calibri" w:cs="Calibri"/>
          <w:i/>
          <w:color w:val="333132"/>
          <w:sz w:val="24"/>
          <w:szCs w:val="24"/>
        </w:rPr>
        <w:t>n</w:t>
      </w:r>
      <w:r>
        <w:rPr>
          <w:rFonts w:ascii="Calibri" w:eastAsia="Calibri" w:hAnsi="Calibri" w:cs="Calibri"/>
          <w:color w:val="333132"/>
          <w:sz w:val="24"/>
          <w:szCs w:val="24"/>
        </w:rPr>
        <w:t>-alkanoic acid ester standard of known isotopic composition (F8-3) was used to determine the precision and accuracy of the instrument, which needed to remain at less than 0.5‰ and less than 0.3‰, respectively. Values were corrected in relation to the method standard, a mixture of C</w:t>
      </w:r>
      <w:r>
        <w:rPr>
          <w:rFonts w:ascii="Calibri" w:eastAsia="Calibri" w:hAnsi="Calibri" w:cs="Calibri"/>
          <w:color w:val="333132"/>
          <w:sz w:val="24"/>
          <w:szCs w:val="24"/>
          <w:vertAlign w:val="subscript"/>
        </w:rPr>
        <w:t>16:0</w:t>
      </w:r>
      <w:r>
        <w:rPr>
          <w:rFonts w:ascii="Calibri" w:eastAsia="Calibri" w:hAnsi="Calibri" w:cs="Calibri"/>
          <w:color w:val="333132"/>
          <w:sz w:val="24"/>
          <w:szCs w:val="24"/>
        </w:rPr>
        <w:t xml:space="preserve"> and C</w:t>
      </w:r>
      <w:r>
        <w:rPr>
          <w:rFonts w:ascii="Calibri" w:eastAsia="Calibri" w:hAnsi="Calibri" w:cs="Calibri"/>
          <w:color w:val="333132"/>
          <w:sz w:val="24"/>
          <w:szCs w:val="24"/>
          <w:vertAlign w:val="subscript"/>
        </w:rPr>
        <w:t>18:0</w:t>
      </w:r>
      <w:r>
        <w:rPr>
          <w:rFonts w:ascii="Calibri" w:eastAsia="Calibri" w:hAnsi="Calibri" w:cs="Calibri"/>
          <w:color w:val="333132"/>
          <w:sz w:val="24"/>
          <w:szCs w:val="24"/>
        </w:rPr>
        <w:t xml:space="preserve"> FAs of known isotopic composition.</w:t>
      </w:r>
    </w:p>
    <w:p w14:paraId="1ED0D879" w14:textId="77777777" w:rsidR="004D2AAA" w:rsidRDefault="00E712B1" w:rsidP="00E712B1">
      <w:pPr>
        <w:pStyle w:val="Heading1"/>
      </w:pPr>
      <w:r>
        <w:t xml:space="preserve">Statistical analysis of organic residue analysis data </w:t>
      </w:r>
    </w:p>
    <w:p w14:paraId="07123AA7" w14:textId="77777777" w:rsidR="001F202C" w:rsidRDefault="00E712B1" w:rsidP="001F202C">
      <w:pPr>
        <w:shd w:val="clear" w:color="auto" w:fill="FFFFFF"/>
        <w:spacing w:before="240" w:after="240"/>
        <w:jc w:val="both"/>
      </w:pPr>
      <w:proofErr w:type="spellStart"/>
      <w:r>
        <w:rPr>
          <w:rFonts w:ascii="Calibri" w:eastAsia="Calibri" w:hAnsi="Calibri" w:cs="Calibri"/>
          <w:color w:val="333132"/>
          <w:sz w:val="24"/>
          <w:szCs w:val="24"/>
        </w:rPr>
        <w:t>Rscripts</w:t>
      </w:r>
      <w:proofErr w:type="spellEnd"/>
      <w:r>
        <w:rPr>
          <w:rFonts w:ascii="Calibri" w:eastAsia="Calibri" w:hAnsi="Calibri" w:cs="Calibri"/>
          <w:color w:val="333132"/>
          <w:sz w:val="24"/>
          <w:szCs w:val="24"/>
        </w:rPr>
        <w:t xml:space="preserve"> for statistical analysis of ORA data reported in the paper can be found at: </w:t>
      </w:r>
      <w:hyperlink r:id="rId13" w:tgtFrame="_blank" w:history="1">
        <w:r w:rsidR="001F202C">
          <w:rPr>
            <w:rStyle w:val="Hyperlink"/>
            <w:color w:val="1155CC"/>
            <w:shd w:val="clear" w:color="auto" w:fill="FFFFFF"/>
          </w:rPr>
          <w:t>https://doi.org/10.5281/zenodo.11164557</w:t>
        </w:r>
      </w:hyperlink>
    </w:p>
    <w:p w14:paraId="0919DE4F" w14:textId="3B2EA239" w:rsidR="00E712B1" w:rsidRDefault="00E712B1" w:rsidP="001F202C">
      <w:pPr>
        <w:pStyle w:val="Heading1"/>
      </w:pPr>
      <w:r>
        <w:t>References</w:t>
      </w:r>
    </w:p>
    <w:p w14:paraId="5AFD8504" w14:textId="587FAD5E" w:rsidR="004D2AAA" w:rsidRDefault="00E712B1">
      <w:pPr>
        <w:widowControl w:val="0"/>
        <w:pBdr>
          <w:top w:val="nil"/>
          <w:left w:val="nil"/>
          <w:bottom w:val="nil"/>
          <w:right w:val="nil"/>
          <w:between w:val="nil"/>
        </w:pBdr>
        <w:spacing w:before="240" w:line="240" w:lineRule="auto"/>
        <w:rPr>
          <w:rFonts w:ascii="Calibri" w:eastAsia="Calibri" w:hAnsi="Calibri" w:cs="Calibri"/>
          <w:sz w:val="24"/>
          <w:szCs w:val="24"/>
        </w:rPr>
      </w:pPr>
      <w:proofErr w:type="spellStart"/>
      <w:r>
        <w:rPr>
          <w:rFonts w:ascii="Calibri" w:eastAsia="Calibri" w:hAnsi="Calibri" w:cs="Calibri"/>
          <w:color w:val="000000"/>
          <w:sz w:val="24"/>
          <w:szCs w:val="24"/>
        </w:rPr>
        <w:t>Bürkner</w:t>
      </w:r>
      <w:proofErr w:type="spellEnd"/>
      <w:r>
        <w:rPr>
          <w:rFonts w:ascii="Calibri" w:eastAsia="Calibri" w:hAnsi="Calibri" w:cs="Calibri"/>
          <w:color w:val="000000"/>
          <w:sz w:val="24"/>
          <w:szCs w:val="24"/>
        </w:rPr>
        <w:t>, Paul-Christian</w:t>
      </w:r>
      <w:r w:rsidR="008529A8">
        <w:rPr>
          <w:rFonts w:ascii="Calibri" w:eastAsia="Calibri" w:hAnsi="Calibri" w:cs="Calibri"/>
          <w:color w:val="000000"/>
          <w:sz w:val="24"/>
          <w:szCs w:val="24"/>
        </w:rPr>
        <w:t xml:space="preserve"> (</w:t>
      </w:r>
      <w:r>
        <w:rPr>
          <w:rFonts w:ascii="Calibri" w:eastAsia="Calibri" w:hAnsi="Calibri" w:cs="Calibri"/>
          <w:color w:val="000000"/>
          <w:sz w:val="24"/>
          <w:szCs w:val="24"/>
        </w:rPr>
        <w:t>2017</w:t>
      </w:r>
      <w:r w:rsidR="008529A8">
        <w:rPr>
          <w:rFonts w:ascii="Calibri" w:eastAsia="Calibri" w:hAnsi="Calibri" w:cs="Calibri"/>
          <w:color w:val="000000"/>
          <w:sz w:val="24"/>
          <w:szCs w:val="24"/>
        </w:rPr>
        <w:t>)</w:t>
      </w:r>
      <w:r>
        <w:rPr>
          <w:rFonts w:ascii="Calibri" w:eastAsia="Calibri" w:hAnsi="Calibri" w:cs="Calibri"/>
          <w:color w:val="000000"/>
          <w:sz w:val="24"/>
          <w:szCs w:val="24"/>
        </w:rPr>
        <w:t xml:space="preserve"> Brms: An R Package for Bayesian Multilevel Models Using Stan</w:t>
      </w:r>
      <w:r w:rsidR="008529A8">
        <w:rPr>
          <w:rFonts w:ascii="Calibri" w:eastAsia="Calibri" w:hAnsi="Calibri" w:cs="Calibri"/>
          <w:color w:val="000000"/>
          <w:sz w:val="24"/>
          <w:szCs w:val="24"/>
        </w:rPr>
        <w:t xml:space="preserve">. </w:t>
      </w:r>
      <w:r w:rsidRPr="008529A8">
        <w:rPr>
          <w:rFonts w:ascii="Calibri" w:eastAsia="Calibri" w:hAnsi="Calibri" w:cs="Calibri"/>
          <w:iCs/>
          <w:color w:val="000000"/>
          <w:sz w:val="24"/>
          <w:szCs w:val="24"/>
        </w:rPr>
        <w:t>Journal of Statistical Software</w:t>
      </w:r>
      <w:hyperlink r:id="rId14">
        <w:r>
          <w:rPr>
            <w:rFonts w:ascii="Calibri" w:eastAsia="Calibri" w:hAnsi="Calibri" w:cs="Calibri"/>
            <w:color w:val="000000"/>
            <w:sz w:val="24"/>
            <w:szCs w:val="24"/>
          </w:rPr>
          <w:t xml:space="preserve"> 80: 1–28.</w:t>
        </w:r>
      </w:hyperlink>
    </w:p>
    <w:p w14:paraId="4AE4BEE6" w14:textId="0940B995" w:rsidR="004D2AAA" w:rsidRDefault="00E712B1">
      <w:pPr>
        <w:widowControl w:val="0"/>
        <w:pBdr>
          <w:top w:val="nil"/>
          <w:left w:val="nil"/>
          <w:bottom w:val="nil"/>
          <w:right w:val="nil"/>
          <w:between w:val="nil"/>
        </w:pBdr>
        <w:spacing w:line="240" w:lineRule="auto"/>
        <w:ind w:left="480" w:hanging="480"/>
        <w:rPr>
          <w:rFonts w:ascii="Calibri" w:eastAsia="Calibri" w:hAnsi="Calibri" w:cs="Calibri"/>
          <w:sz w:val="24"/>
          <w:szCs w:val="24"/>
        </w:rPr>
      </w:pPr>
      <w:r>
        <w:rPr>
          <w:rFonts w:ascii="Calibri" w:eastAsia="Calibri" w:hAnsi="Calibri" w:cs="Calibri"/>
          <w:color w:val="000000"/>
          <w:sz w:val="24"/>
          <w:szCs w:val="24"/>
        </w:rPr>
        <w:t>Correa-Ascencio, Marisol, and Richard P. Evershed</w:t>
      </w:r>
      <w:r w:rsidR="008529A8">
        <w:rPr>
          <w:rFonts w:ascii="Calibri" w:eastAsia="Calibri" w:hAnsi="Calibri" w:cs="Calibri"/>
          <w:color w:val="000000"/>
          <w:sz w:val="24"/>
          <w:szCs w:val="24"/>
        </w:rPr>
        <w:t xml:space="preserve"> (</w:t>
      </w:r>
      <w:r>
        <w:rPr>
          <w:rFonts w:ascii="Calibri" w:eastAsia="Calibri" w:hAnsi="Calibri" w:cs="Calibri"/>
          <w:color w:val="000000"/>
          <w:sz w:val="24"/>
          <w:szCs w:val="24"/>
        </w:rPr>
        <w:t>2014</w:t>
      </w:r>
      <w:r w:rsidR="008529A8">
        <w:rPr>
          <w:rFonts w:ascii="Calibri" w:eastAsia="Calibri" w:hAnsi="Calibri" w:cs="Calibri"/>
          <w:color w:val="000000"/>
          <w:sz w:val="24"/>
          <w:szCs w:val="24"/>
        </w:rPr>
        <w:t>)</w:t>
      </w:r>
      <w:r>
        <w:rPr>
          <w:rFonts w:ascii="Calibri" w:eastAsia="Calibri" w:hAnsi="Calibri" w:cs="Calibri"/>
          <w:color w:val="000000"/>
          <w:sz w:val="24"/>
          <w:szCs w:val="24"/>
        </w:rPr>
        <w:t xml:space="preserve"> High Throughput Screening of Organic Residues in Archaeological Potsherds Using Direct Acidified Methanol Extraction. </w:t>
      </w:r>
      <w:r w:rsidRPr="008529A8">
        <w:rPr>
          <w:rFonts w:ascii="Calibri" w:eastAsia="Calibri" w:hAnsi="Calibri" w:cs="Calibri"/>
          <w:iCs/>
          <w:color w:val="000000"/>
          <w:sz w:val="24"/>
          <w:szCs w:val="24"/>
        </w:rPr>
        <w:t>Analytical Methods</w:t>
      </w:r>
      <w:hyperlink r:id="rId15">
        <w:r>
          <w:rPr>
            <w:rFonts w:ascii="Calibri" w:eastAsia="Calibri" w:hAnsi="Calibri" w:cs="Calibri"/>
            <w:color w:val="000000"/>
            <w:sz w:val="24"/>
            <w:szCs w:val="24"/>
          </w:rPr>
          <w:t xml:space="preserve"> 6(5): 1330–40.</w:t>
        </w:r>
      </w:hyperlink>
    </w:p>
    <w:p w14:paraId="447C4C3B" w14:textId="5743769B" w:rsidR="004D2AAA" w:rsidRDefault="00E712B1">
      <w:pPr>
        <w:widowControl w:val="0"/>
        <w:pBdr>
          <w:top w:val="nil"/>
          <w:left w:val="nil"/>
          <w:bottom w:val="nil"/>
          <w:right w:val="nil"/>
          <w:between w:val="nil"/>
        </w:pBdr>
        <w:spacing w:line="240" w:lineRule="auto"/>
        <w:ind w:left="480" w:hanging="480"/>
        <w:rPr>
          <w:rFonts w:ascii="Calibri" w:eastAsia="Calibri" w:hAnsi="Calibri" w:cs="Calibri"/>
          <w:sz w:val="24"/>
          <w:szCs w:val="24"/>
        </w:rPr>
      </w:pPr>
      <w:r>
        <w:rPr>
          <w:rFonts w:ascii="Calibri" w:eastAsia="Calibri" w:hAnsi="Calibri" w:cs="Calibri"/>
          <w:color w:val="000000"/>
          <w:sz w:val="24"/>
          <w:szCs w:val="24"/>
        </w:rPr>
        <w:t>Crema, Enrico R., Chris J. Stevens, and Shinya Shoda</w:t>
      </w:r>
      <w:r w:rsidR="008529A8">
        <w:rPr>
          <w:rFonts w:ascii="Calibri" w:eastAsia="Calibri" w:hAnsi="Calibri" w:cs="Calibri"/>
          <w:color w:val="000000"/>
          <w:sz w:val="24"/>
          <w:szCs w:val="24"/>
        </w:rPr>
        <w:t xml:space="preserve"> (</w:t>
      </w:r>
      <w:r>
        <w:rPr>
          <w:rFonts w:ascii="Calibri" w:eastAsia="Calibri" w:hAnsi="Calibri" w:cs="Calibri"/>
          <w:color w:val="000000"/>
          <w:sz w:val="24"/>
          <w:szCs w:val="24"/>
        </w:rPr>
        <w:t>2022</w:t>
      </w:r>
      <w:r w:rsidR="008529A8">
        <w:rPr>
          <w:rFonts w:ascii="Calibri" w:eastAsia="Calibri" w:hAnsi="Calibri" w:cs="Calibri"/>
          <w:color w:val="000000"/>
          <w:sz w:val="24"/>
          <w:szCs w:val="24"/>
        </w:rPr>
        <w:t>)</w:t>
      </w:r>
      <w:r>
        <w:rPr>
          <w:rFonts w:ascii="Calibri" w:eastAsia="Calibri" w:hAnsi="Calibri" w:cs="Calibri"/>
          <w:color w:val="000000"/>
          <w:sz w:val="24"/>
          <w:szCs w:val="24"/>
        </w:rPr>
        <w:t xml:space="preserve"> Bayesian Analyses of Direct Radiocarbon Dates Reveal Geographic Variations in the Rate of Rice Farming Dispersal in Prehistoric Japan.</w:t>
      </w:r>
      <w:r w:rsidR="008529A8">
        <w:rPr>
          <w:rFonts w:ascii="Calibri" w:eastAsia="Calibri" w:hAnsi="Calibri" w:cs="Calibri"/>
          <w:color w:val="000000"/>
          <w:sz w:val="24"/>
          <w:szCs w:val="24"/>
        </w:rPr>
        <w:t xml:space="preserve"> </w:t>
      </w:r>
      <w:hyperlink r:id="rId16">
        <w:r w:rsidRPr="008529A8">
          <w:rPr>
            <w:rFonts w:ascii="Calibri" w:eastAsia="Calibri" w:hAnsi="Calibri" w:cs="Calibri"/>
            <w:color w:val="000000"/>
            <w:sz w:val="24"/>
            <w:szCs w:val="24"/>
          </w:rPr>
          <w:t>Science Advances</w:t>
        </w:r>
      </w:hyperlink>
      <w:hyperlink r:id="rId17">
        <w:r>
          <w:rPr>
            <w:rFonts w:ascii="Calibri" w:eastAsia="Calibri" w:hAnsi="Calibri" w:cs="Calibri"/>
            <w:color w:val="000000"/>
            <w:sz w:val="24"/>
            <w:szCs w:val="24"/>
          </w:rPr>
          <w:t xml:space="preserve"> 8(38): eadc9171.</w:t>
        </w:r>
      </w:hyperlink>
    </w:p>
    <w:p w14:paraId="6F8542A1" w14:textId="47AA7D0E" w:rsidR="004D2AAA" w:rsidRDefault="00E712B1">
      <w:pPr>
        <w:widowControl w:val="0"/>
        <w:pBdr>
          <w:top w:val="nil"/>
          <w:left w:val="nil"/>
          <w:bottom w:val="nil"/>
          <w:right w:val="nil"/>
          <w:between w:val="nil"/>
        </w:pBdr>
        <w:spacing w:line="240" w:lineRule="auto"/>
        <w:ind w:left="480" w:hanging="480"/>
        <w:rPr>
          <w:rFonts w:ascii="Calibri" w:eastAsia="Calibri" w:hAnsi="Calibri" w:cs="Calibri"/>
          <w:sz w:val="24"/>
          <w:szCs w:val="24"/>
        </w:rPr>
      </w:pPr>
      <w:r>
        <w:rPr>
          <w:rFonts w:ascii="Calibri" w:eastAsia="Calibri" w:hAnsi="Calibri" w:cs="Calibri"/>
          <w:color w:val="000000"/>
          <w:sz w:val="24"/>
          <w:szCs w:val="24"/>
        </w:rPr>
        <w:t>Crema, E. R</w:t>
      </w:r>
      <w:r w:rsidR="008529A8">
        <w:rPr>
          <w:rFonts w:ascii="Calibri" w:eastAsia="Calibri" w:hAnsi="Calibri" w:cs="Calibri"/>
          <w:color w:val="000000"/>
          <w:sz w:val="24"/>
          <w:szCs w:val="24"/>
        </w:rPr>
        <w:t xml:space="preserve"> (</w:t>
      </w:r>
      <w:r>
        <w:rPr>
          <w:rFonts w:ascii="Calibri" w:eastAsia="Calibri" w:hAnsi="Calibri" w:cs="Calibri"/>
          <w:color w:val="000000"/>
          <w:sz w:val="24"/>
          <w:szCs w:val="24"/>
        </w:rPr>
        <w:t>2022</w:t>
      </w:r>
      <w:r w:rsidR="008529A8">
        <w:rPr>
          <w:rFonts w:ascii="Calibri" w:eastAsia="Calibri" w:hAnsi="Calibri" w:cs="Calibri"/>
          <w:color w:val="000000"/>
          <w:sz w:val="24"/>
          <w:szCs w:val="24"/>
        </w:rPr>
        <w:t>)</w:t>
      </w:r>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nimbleCarbon</w:t>
      </w:r>
      <w:proofErr w:type="spellEnd"/>
      <w:r>
        <w:rPr>
          <w:rFonts w:ascii="Calibri" w:eastAsia="Calibri" w:hAnsi="Calibri" w:cs="Calibri"/>
          <w:color w:val="000000"/>
          <w:sz w:val="24"/>
          <w:szCs w:val="24"/>
        </w:rPr>
        <w:t xml:space="preserve">: Models and Utility Functions for Bayesian Analyses of Radiocarbon Dates with NIMBLE (v.0.2.0). </w:t>
      </w:r>
      <w:hyperlink r:id="rId18">
        <w:r>
          <w:rPr>
            <w:rFonts w:ascii="Calibri" w:eastAsia="Calibri" w:hAnsi="Calibri" w:cs="Calibri"/>
            <w:color w:val="000000"/>
            <w:sz w:val="24"/>
            <w:szCs w:val="24"/>
          </w:rPr>
          <w:t>https://github.com/ercrema/nimbleCarbon.</w:t>
        </w:r>
      </w:hyperlink>
    </w:p>
    <w:p w14:paraId="665A1A77" w14:textId="3BF50834" w:rsidR="004D2AAA" w:rsidRDefault="00E712B1">
      <w:pPr>
        <w:widowControl w:val="0"/>
        <w:pBdr>
          <w:top w:val="nil"/>
          <w:left w:val="nil"/>
          <w:bottom w:val="nil"/>
          <w:right w:val="nil"/>
          <w:between w:val="nil"/>
        </w:pBdr>
        <w:spacing w:line="240" w:lineRule="auto"/>
        <w:ind w:left="480" w:hanging="480"/>
        <w:rPr>
          <w:rFonts w:ascii="Calibri" w:eastAsia="Calibri" w:hAnsi="Calibri" w:cs="Calibri"/>
          <w:sz w:val="24"/>
          <w:szCs w:val="24"/>
        </w:rPr>
      </w:pPr>
      <w:r>
        <w:rPr>
          <w:rFonts w:ascii="Calibri" w:eastAsia="Calibri" w:hAnsi="Calibri" w:cs="Calibri"/>
          <w:color w:val="000000"/>
          <w:sz w:val="24"/>
          <w:szCs w:val="24"/>
        </w:rPr>
        <w:t xml:space="preserve">Endo, Eiko, and Christian </w:t>
      </w:r>
      <w:proofErr w:type="spellStart"/>
      <w:r>
        <w:rPr>
          <w:rFonts w:ascii="Calibri" w:eastAsia="Calibri" w:hAnsi="Calibri" w:cs="Calibri"/>
          <w:color w:val="000000"/>
          <w:sz w:val="24"/>
          <w:szCs w:val="24"/>
        </w:rPr>
        <w:t>Leipe</w:t>
      </w:r>
      <w:proofErr w:type="spellEnd"/>
      <w:r w:rsidR="008529A8">
        <w:rPr>
          <w:rFonts w:ascii="Calibri" w:eastAsia="Calibri" w:hAnsi="Calibri" w:cs="Calibri"/>
          <w:color w:val="000000"/>
          <w:sz w:val="24"/>
          <w:szCs w:val="24"/>
        </w:rPr>
        <w:t xml:space="preserve"> (</w:t>
      </w:r>
      <w:r>
        <w:rPr>
          <w:rFonts w:ascii="Calibri" w:eastAsia="Calibri" w:hAnsi="Calibri" w:cs="Calibri"/>
          <w:color w:val="000000"/>
          <w:sz w:val="24"/>
          <w:szCs w:val="24"/>
        </w:rPr>
        <w:t>2022</w:t>
      </w:r>
      <w:r w:rsidR="008529A8">
        <w:rPr>
          <w:rFonts w:ascii="Calibri" w:eastAsia="Calibri" w:hAnsi="Calibri" w:cs="Calibri"/>
          <w:color w:val="000000"/>
          <w:sz w:val="24"/>
          <w:szCs w:val="24"/>
        </w:rPr>
        <w:t>)</w:t>
      </w:r>
      <w:r>
        <w:rPr>
          <w:rFonts w:ascii="Calibri" w:eastAsia="Calibri" w:hAnsi="Calibri" w:cs="Calibri"/>
          <w:color w:val="000000"/>
          <w:sz w:val="24"/>
          <w:szCs w:val="24"/>
        </w:rPr>
        <w:t xml:space="preserve"> The Onset, Dispersal and Crop Preferences of Early Agriculture in the Japanese Archipelago as Derived from Seed Impressions in Pottery. </w:t>
      </w:r>
      <w:r w:rsidRPr="008529A8">
        <w:rPr>
          <w:rFonts w:ascii="Calibri" w:eastAsia="Calibri" w:hAnsi="Calibri" w:cs="Calibri"/>
          <w:iCs/>
          <w:color w:val="000000"/>
          <w:sz w:val="24"/>
          <w:szCs w:val="24"/>
        </w:rPr>
        <w:t>Quaternary International: The Journal of the International Union for Quaternary Research</w:t>
      </w:r>
      <w:hyperlink r:id="rId19">
        <w:r w:rsidRPr="008529A8">
          <w:rPr>
            <w:rFonts w:ascii="Calibri" w:eastAsia="Calibri" w:hAnsi="Calibri" w:cs="Calibri"/>
            <w:iCs/>
            <w:color w:val="000000"/>
            <w:sz w:val="24"/>
            <w:szCs w:val="24"/>
          </w:rPr>
          <w:t xml:space="preserve"> 623: 35–49.</w:t>
        </w:r>
      </w:hyperlink>
    </w:p>
    <w:p w14:paraId="29B62A5D" w14:textId="67312262" w:rsidR="004D2AAA" w:rsidRDefault="00E712B1">
      <w:pPr>
        <w:widowControl w:val="0"/>
        <w:pBdr>
          <w:top w:val="nil"/>
          <w:left w:val="nil"/>
          <w:bottom w:val="nil"/>
          <w:right w:val="nil"/>
          <w:between w:val="nil"/>
        </w:pBdr>
        <w:spacing w:after="240" w:line="240" w:lineRule="auto"/>
        <w:ind w:left="480" w:hanging="480"/>
        <w:rPr>
          <w:rFonts w:ascii="Calibri" w:eastAsia="Calibri" w:hAnsi="Calibri" w:cs="Calibri"/>
          <w:sz w:val="24"/>
          <w:szCs w:val="24"/>
        </w:rPr>
      </w:pPr>
      <w:proofErr w:type="spellStart"/>
      <w:r w:rsidRPr="008529A8">
        <w:rPr>
          <w:rFonts w:ascii="Calibri" w:eastAsia="Calibri" w:hAnsi="Calibri" w:cs="Calibri"/>
          <w:color w:val="000000"/>
          <w:sz w:val="24"/>
          <w:szCs w:val="24"/>
        </w:rPr>
        <w:t>Valpine</w:t>
      </w:r>
      <w:proofErr w:type="spellEnd"/>
      <w:r w:rsidRPr="008529A8">
        <w:rPr>
          <w:rFonts w:ascii="Calibri" w:eastAsia="Calibri" w:hAnsi="Calibri" w:cs="Calibri"/>
          <w:color w:val="000000"/>
          <w:sz w:val="24"/>
          <w:szCs w:val="24"/>
        </w:rPr>
        <w:t>, P. de, C. Adler, D. Turek, N. Michaud</w:t>
      </w:r>
      <w:r w:rsidR="008529A8" w:rsidRPr="008529A8">
        <w:rPr>
          <w:rFonts w:ascii="Calibri" w:eastAsia="Calibri" w:hAnsi="Calibri" w:cs="Calibri"/>
          <w:color w:val="000000"/>
          <w:sz w:val="24"/>
          <w:szCs w:val="24"/>
        </w:rPr>
        <w:t xml:space="preserve"> et al (</w:t>
      </w:r>
      <w:r w:rsidRPr="008529A8">
        <w:rPr>
          <w:rFonts w:ascii="Calibri" w:eastAsia="Calibri" w:hAnsi="Calibri" w:cs="Calibri"/>
          <w:color w:val="000000"/>
          <w:sz w:val="24"/>
          <w:szCs w:val="24"/>
        </w:rPr>
        <w:t>2020</w:t>
      </w:r>
      <w:r w:rsidR="008529A8">
        <w:rPr>
          <w:rFonts w:ascii="Calibri" w:eastAsia="Calibri" w:hAnsi="Calibri" w:cs="Calibri"/>
          <w:color w:val="000000"/>
          <w:sz w:val="24"/>
          <w:szCs w:val="24"/>
        </w:rPr>
        <w:t xml:space="preserve">) </w:t>
      </w:r>
      <w:hyperlink r:id="rId20">
        <w:r>
          <w:rPr>
            <w:rFonts w:ascii="Calibri" w:eastAsia="Calibri" w:hAnsi="Calibri" w:cs="Calibri"/>
            <w:i/>
            <w:color w:val="000000"/>
            <w:sz w:val="24"/>
            <w:szCs w:val="24"/>
          </w:rPr>
          <w:t>NIMBLE: MCMC, Particle Filtering, and Programmable Hierarchical Modeling</w:t>
        </w:r>
      </w:hyperlink>
      <w:r>
        <w:rPr>
          <w:rFonts w:ascii="Calibri" w:eastAsia="Calibri" w:hAnsi="Calibri" w:cs="Calibri"/>
          <w:color w:val="000000"/>
          <w:sz w:val="24"/>
          <w:szCs w:val="24"/>
        </w:rPr>
        <w:t xml:space="preserve"> (version 0.10.1). https://doi.org/</w:t>
      </w:r>
      <w:hyperlink r:id="rId21">
        <w:r>
          <w:rPr>
            <w:rFonts w:ascii="Calibri" w:eastAsia="Calibri" w:hAnsi="Calibri" w:cs="Calibri"/>
            <w:color w:val="000000"/>
            <w:sz w:val="24"/>
            <w:szCs w:val="24"/>
          </w:rPr>
          <w:t>10.5281/zenodo.1211190</w:t>
        </w:r>
      </w:hyperlink>
      <w:hyperlink r:id="rId22">
        <w:r>
          <w:rPr>
            <w:rFonts w:ascii="Calibri" w:eastAsia="Calibri" w:hAnsi="Calibri" w:cs="Calibri"/>
            <w:color w:val="000000"/>
            <w:sz w:val="24"/>
            <w:szCs w:val="24"/>
          </w:rPr>
          <w:t>.</w:t>
        </w:r>
      </w:hyperlink>
    </w:p>
    <w:p w14:paraId="4C83F12D" w14:textId="77777777" w:rsidR="004D2AAA" w:rsidRDefault="004D2AAA">
      <w:pPr>
        <w:widowControl w:val="0"/>
        <w:pBdr>
          <w:top w:val="nil"/>
          <w:left w:val="nil"/>
          <w:bottom w:val="nil"/>
          <w:right w:val="nil"/>
          <w:between w:val="nil"/>
        </w:pBdr>
        <w:rPr>
          <w:rFonts w:ascii="Calibri" w:eastAsia="Calibri" w:hAnsi="Calibri" w:cs="Calibri"/>
          <w:sz w:val="24"/>
          <w:szCs w:val="24"/>
        </w:rPr>
      </w:pPr>
    </w:p>
    <w:sectPr w:rsidR="004D2AA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5372E"/>
    <w:multiLevelType w:val="multilevel"/>
    <w:tmpl w:val="4A9CD5FC"/>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8448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AAA"/>
    <w:rsid w:val="001F202C"/>
    <w:rsid w:val="002D13EE"/>
    <w:rsid w:val="004D2AAA"/>
    <w:rsid w:val="008529A8"/>
    <w:rsid w:val="00E712B1"/>
    <w:rsid w:val="00FF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ECA19"/>
  <w15:docId w15:val="{7E7CF92F-DFB7-4F5B-BE50-2053D2E0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1F20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aperpile.com/c/CnIiZL/bbmE/?noauthor=1" TargetMode="External"/><Relationship Id="rId13" Type="http://schemas.openxmlformats.org/officeDocument/2006/relationships/hyperlink" Target="https://doi.org/10.5281/zenodo.11164557" TargetMode="External"/><Relationship Id="rId18" Type="http://schemas.openxmlformats.org/officeDocument/2006/relationships/hyperlink" Target="https://github.com/ercrema/nimbleCarbon." TargetMode="External"/><Relationship Id="rId3" Type="http://schemas.openxmlformats.org/officeDocument/2006/relationships/settings" Target="settings.xml"/><Relationship Id="rId21" Type="http://schemas.openxmlformats.org/officeDocument/2006/relationships/hyperlink" Target="http://dx.doi.org/10.5281/zenodo.1211190" TargetMode="External"/><Relationship Id="rId7" Type="http://schemas.openxmlformats.org/officeDocument/2006/relationships/hyperlink" Target="https://paperpile.com/c/CnIiZL/bbmE/?noauthor=1" TargetMode="External"/><Relationship Id="rId12" Type="http://schemas.openxmlformats.org/officeDocument/2006/relationships/hyperlink" Target="https://paperpile.com/c/CnIiZL/Jj8x" TargetMode="External"/><Relationship Id="rId17" Type="http://schemas.openxmlformats.org/officeDocument/2006/relationships/hyperlink" Target="http://paperpile.com/b/CnIiZL/bbmE" TargetMode="External"/><Relationship Id="rId2" Type="http://schemas.openxmlformats.org/officeDocument/2006/relationships/styles" Target="styles.xml"/><Relationship Id="rId16" Type="http://schemas.openxmlformats.org/officeDocument/2006/relationships/hyperlink" Target="http://paperpile.com/b/CnIiZL/bbmE" TargetMode="External"/><Relationship Id="rId20" Type="http://schemas.openxmlformats.org/officeDocument/2006/relationships/hyperlink" Target="http://paperpile.com/b/CnIiZL/EywQ" TargetMode="External"/><Relationship Id="rId1" Type="http://schemas.openxmlformats.org/officeDocument/2006/relationships/numbering" Target="numbering.xml"/><Relationship Id="rId6" Type="http://schemas.openxmlformats.org/officeDocument/2006/relationships/hyperlink" Target="https://paperpile.com/c/CnIiZL/HjN6" TargetMode="External"/><Relationship Id="rId11" Type="http://schemas.openxmlformats.org/officeDocument/2006/relationships/hyperlink" Target="https://paperpile.com/c/CnIiZL/kG8L" TargetMode="External"/><Relationship Id="rId24" Type="http://schemas.openxmlformats.org/officeDocument/2006/relationships/theme" Target="theme/theme1.xml"/><Relationship Id="rId5" Type="http://schemas.openxmlformats.org/officeDocument/2006/relationships/hyperlink" Target="https://paperpile.com/c/CnIiZL/STNg/?noauthor=1" TargetMode="External"/><Relationship Id="rId15" Type="http://schemas.openxmlformats.org/officeDocument/2006/relationships/hyperlink" Target="http://paperpile.com/b/CnIiZL/Jj8x" TargetMode="External"/><Relationship Id="rId23" Type="http://schemas.openxmlformats.org/officeDocument/2006/relationships/fontTable" Target="fontTable.xml"/><Relationship Id="rId10" Type="http://schemas.openxmlformats.org/officeDocument/2006/relationships/hyperlink" Target="https://paperpile.com/c/CnIiZL/EywQ" TargetMode="External"/><Relationship Id="rId19" Type="http://schemas.openxmlformats.org/officeDocument/2006/relationships/hyperlink" Target="http://paperpile.com/b/CnIiZL/STNg" TargetMode="External"/><Relationship Id="rId4" Type="http://schemas.openxmlformats.org/officeDocument/2006/relationships/webSettings" Target="webSettings.xml"/><Relationship Id="rId9" Type="http://schemas.openxmlformats.org/officeDocument/2006/relationships/hyperlink" Target="https://paperpile.com/c/CnIiZL/bbmE/?noauthor=1" TargetMode="External"/><Relationship Id="rId14" Type="http://schemas.openxmlformats.org/officeDocument/2006/relationships/hyperlink" Target="http://paperpile.com/b/CnIiZL/HjN6" TargetMode="External"/><Relationship Id="rId22" Type="http://schemas.openxmlformats.org/officeDocument/2006/relationships/hyperlink" Target="http://paperpile.com/b/CnIiZL/Eyw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Jasmine Lundy</cp:lastModifiedBy>
  <cp:revision>2</cp:revision>
  <dcterms:created xsi:type="dcterms:W3CDTF">2024-05-09T17:34:00Z</dcterms:created>
  <dcterms:modified xsi:type="dcterms:W3CDTF">2024-05-09T17:34:00Z</dcterms:modified>
</cp:coreProperties>
</file>