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BDDE" w14:textId="77777777" w:rsidR="003B218B" w:rsidRDefault="003B218B" w:rsidP="003B218B">
      <w:pPr>
        <w:rPr>
          <w:b/>
          <w:bCs/>
        </w:rPr>
      </w:pPr>
      <w:r>
        <w:rPr>
          <w:b/>
          <w:bCs/>
        </w:rPr>
        <w:t>Meals for the dead: investigating Romano-British accessory vessels in burials using organic residue analysis</w:t>
      </w:r>
    </w:p>
    <w:p w14:paraId="51CDBDE5" w14:textId="77777777" w:rsidR="003B218B" w:rsidRPr="007509CE" w:rsidRDefault="003B218B" w:rsidP="003B218B">
      <w:r w:rsidRPr="00A17253">
        <w:t>Authors: J</w:t>
      </w:r>
      <w:r>
        <w:t>ulie</w:t>
      </w:r>
      <w:r w:rsidRPr="00A17253">
        <w:t xml:space="preserve"> Dunne</w:t>
      </w:r>
      <w:r w:rsidRPr="007509CE">
        <w:rPr>
          <w:vertAlign w:val="superscript"/>
        </w:rPr>
        <w:t>1</w:t>
      </w:r>
      <w:r w:rsidRPr="00A17253">
        <w:t>, E</w:t>
      </w:r>
      <w:r>
        <w:t>dward</w:t>
      </w:r>
      <w:r w:rsidRPr="00A17253">
        <w:t xml:space="preserve"> Biddulph</w:t>
      </w:r>
      <w:r w:rsidRPr="007509CE">
        <w:rPr>
          <w:vertAlign w:val="superscript"/>
        </w:rPr>
        <w:t>2</w:t>
      </w:r>
      <w:r w:rsidRPr="00A17253">
        <w:t>, L</w:t>
      </w:r>
      <w:r>
        <w:t>ucy J.E.</w:t>
      </w:r>
      <w:r w:rsidRPr="00A17253">
        <w:t xml:space="preserve"> Cramp</w:t>
      </w:r>
      <w:r w:rsidRPr="007509CE">
        <w:rPr>
          <w:vertAlign w:val="superscript"/>
        </w:rPr>
        <w:t>3</w:t>
      </w:r>
      <w:r>
        <w:t>, Caitlin Greenwood</w:t>
      </w:r>
      <w:r w:rsidRPr="00A20942">
        <w:rPr>
          <w:vertAlign w:val="superscript"/>
        </w:rPr>
        <w:t>3</w:t>
      </w:r>
      <w:r>
        <w:t xml:space="preserve">, </w:t>
      </w:r>
      <w:r w:rsidRPr="00B4297F">
        <w:t>Enid Allison</w:t>
      </w:r>
      <w:r w:rsidRPr="00B4297F">
        <w:rPr>
          <w:vertAlign w:val="superscript"/>
        </w:rPr>
        <w:t>4</w:t>
      </w:r>
      <w:r w:rsidRPr="00B4297F">
        <w:t>, Jeremy Evans</w:t>
      </w:r>
      <w:r w:rsidRPr="00E56C3E">
        <w:rPr>
          <w:vertAlign w:val="superscript"/>
        </w:rPr>
        <w:t>5</w:t>
      </w:r>
      <w:r w:rsidRPr="00B4297F">
        <w:t>, Richard Helm</w:t>
      </w:r>
      <w:r w:rsidRPr="00B4297F">
        <w:rPr>
          <w:vertAlign w:val="superscript"/>
        </w:rPr>
        <w:t>4</w:t>
      </w:r>
      <w:r w:rsidRPr="00B4297F">
        <w:t>, Bekky Hillman</w:t>
      </w:r>
      <w:r>
        <w:rPr>
          <w:vertAlign w:val="superscript"/>
        </w:rPr>
        <w:t>6</w:t>
      </w:r>
      <w:r>
        <w:t>,</w:t>
      </w:r>
      <w:r w:rsidRPr="00B4297F">
        <w:t xml:space="preserve"> Malcom Lyne</w:t>
      </w:r>
      <w:r w:rsidRPr="00B4297F">
        <w:rPr>
          <w:vertAlign w:val="superscript"/>
        </w:rPr>
        <w:t>7</w:t>
      </w:r>
      <w:r w:rsidRPr="00B4297F">
        <w:t>, Nigel Page</w:t>
      </w:r>
      <w:r>
        <w:rPr>
          <w:vertAlign w:val="superscript"/>
        </w:rPr>
        <w:t>6</w:t>
      </w:r>
      <w:r w:rsidRPr="00B4297F">
        <w:t>, Caroline Rann</w:t>
      </w:r>
      <w:r>
        <w:rPr>
          <w:vertAlign w:val="superscript"/>
        </w:rPr>
        <w:t xml:space="preserve">6 </w:t>
      </w:r>
      <w:r>
        <w:t>and Richard P. E</w:t>
      </w:r>
      <w:r w:rsidRPr="00B4297F">
        <w:t>vershed</w:t>
      </w:r>
      <w:r w:rsidRPr="00B4297F">
        <w:rPr>
          <w:vertAlign w:val="superscript"/>
        </w:rPr>
        <w:t>1</w:t>
      </w:r>
    </w:p>
    <w:p w14:paraId="5AEC1583" w14:textId="77777777" w:rsidR="003B218B" w:rsidRDefault="003B218B" w:rsidP="00F00ECA">
      <w:pPr>
        <w:rPr>
          <w:b/>
          <w:bCs/>
        </w:rPr>
      </w:pPr>
    </w:p>
    <w:p w14:paraId="27C9AE8F" w14:textId="77777777" w:rsidR="00A139F6" w:rsidRDefault="00A139F6" w:rsidP="00F00ECA">
      <w:pPr>
        <w:rPr>
          <w:b/>
          <w:bCs/>
        </w:rPr>
      </w:pPr>
    </w:p>
    <w:p w14:paraId="01C4C263" w14:textId="77777777" w:rsidR="00A139F6" w:rsidRDefault="00A139F6" w:rsidP="00F00ECA">
      <w:pPr>
        <w:rPr>
          <w:b/>
          <w:bCs/>
        </w:rPr>
      </w:pPr>
    </w:p>
    <w:p w14:paraId="6EB7DCE5" w14:textId="77777777" w:rsidR="00A139F6" w:rsidRDefault="00A139F6" w:rsidP="00F00ECA">
      <w:pPr>
        <w:rPr>
          <w:b/>
          <w:bCs/>
        </w:rPr>
      </w:pPr>
    </w:p>
    <w:p w14:paraId="507364F0" w14:textId="77777777" w:rsidR="00A139F6" w:rsidRDefault="00A139F6" w:rsidP="00F00ECA">
      <w:pPr>
        <w:rPr>
          <w:b/>
          <w:bCs/>
        </w:rPr>
      </w:pPr>
    </w:p>
    <w:p w14:paraId="348A94B4" w14:textId="77777777" w:rsidR="00A139F6" w:rsidRDefault="00A139F6" w:rsidP="00F00ECA">
      <w:pPr>
        <w:rPr>
          <w:b/>
          <w:bCs/>
        </w:rPr>
      </w:pPr>
    </w:p>
    <w:p w14:paraId="5DC3862C" w14:textId="77777777" w:rsidR="00A139F6" w:rsidRDefault="00A139F6" w:rsidP="00F00ECA">
      <w:pPr>
        <w:rPr>
          <w:b/>
          <w:bCs/>
        </w:rPr>
      </w:pPr>
    </w:p>
    <w:p w14:paraId="4A854482" w14:textId="77777777" w:rsidR="00A139F6" w:rsidRDefault="00A139F6" w:rsidP="00F00ECA">
      <w:pPr>
        <w:rPr>
          <w:b/>
          <w:bCs/>
        </w:rPr>
      </w:pPr>
    </w:p>
    <w:p w14:paraId="64D81C1F" w14:textId="77777777" w:rsidR="00A139F6" w:rsidRDefault="00A139F6" w:rsidP="00F00ECA">
      <w:pPr>
        <w:rPr>
          <w:b/>
          <w:bCs/>
        </w:rPr>
      </w:pPr>
    </w:p>
    <w:p w14:paraId="29F5BB38" w14:textId="77777777" w:rsidR="00A139F6" w:rsidRDefault="00A139F6" w:rsidP="00F00ECA">
      <w:pPr>
        <w:rPr>
          <w:b/>
          <w:bCs/>
        </w:rPr>
      </w:pPr>
    </w:p>
    <w:p w14:paraId="78F30D48" w14:textId="77777777" w:rsidR="00A139F6" w:rsidRDefault="00A139F6" w:rsidP="00F00ECA">
      <w:pPr>
        <w:rPr>
          <w:b/>
          <w:bCs/>
        </w:rPr>
      </w:pPr>
    </w:p>
    <w:p w14:paraId="1282D0B1" w14:textId="77777777" w:rsidR="00A139F6" w:rsidRDefault="00A139F6" w:rsidP="00F00ECA">
      <w:pPr>
        <w:rPr>
          <w:b/>
          <w:bCs/>
        </w:rPr>
      </w:pPr>
    </w:p>
    <w:p w14:paraId="1A252670" w14:textId="77777777" w:rsidR="00A139F6" w:rsidRDefault="00A139F6" w:rsidP="00F00ECA">
      <w:pPr>
        <w:rPr>
          <w:b/>
          <w:bCs/>
        </w:rPr>
      </w:pPr>
    </w:p>
    <w:p w14:paraId="252D4AA1" w14:textId="77777777" w:rsidR="00A139F6" w:rsidRDefault="00A139F6" w:rsidP="00F00ECA">
      <w:pPr>
        <w:rPr>
          <w:b/>
          <w:bCs/>
        </w:rPr>
      </w:pPr>
    </w:p>
    <w:p w14:paraId="45CAAE41" w14:textId="77777777" w:rsidR="00A139F6" w:rsidRDefault="00A139F6" w:rsidP="00F00ECA">
      <w:pPr>
        <w:rPr>
          <w:b/>
          <w:bCs/>
        </w:rPr>
      </w:pPr>
    </w:p>
    <w:p w14:paraId="0E9A7E34" w14:textId="77777777" w:rsidR="00A139F6" w:rsidRDefault="00A139F6" w:rsidP="00F00ECA">
      <w:pPr>
        <w:rPr>
          <w:b/>
          <w:bCs/>
        </w:rPr>
      </w:pPr>
    </w:p>
    <w:p w14:paraId="03B645C8" w14:textId="77777777" w:rsidR="00A139F6" w:rsidRDefault="00A139F6" w:rsidP="00F00ECA">
      <w:pPr>
        <w:rPr>
          <w:b/>
          <w:bCs/>
        </w:rPr>
      </w:pPr>
    </w:p>
    <w:p w14:paraId="46A5E1D3" w14:textId="77777777" w:rsidR="00A139F6" w:rsidRDefault="00A139F6" w:rsidP="00F00ECA">
      <w:pPr>
        <w:rPr>
          <w:b/>
          <w:bCs/>
        </w:rPr>
      </w:pPr>
    </w:p>
    <w:p w14:paraId="60BA3F3C" w14:textId="77777777" w:rsidR="00A139F6" w:rsidRDefault="00A139F6" w:rsidP="00F00ECA">
      <w:pPr>
        <w:rPr>
          <w:b/>
          <w:bCs/>
        </w:rPr>
      </w:pPr>
    </w:p>
    <w:p w14:paraId="26B263F7" w14:textId="77777777" w:rsidR="003B218B" w:rsidRDefault="003B218B" w:rsidP="00F00ECA">
      <w:pPr>
        <w:rPr>
          <w:b/>
          <w:bCs/>
        </w:rPr>
      </w:pPr>
    </w:p>
    <w:p w14:paraId="0D584771" w14:textId="2E023B87" w:rsidR="007914A9" w:rsidRPr="00F00ECA" w:rsidRDefault="00DB641E" w:rsidP="00F00ECA">
      <w:pPr>
        <w:rPr>
          <w:b/>
          <w:bCs/>
        </w:rPr>
      </w:pPr>
      <w:r w:rsidRPr="00F00ECA">
        <w:rPr>
          <w:b/>
          <w:bCs/>
        </w:rPr>
        <w:lastRenderedPageBreak/>
        <w:t>Supplementary information</w:t>
      </w:r>
    </w:p>
    <w:p w14:paraId="38E15290" w14:textId="3BA3C42F" w:rsidR="00DB641E" w:rsidRDefault="00DB641E" w:rsidP="00F00ECA">
      <w:pPr>
        <w:rPr>
          <w:b/>
          <w:bCs/>
        </w:rPr>
      </w:pPr>
      <w:r w:rsidRPr="00F00ECA">
        <w:rPr>
          <w:b/>
          <w:bCs/>
        </w:rPr>
        <w:t>Material and methods</w:t>
      </w:r>
    </w:p>
    <w:p w14:paraId="4941CADC" w14:textId="7365C1D9" w:rsidR="000114A9" w:rsidRPr="0067487B" w:rsidRDefault="007F24B1" w:rsidP="00F00ECA">
      <w:r w:rsidRPr="0067487B">
        <w:t xml:space="preserve">Organic residue analysis of pottery assemblages from both the Rhodaus Town, Canterbury and Baginton, the Lunt Fort, Coventry were </w:t>
      </w:r>
      <w:r w:rsidR="0067487B">
        <w:t xml:space="preserve">commissioned </w:t>
      </w:r>
      <w:r w:rsidRPr="0067487B">
        <w:t xml:space="preserve">as part of the </w:t>
      </w:r>
      <w:r w:rsidR="00C87991">
        <w:t xml:space="preserve">commercial </w:t>
      </w:r>
      <w:r w:rsidRPr="0067487B">
        <w:t xml:space="preserve">post-excavation analysis </w:t>
      </w:r>
      <w:r w:rsidR="0067487B" w:rsidRPr="0067487B">
        <w:t xml:space="preserve">programme for both sites. </w:t>
      </w:r>
    </w:p>
    <w:p w14:paraId="3BAF00B7" w14:textId="7536CBB8" w:rsidR="00DB641E" w:rsidRDefault="00DB641E" w:rsidP="00F00ECA">
      <w:r w:rsidRPr="00F05629">
        <w:t xml:space="preserve">Lipid analysis and interpretations were </w:t>
      </w:r>
      <w:r w:rsidRPr="005671B4">
        <w:t>performed using established protocols described in detail in earlier publications</w:t>
      </w:r>
      <w:r w:rsidR="00AA598F">
        <w:t xml:space="preserve"> (</w:t>
      </w:r>
      <w:r w:rsidR="00793DC0" w:rsidRPr="00804C93">
        <w:rPr>
          <w:bCs/>
        </w:rPr>
        <w:t>Correa-Ascencio</w:t>
      </w:r>
      <w:r w:rsidR="003C575B">
        <w:rPr>
          <w:bCs/>
        </w:rPr>
        <w:t xml:space="preserve"> and</w:t>
      </w:r>
      <w:r w:rsidR="00793DC0" w:rsidRPr="00804C93">
        <w:rPr>
          <w:bCs/>
        </w:rPr>
        <w:t xml:space="preserve"> Evershed</w:t>
      </w:r>
      <w:r w:rsidR="003C575B">
        <w:rPr>
          <w:bCs/>
        </w:rPr>
        <w:t xml:space="preserve"> </w:t>
      </w:r>
      <w:r w:rsidR="00793DC0" w:rsidRPr="00804C93">
        <w:rPr>
          <w:bCs/>
        </w:rPr>
        <w:t>2014</w:t>
      </w:r>
      <w:r w:rsidR="003C575B">
        <w:rPr>
          <w:bCs/>
        </w:rPr>
        <w:t xml:space="preserve">, Dunne </w:t>
      </w:r>
      <w:r w:rsidR="003C575B" w:rsidRPr="003C575B">
        <w:rPr>
          <w:bCs/>
          <w:i/>
          <w:iCs/>
        </w:rPr>
        <w:t>et al</w:t>
      </w:r>
      <w:r w:rsidR="003C575B">
        <w:rPr>
          <w:bCs/>
        </w:rPr>
        <w:t>. 2019</w:t>
      </w:r>
      <w:r w:rsidR="00793DC0" w:rsidRPr="00804C93">
        <w:rPr>
          <w:bCs/>
        </w:rPr>
        <w:t xml:space="preserve">) </w:t>
      </w:r>
      <w:r w:rsidR="005671B4" w:rsidRPr="005671B4">
        <w:t>except that a sampling</w:t>
      </w:r>
      <w:r w:rsidR="005671B4" w:rsidRPr="00372476">
        <w:t xml:space="preserve"> procedure was adopted to minimise damage to the</w:t>
      </w:r>
      <w:r w:rsidR="005671B4">
        <w:t xml:space="preserve"> complete vessels</w:t>
      </w:r>
      <w:r>
        <w:t xml:space="preserve">. A total of twenty complete or nearly complete vessels </w:t>
      </w:r>
      <w:r w:rsidR="00E54B69">
        <w:t xml:space="preserve">from each site </w:t>
      </w:r>
      <w:r>
        <w:t xml:space="preserve">were supplied for analysis. Where vessels were partially broken, they were sampled by removing a piece of sherd from near the break whereas a modified </w:t>
      </w:r>
      <w:r w:rsidRPr="00372476">
        <w:t>sampling procedure was adopted</w:t>
      </w:r>
      <w:r>
        <w:t>, where possible,</w:t>
      </w:r>
      <w:r w:rsidRPr="00372476">
        <w:t xml:space="preserve"> </w:t>
      </w:r>
      <w:r>
        <w:t xml:space="preserve">for the complete vessels </w:t>
      </w:r>
      <w:r w:rsidRPr="00372476">
        <w:t xml:space="preserve">to minimise </w:t>
      </w:r>
      <w:r>
        <w:t xml:space="preserve">possible </w:t>
      </w:r>
      <w:r w:rsidRPr="002F707D">
        <w:t xml:space="preserve">damage. </w:t>
      </w:r>
      <w:r w:rsidR="009F636C">
        <w:t>In that case, p</w:t>
      </w:r>
      <w:r w:rsidRPr="002F707D">
        <w:t>art of</w:t>
      </w:r>
      <w:r w:rsidRPr="00E44282">
        <w:t xml:space="preserve"> the internal surface layer of vessel was re</w:t>
      </w:r>
      <w:r w:rsidRPr="00372476">
        <w:t xml:space="preserve">moved by abrasion, to remove contamination, then </w:t>
      </w:r>
      <w:r>
        <w:t xml:space="preserve">the underlying fabric </w:t>
      </w:r>
      <w:r w:rsidRPr="00372476">
        <w:t>taken as a powder for analysis of absorbed organic residues</w:t>
      </w:r>
      <w:r>
        <w:t>.</w:t>
      </w:r>
    </w:p>
    <w:p w14:paraId="0257DCC9" w14:textId="4EEBE36D" w:rsidR="001216D7" w:rsidRDefault="001216D7" w:rsidP="001216D7">
      <w:r>
        <w:t xml:space="preserve">The </w:t>
      </w:r>
      <w:r w:rsidRPr="00312FB4">
        <w:t xml:space="preserve">sherd </w:t>
      </w:r>
      <w:r>
        <w:t>powder</w:t>
      </w:r>
      <w:r w:rsidRPr="00312FB4">
        <w:t xml:space="preserve"> </w:t>
      </w:r>
      <w:r>
        <w:t>was</w:t>
      </w:r>
      <w:r w:rsidRPr="00312FB4">
        <w:t xml:space="preserve"> </w:t>
      </w:r>
      <w:r w:rsidRPr="00BE6C24">
        <w:t xml:space="preserve">weighed into a </w:t>
      </w:r>
      <w:r w:rsidRPr="00BE6C24">
        <w:rPr>
          <w:rFonts w:eastAsia="SimSun"/>
          <w:bCs/>
          <w:lang w:eastAsia="zh-CN"/>
        </w:rPr>
        <w:t>furnaced culture tube (I). A</w:t>
      </w:r>
      <w:r w:rsidRPr="00312FB4">
        <w:t>n internal standard was added (</w:t>
      </w:r>
      <w:r>
        <w:t>20</w:t>
      </w:r>
      <w:r w:rsidRPr="00312FB4">
        <w:t xml:space="preserve"> µg </w:t>
      </w:r>
      <w:r w:rsidRPr="00312FB4">
        <w:rPr>
          <w:i/>
        </w:rPr>
        <w:t>n</w:t>
      </w:r>
      <w:r w:rsidRPr="00312FB4">
        <w:t xml:space="preserve">-tetratriacontane; </w:t>
      </w:r>
      <w:r w:rsidRPr="00BE6C24">
        <w:t>Sigma Aldrich Company Ltd</w:t>
      </w:r>
      <w:r w:rsidRPr="00312FB4">
        <w:t xml:space="preserve">) together with </w:t>
      </w:r>
      <w:r w:rsidRPr="00BE6C24">
        <w:rPr>
          <w:rFonts w:eastAsia="SimSun"/>
          <w:bCs/>
          <w:lang w:eastAsia="zh-CN"/>
        </w:rPr>
        <w:t>5 m</w:t>
      </w:r>
      <w:r>
        <w:rPr>
          <w:rFonts w:eastAsia="SimSun"/>
          <w:bCs/>
          <w:lang w:eastAsia="zh-CN"/>
        </w:rPr>
        <w:t>L</w:t>
      </w:r>
      <w:r w:rsidRPr="00BE6C24">
        <w:rPr>
          <w:rFonts w:eastAsia="SimSun"/>
          <w:bCs/>
          <w:lang w:eastAsia="zh-CN"/>
        </w:rPr>
        <w:t xml:space="preserve"> of H</w:t>
      </w:r>
      <w:r w:rsidRPr="00BE6C24">
        <w:rPr>
          <w:rFonts w:eastAsia="SimSun"/>
          <w:bCs/>
          <w:vertAlign w:val="subscript"/>
          <w:lang w:eastAsia="zh-CN"/>
        </w:rPr>
        <w:t>2</w:t>
      </w:r>
      <w:r w:rsidRPr="00BE6C24">
        <w:rPr>
          <w:rFonts w:eastAsia="SimSun"/>
          <w:bCs/>
          <w:lang w:eastAsia="zh-CN"/>
        </w:rPr>
        <w:t>SO</w:t>
      </w:r>
      <w:r w:rsidRPr="00BE6C24">
        <w:rPr>
          <w:rFonts w:eastAsia="SimSun"/>
          <w:bCs/>
          <w:vertAlign w:val="subscript"/>
          <w:lang w:eastAsia="zh-CN"/>
        </w:rPr>
        <w:t>4</w:t>
      </w:r>
      <w:r w:rsidRPr="00BE6C24">
        <w:rPr>
          <w:rFonts w:eastAsia="SimSun"/>
          <w:bCs/>
          <w:lang w:eastAsia="zh-CN"/>
        </w:rPr>
        <w:t>/MeOH 2 - 4% (δ</w:t>
      </w:r>
      <w:r w:rsidRPr="00BE6C24">
        <w:rPr>
          <w:rFonts w:eastAsia="SimSun"/>
          <w:bCs/>
          <w:vertAlign w:val="superscript"/>
          <w:lang w:eastAsia="zh-CN"/>
        </w:rPr>
        <w:t>13</w:t>
      </w:r>
      <w:r w:rsidRPr="00BE6C24">
        <w:rPr>
          <w:rFonts w:eastAsia="SimSun"/>
          <w:bCs/>
          <w:lang w:eastAsia="zh-CN"/>
        </w:rPr>
        <w:t xml:space="preserve">C </w:t>
      </w:r>
      <w:r w:rsidR="009F636C">
        <w:rPr>
          <w:rFonts w:eastAsia="SimSun"/>
          <w:bCs/>
          <w:lang w:eastAsia="zh-CN"/>
        </w:rPr>
        <w:t xml:space="preserve">value </w:t>
      </w:r>
      <w:r w:rsidRPr="00BE6C24">
        <w:rPr>
          <w:rFonts w:eastAsia="SimSun"/>
          <w:bCs/>
          <w:lang w:eastAsia="zh-CN"/>
        </w:rPr>
        <w:t xml:space="preserve">measured) and the culture tubes were placed on a heating block for 1 h at 70°C, mixing every 10 min. Once cooled, the </w:t>
      </w:r>
      <w:r w:rsidRPr="00D87B4F">
        <w:rPr>
          <w:rFonts w:eastAsia="SimSun"/>
          <w:bCs/>
          <w:lang w:eastAsia="zh-CN"/>
        </w:rPr>
        <w:t>methanolic</w:t>
      </w:r>
      <w:r w:rsidRPr="00BE6C24">
        <w:rPr>
          <w:rFonts w:eastAsia="SimSun"/>
          <w:bCs/>
          <w:lang w:eastAsia="zh-CN"/>
        </w:rPr>
        <w:t xml:space="preserve"> acid was transferred to test tubes and centrifuged at 2500 rpm for 10 min. The supernatant was then decanted into another furnace</w:t>
      </w:r>
      <w:r>
        <w:rPr>
          <w:rFonts w:eastAsia="SimSun"/>
          <w:bCs/>
          <w:lang w:eastAsia="zh-CN"/>
        </w:rPr>
        <w:t>d</w:t>
      </w:r>
      <w:r w:rsidRPr="00BE6C24">
        <w:rPr>
          <w:rFonts w:eastAsia="SimSun"/>
          <w:bCs/>
          <w:lang w:eastAsia="zh-CN"/>
        </w:rPr>
        <w:t xml:space="preserve"> culture tube (II) and 2 m</w:t>
      </w:r>
      <w:r>
        <w:rPr>
          <w:rFonts w:eastAsia="SimSun"/>
          <w:bCs/>
          <w:lang w:eastAsia="zh-CN"/>
        </w:rPr>
        <w:t>L</w:t>
      </w:r>
      <w:r w:rsidRPr="00BE6C24">
        <w:rPr>
          <w:rFonts w:eastAsia="SimSun"/>
          <w:bCs/>
          <w:lang w:eastAsia="zh-CN"/>
        </w:rPr>
        <w:t xml:space="preserve"> of DCM extracted double distilled water was added. In order to recover any lipids not fully solubilised by the methanol solution, 2 x 3 m</w:t>
      </w:r>
      <w:r>
        <w:rPr>
          <w:rFonts w:eastAsia="SimSun"/>
          <w:bCs/>
          <w:lang w:eastAsia="zh-CN"/>
        </w:rPr>
        <w:t>L</w:t>
      </w:r>
      <w:r w:rsidRPr="00BE6C24">
        <w:rPr>
          <w:rFonts w:eastAsia="SimSun"/>
          <w:bCs/>
          <w:lang w:eastAsia="zh-CN"/>
        </w:rPr>
        <w:t xml:space="preserve"> of </w:t>
      </w:r>
      <w:r w:rsidRPr="00AD2EF9">
        <w:rPr>
          <w:rFonts w:eastAsia="SimSun"/>
          <w:bCs/>
          <w:i/>
          <w:iCs/>
          <w:lang w:eastAsia="zh-CN"/>
        </w:rPr>
        <w:t>n</w:t>
      </w:r>
      <w:r>
        <w:rPr>
          <w:rFonts w:eastAsia="SimSun"/>
          <w:bCs/>
          <w:lang w:eastAsia="zh-CN"/>
        </w:rPr>
        <w:t>-</w:t>
      </w:r>
      <w:r w:rsidRPr="00BE6C24">
        <w:rPr>
          <w:rFonts w:eastAsia="SimSun"/>
          <w:bCs/>
          <w:lang w:eastAsia="zh-CN"/>
        </w:rPr>
        <w:t>hexane was added to the extracted potsherds contained in the original culture tubes, mixed well and transferred to culture tube II. The extraction was transferred to a clean, furnaced 3.5 m</w:t>
      </w:r>
      <w:r>
        <w:rPr>
          <w:rFonts w:eastAsia="SimSun"/>
          <w:bCs/>
          <w:lang w:eastAsia="zh-CN"/>
        </w:rPr>
        <w:t>L</w:t>
      </w:r>
      <w:r w:rsidRPr="00BE6C24">
        <w:rPr>
          <w:rFonts w:eastAsia="SimSun"/>
          <w:bCs/>
          <w:lang w:eastAsia="zh-CN"/>
        </w:rPr>
        <w:t xml:space="preserve"> vial and blown down to dryness. Following this, 2 x 2 m</w:t>
      </w:r>
      <w:r>
        <w:rPr>
          <w:rFonts w:eastAsia="SimSun"/>
          <w:bCs/>
          <w:lang w:eastAsia="zh-CN"/>
        </w:rPr>
        <w:t>L</w:t>
      </w:r>
      <w:r w:rsidRPr="00BE6C24">
        <w:rPr>
          <w:rFonts w:eastAsia="SimSun"/>
          <w:bCs/>
          <w:lang w:eastAsia="zh-CN"/>
        </w:rPr>
        <w:t xml:space="preserve"> </w:t>
      </w:r>
      <w:r w:rsidRPr="00E42B41">
        <w:rPr>
          <w:rFonts w:eastAsia="SimSun"/>
          <w:bCs/>
          <w:i/>
          <w:iCs/>
          <w:lang w:eastAsia="zh-CN"/>
        </w:rPr>
        <w:t>n</w:t>
      </w:r>
      <w:r>
        <w:rPr>
          <w:rFonts w:eastAsia="SimSun"/>
          <w:bCs/>
          <w:lang w:eastAsia="zh-CN"/>
        </w:rPr>
        <w:t>-</w:t>
      </w:r>
      <w:r w:rsidRPr="00BE6C24">
        <w:rPr>
          <w:rFonts w:eastAsia="SimSun"/>
          <w:bCs/>
          <w:lang w:eastAsia="zh-CN"/>
        </w:rPr>
        <w:t>hexane was added directly to the H</w:t>
      </w:r>
      <w:r w:rsidRPr="00BE6C24">
        <w:rPr>
          <w:rFonts w:eastAsia="SimSun"/>
          <w:bCs/>
          <w:vertAlign w:val="subscript"/>
          <w:lang w:eastAsia="zh-CN"/>
        </w:rPr>
        <w:t>2</w:t>
      </w:r>
      <w:r w:rsidRPr="00BE6C24">
        <w:rPr>
          <w:rFonts w:eastAsia="SimSun"/>
          <w:bCs/>
          <w:lang w:eastAsia="zh-CN"/>
        </w:rPr>
        <w:t>SO</w:t>
      </w:r>
      <w:r w:rsidRPr="00BE6C24">
        <w:rPr>
          <w:rFonts w:eastAsia="SimSun"/>
          <w:bCs/>
          <w:vertAlign w:val="subscript"/>
          <w:lang w:eastAsia="zh-CN"/>
        </w:rPr>
        <w:t>4</w:t>
      </w:r>
      <w:r w:rsidRPr="00BE6C24">
        <w:rPr>
          <w:rFonts w:eastAsia="SimSun"/>
          <w:bCs/>
          <w:lang w:eastAsia="zh-CN"/>
        </w:rPr>
        <w:t xml:space="preserve">/MeOH </w:t>
      </w:r>
      <w:r w:rsidRPr="00BE6C24">
        <w:t>solution in culture tube II and whirlimixed to extract the remaining residues</w:t>
      </w:r>
      <w:r>
        <w:t xml:space="preserve">, then </w:t>
      </w:r>
      <w:r w:rsidRPr="00BE6C24">
        <w:t>transferred to the 3.5</w:t>
      </w:r>
      <w:r>
        <w:t xml:space="preserve"> </w:t>
      </w:r>
      <w:r w:rsidRPr="00BE6C24">
        <w:t>m</w:t>
      </w:r>
      <w:r>
        <w:t>L</w:t>
      </w:r>
      <w:r w:rsidRPr="00BE6C24">
        <w:t xml:space="preserve"> vials and blown down until a full vial of </w:t>
      </w:r>
      <w:r w:rsidRPr="00195906">
        <w:rPr>
          <w:i/>
          <w:iCs/>
        </w:rPr>
        <w:t>n</w:t>
      </w:r>
      <w:r>
        <w:t>-</w:t>
      </w:r>
      <w:r w:rsidRPr="00BE6C24">
        <w:t xml:space="preserve">hexane remained. Aliquots of the TLE’s were derivatised using 20 µl BSTFA, excess BSTFA was removed under nitrogen and the derivatised TLE was dissolved in </w:t>
      </w:r>
      <w:r w:rsidRPr="00611A80">
        <w:rPr>
          <w:i/>
          <w:iCs/>
        </w:rPr>
        <w:t>n</w:t>
      </w:r>
      <w:r>
        <w:t>-</w:t>
      </w:r>
      <w:r w:rsidRPr="00BE6C24">
        <w:t xml:space="preserve">hexane prior to GC, GC-MS and GC-C-IRMS. </w:t>
      </w:r>
      <w:r>
        <w:t xml:space="preserve">Firstly, the samples underwent </w:t>
      </w:r>
      <w:r w:rsidRPr="00F05629">
        <w:t>high-temperature gas chromatography using a gas chromatograph (GC) fitted with a high temperature non-polar column (DB1-HT; 100% dimethylpolysiloxane, 15 m x 0·32 mm i.d., 0.1 μm film thickness). The carrier gas was helium and the temperature programme comprised a 50°C isothermal followed by an increase to 350°</w:t>
      </w:r>
      <w:r>
        <w:t>C</w:t>
      </w:r>
      <w:r w:rsidRPr="00F05629">
        <w:t xml:space="preserve"> at a rate of 10°</w:t>
      </w:r>
      <w:r>
        <w:t>C</w:t>
      </w:r>
      <w:r w:rsidRPr="00F05629">
        <w:t xml:space="preserve"> min</w:t>
      </w:r>
      <w:r w:rsidRPr="00F05629">
        <w:rPr>
          <w:vertAlign w:val="superscript"/>
        </w:rPr>
        <w:t>−1</w:t>
      </w:r>
      <w:r w:rsidRPr="00F05629">
        <w:t xml:space="preserve"> followed by a 10 min isothermal. A procedural blank (no sample) was prepared and analysed alongside every batch of samples.</w:t>
      </w:r>
      <w:r>
        <w:t xml:space="preserve"> </w:t>
      </w:r>
      <w:r w:rsidRPr="00BE6C24">
        <w:t>Further compound identification was accomplished using GC-MS. FAMEs were then introduced by autosampler onto a GC-MS fitted with a non-polar column (100% dimethyl polysiloxane stationary phase; 60 m x 0.25 mm i.d., 0·1 μm film thickness). The instrument was a ThermoFinnigan single quadrupole TraceMS run in EI mode (electron energy 70 eV, scan time of 0</w:t>
      </w:r>
      <w:r>
        <w:t>.</w:t>
      </w:r>
      <w:r w:rsidRPr="00BE6C24">
        <w:t>6 s). Samples were run in full scan mode (</w:t>
      </w:r>
      <w:r w:rsidRPr="00BE6C24">
        <w:rPr>
          <w:i/>
        </w:rPr>
        <w:t>m/z</w:t>
      </w:r>
      <w:r w:rsidRPr="00BE6C24">
        <w:t xml:space="preserve"> 50–650) and the temperature programme comprised an isothermal hold at 50°</w:t>
      </w:r>
      <w:r>
        <w:t>C</w:t>
      </w:r>
      <w:r w:rsidRPr="00BE6C24">
        <w:t xml:space="preserve"> for 2 min, ramping to 300°</w:t>
      </w:r>
      <w:r>
        <w:t>C</w:t>
      </w:r>
      <w:r w:rsidRPr="00BE6C24">
        <w:t xml:space="preserve"> at 10°</w:t>
      </w:r>
      <w:r>
        <w:t>C</w:t>
      </w:r>
      <w:r w:rsidRPr="00BE6C24">
        <w:t xml:space="preserve"> min</w:t>
      </w:r>
      <w:r w:rsidRPr="00BE6C24">
        <w:rPr>
          <w:vertAlign w:val="superscript"/>
        </w:rPr>
        <w:t>-1</w:t>
      </w:r>
      <w:r w:rsidRPr="00BE6C24">
        <w:t>, followed by an isothermal hold at 300°</w:t>
      </w:r>
      <w:r>
        <w:t>C</w:t>
      </w:r>
      <w:r w:rsidRPr="00BE6C24">
        <w:t xml:space="preserve"> (15 min).</w:t>
      </w:r>
      <w:r>
        <w:t xml:space="preserve"> </w:t>
      </w:r>
      <w:r w:rsidRPr="00BE6C24">
        <w:t>The instrument was a ThermoFinnigan single quadrupole TraceMS run in EI mode (electron energy 70 eV, scan time of 0·6 s). Samples were run in full scan mode (</w:t>
      </w:r>
      <w:r w:rsidRPr="00BE6C24">
        <w:rPr>
          <w:i/>
        </w:rPr>
        <w:t>m/z</w:t>
      </w:r>
      <w:r w:rsidRPr="00BE6C24">
        <w:t xml:space="preserve"> 50–650) and the temperature programme comprised an isothermal hold at 50°</w:t>
      </w:r>
      <w:r>
        <w:t>C</w:t>
      </w:r>
      <w:r w:rsidRPr="00BE6C24">
        <w:t xml:space="preserve"> for 2 min, ramping to 300°</w:t>
      </w:r>
      <w:r>
        <w:t>C</w:t>
      </w:r>
      <w:r w:rsidRPr="00BE6C24">
        <w:t xml:space="preserve"> at 10°</w:t>
      </w:r>
      <w:r>
        <w:t>C</w:t>
      </w:r>
      <w:r w:rsidRPr="00BE6C24">
        <w:t xml:space="preserve"> min</w:t>
      </w:r>
      <w:r w:rsidRPr="00BE6C24">
        <w:rPr>
          <w:vertAlign w:val="superscript"/>
        </w:rPr>
        <w:t>-1</w:t>
      </w:r>
      <w:r w:rsidRPr="00BE6C24">
        <w:t>, followed by an isothermal hold at 300°</w:t>
      </w:r>
      <w:r>
        <w:t>C</w:t>
      </w:r>
      <w:r w:rsidRPr="00BE6C24">
        <w:t xml:space="preserve"> (15 min).</w:t>
      </w:r>
      <w:r>
        <w:t xml:space="preserve"> </w:t>
      </w:r>
      <w:r w:rsidRPr="00AC494B">
        <w:t xml:space="preserve">Data acquisition and processing were carried out using the HP Chemstation software (Rev. </w:t>
      </w:r>
      <w:r>
        <w:t>C.01.07 (27)</w:t>
      </w:r>
      <w:r w:rsidRPr="00AC494B">
        <w:t>, Agilent Technologies)</w:t>
      </w:r>
      <w:r>
        <w:t xml:space="preserve"> and Xcalibur software (version 3.0)</w:t>
      </w:r>
      <w:r w:rsidRPr="00AC494B">
        <w:t>.</w:t>
      </w:r>
      <w:r>
        <w:t xml:space="preserve"> Peaks were identified on the basis of their mass spectra and GC retention times, by comparison with the NIST mass spectral library (version 2.0).</w:t>
      </w:r>
    </w:p>
    <w:p w14:paraId="7FBDB3DA" w14:textId="77777777" w:rsidR="001216D7" w:rsidRDefault="001216D7" w:rsidP="001216D7">
      <w:r w:rsidRPr="00806548">
        <w:t>Carbon isotope analyses by GC-C-IRMS</w:t>
      </w:r>
      <w:r>
        <w:t xml:space="preserve"> were also carried out using a GC Agilent Technologies 7890A coupled to an Isoprime 100 (EI, 70eV, three Faraday cup collectors </w:t>
      </w:r>
      <w:r w:rsidRPr="00955F93">
        <w:rPr>
          <w:i/>
        </w:rPr>
        <w:t>m/z</w:t>
      </w:r>
      <w:r>
        <w:t xml:space="preserve"> 44, 45 and 46) via an IsoprimeGC5 combustion interface with a CuO and silver wool reactor maintained at 850°C. Instrument accuracy was determined using an external FAME standard mixture (C</w:t>
      </w:r>
      <w:r w:rsidRPr="00692F25">
        <w:rPr>
          <w:szCs w:val="24"/>
          <w:vertAlign w:val="subscript"/>
        </w:rPr>
        <w:t>11</w:t>
      </w:r>
      <w:r w:rsidRPr="00B23CB4">
        <w:rPr>
          <w:szCs w:val="24"/>
        </w:rPr>
        <w:t>, C</w:t>
      </w:r>
      <w:r w:rsidRPr="00692F25">
        <w:rPr>
          <w:szCs w:val="24"/>
          <w:vertAlign w:val="subscript"/>
        </w:rPr>
        <w:t>13</w:t>
      </w:r>
      <w:r w:rsidRPr="00B23CB4">
        <w:rPr>
          <w:szCs w:val="24"/>
        </w:rPr>
        <w:t>, C</w:t>
      </w:r>
      <w:r w:rsidRPr="00692F25">
        <w:rPr>
          <w:szCs w:val="24"/>
          <w:vertAlign w:val="subscript"/>
        </w:rPr>
        <w:t>16</w:t>
      </w:r>
      <w:r w:rsidRPr="00B23CB4">
        <w:rPr>
          <w:szCs w:val="24"/>
        </w:rPr>
        <w:t>, C</w:t>
      </w:r>
      <w:r w:rsidRPr="00692F25">
        <w:rPr>
          <w:szCs w:val="24"/>
          <w:vertAlign w:val="subscript"/>
        </w:rPr>
        <w:t>21</w:t>
      </w:r>
      <w:r w:rsidRPr="00692F25">
        <w:rPr>
          <w:szCs w:val="24"/>
        </w:rPr>
        <w:t xml:space="preserve"> </w:t>
      </w:r>
      <w:r w:rsidRPr="00B23CB4">
        <w:rPr>
          <w:szCs w:val="24"/>
        </w:rPr>
        <w:t>and C</w:t>
      </w:r>
      <w:r w:rsidRPr="00692F25">
        <w:rPr>
          <w:szCs w:val="24"/>
          <w:vertAlign w:val="subscript"/>
        </w:rPr>
        <w:t>23</w:t>
      </w:r>
      <w:r>
        <w:t xml:space="preserve">) of known isotopic composition. Samples were run in duplicate and an average taken. The </w:t>
      </w:r>
      <w:r w:rsidRPr="00C86945">
        <w:t>δ</w:t>
      </w:r>
      <w:r w:rsidRPr="00955F93">
        <w:rPr>
          <w:vertAlign w:val="superscript"/>
        </w:rPr>
        <w:t>13</w:t>
      </w:r>
      <w:r w:rsidRPr="00C86945">
        <w:t>C</w:t>
      </w:r>
      <w:r>
        <w:t xml:space="preserve"> values are the ratios </w:t>
      </w:r>
      <w:r w:rsidRPr="008A1240">
        <w:rPr>
          <w:vertAlign w:val="superscript"/>
        </w:rPr>
        <w:t>13</w:t>
      </w:r>
      <w:r>
        <w:t>C/</w:t>
      </w:r>
      <w:r w:rsidRPr="008A1240">
        <w:rPr>
          <w:vertAlign w:val="superscript"/>
        </w:rPr>
        <w:t>12</w:t>
      </w:r>
      <w:r>
        <w:t>C and expressed relative to the Vienna Pee Dee Belemnite, calibrated against a CO</w:t>
      </w:r>
      <w:r w:rsidRPr="00807407">
        <w:rPr>
          <w:vertAlign w:val="subscript"/>
        </w:rPr>
        <w:t>2</w:t>
      </w:r>
      <w:r w:rsidRPr="00955F93">
        <w:rPr>
          <w:sz w:val="12"/>
          <w:szCs w:val="12"/>
        </w:rPr>
        <w:t xml:space="preserve"> </w:t>
      </w:r>
      <w:r>
        <w:t xml:space="preserve">reference gas of known isotopic composition. Instrument error was </w:t>
      </w:r>
      <w:r w:rsidRPr="00955F93">
        <w:rPr>
          <w:rFonts w:ascii="AdvOTb0c9bf5d" w:hAnsi="AdvOTb0c9bf5d" w:cs="AdvOTb0c9bf5d"/>
        </w:rPr>
        <w:t>±</w:t>
      </w:r>
      <w:r>
        <w:t>0.3‰. Data processing was carried out using Ion Vantage software (version 1.6.1.0, IsoPrime).</w:t>
      </w:r>
    </w:p>
    <w:p w14:paraId="5F7CE988" w14:textId="73850A4E" w:rsidR="00984681" w:rsidRDefault="00984681" w:rsidP="00F00ECA"/>
    <w:p w14:paraId="51E9498C" w14:textId="7DB75965" w:rsidR="00EF6B87" w:rsidRDefault="00EF6B87" w:rsidP="00F00ECA"/>
    <w:p w14:paraId="635F2C32" w14:textId="77777777" w:rsidR="00D91851" w:rsidRDefault="00D91851" w:rsidP="00F00ECA"/>
    <w:p w14:paraId="150F6C85" w14:textId="77777777" w:rsidR="00D91851" w:rsidRDefault="00D91851" w:rsidP="00F00ECA"/>
    <w:p w14:paraId="4E533FF3" w14:textId="1188A130" w:rsidR="00D91851" w:rsidRDefault="00D91851" w:rsidP="00F00ECA">
      <w:r w:rsidRPr="00D91851">
        <w:rPr>
          <w:noProof/>
        </w:rPr>
        <w:drawing>
          <wp:inline distT="0" distB="0" distL="0" distR="0" wp14:anchorId="419C5D7E" wp14:editId="26BB8750">
            <wp:extent cx="5257800" cy="4286250"/>
            <wp:effectExtent l="0" t="0" r="0" b="0"/>
            <wp:docPr id="1200796700" name="Picture 1" descr="A graph of a normalized ac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96700" name="Picture 1" descr="A graph of a normalized acid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C01F8" w14:textId="392CA207" w:rsidR="00F211DF" w:rsidRDefault="00F211DF" w:rsidP="00F211DF">
      <w:pPr>
        <w:spacing w:after="0" w:line="240" w:lineRule="auto"/>
      </w:pPr>
      <w:r>
        <w:rPr>
          <w:b/>
          <w:bCs/>
        </w:rPr>
        <w:t xml:space="preserve">Supplementary </w:t>
      </w:r>
      <w:r w:rsidRPr="0065145F">
        <w:rPr>
          <w:b/>
          <w:bCs/>
        </w:rPr>
        <w:t xml:space="preserve">Fig. </w:t>
      </w:r>
      <w:r>
        <w:rPr>
          <w:b/>
          <w:bCs/>
        </w:rPr>
        <w:t>1</w:t>
      </w:r>
      <w:r w:rsidRPr="00512F86">
        <w:t xml:space="preserve"> Partial gas chromatogram of the acid-extracted FAMEs from </w:t>
      </w:r>
      <w:r>
        <w:t>the Baginton</w:t>
      </w:r>
      <w:r w:rsidR="001511C5">
        <w:t xml:space="preserve"> (The Lunt Fort) Roman accessory vessel</w:t>
      </w:r>
      <w:r>
        <w:t xml:space="preserve"> </w:t>
      </w:r>
      <w:r w:rsidRPr="00512F86">
        <w:t>pottery extract</w:t>
      </w:r>
      <w:r w:rsidR="008D1EFF">
        <w:t xml:space="preserve"> BAG01</w:t>
      </w:r>
      <w:r w:rsidRPr="00512F86">
        <w:t xml:space="preserve">. Circles, </w:t>
      </w:r>
      <w:r w:rsidRPr="00512F86">
        <w:rPr>
          <w:rFonts w:ascii="MinionPro-It" w:hAnsi="MinionPro-It" w:cs="MinionPro-It"/>
          <w:i/>
          <w:iCs/>
        </w:rPr>
        <w:t>n</w:t>
      </w:r>
      <w:r w:rsidRPr="00512F86">
        <w:t xml:space="preserve">-alkanoic acids (fatty acids, FA); </w:t>
      </w:r>
      <w:r w:rsidRPr="00512F86">
        <w:rPr>
          <w:color w:val="292526"/>
        </w:rPr>
        <w:t>IS, internal standard, C</w:t>
      </w:r>
      <w:r w:rsidRPr="00512F86">
        <w:rPr>
          <w:color w:val="292526"/>
          <w:vertAlign w:val="subscript"/>
        </w:rPr>
        <w:t>34</w:t>
      </w:r>
      <w:r w:rsidRPr="00512F86">
        <w:rPr>
          <w:color w:val="292526"/>
        </w:rPr>
        <w:t xml:space="preserve"> </w:t>
      </w:r>
      <w:r w:rsidRPr="00512F86">
        <w:rPr>
          <w:i/>
        </w:rPr>
        <w:t>n</w:t>
      </w:r>
      <w:r w:rsidRPr="00512F86">
        <w:t>-tetratriacontane. Numbers denote carbon chain length</w:t>
      </w:r>
    </w:p>
    <w:p w14:paraId="3A851E29" w14:textId="77777777" w:rsidR="00D91851" w:rsidRDefault="00D91851" w:rsidP="00F00ECA"/>
    <w:p w14:paraId="7DED7A37" w14:textId="1A767A02" w:rsidR="00EF6B87" w:rsidRDefault="00EF6B87" w:rsidP="00F00ECA"/>
    <w:p w14:paraId="4E33531A" w14:textId="62E2E497" w:rsidR="00EF6B87" w:rsidRDefault="007321CD" w:rsidP="00EF6B87">
      <w:pPr>
        <w:jc w:val="center"/>
      </w:pPr>
      <w:r>
        <w:t>Supplementary b</w:t>
      </w:r>
      <w:r w:rsidR="00EF6B87">
        <w:t>ibliography</w:t>
      </w:r>
    </w:p>
    <w:p w14:paraId="69AB0B33" w14:textId="77777777" w:rsidR="00984681" w:rsidRPr="007E36CA" w:rsidRDefault="00984681" w:rsidP="00984681">
      <w:pPr>
        <w:pStyle w:val="EndNoteBibliography"/>
        <w:spacing w:before="120" w:after="120"/>
        <w:rPr>
          <w:bCs/>
        </w:rPr>
      </w:pPr>
      <w:r w:rsidRPr="007E36CA">
        <w:rPr>
          <w:bCs/>
        </w:rPr>
        <w:t>Correa-Ascencio, M.</w:t>
      </w:r>
      <w:r>
        <w:rPr>
          <w:bCs/>
        </w:rPr>
        <w:t>,</w:t>
      </w:r>
      <w:r w:rsidRPr="007E36CA">
        <w:rPr>
          <w:bCs/>
        </w:rPr>
        <w:t xml:space="preserve"> </w:t>
      </w:r>
      <w:r>
        <w:rPr>
          <w:bCs/>
        </w:rPr>
        <w:t xml:space="preserve">and </w:t>
      </w:r>
      <w:r w:rsidRPr="007E36CA">
        <w:rPr>
          <w:bCs/>
        </w:rPr>
        <w:t>Evershed</w:t>
      </w:r>
      <w:r>
        <w:rPr>
          <w:bCs/>
        </w:rPr>
        <w:t xml:space="preserve">, R.P. </w:t>
      </w:r>
      <w:r w:rsidRPr="007E36CA">
        <w:rPr>
          <w:bCs/>
        </w:rPr>
        <w:t>2014</w:t>
      </w:r>
      <w:r>
        <w:rPr>
          <w:bCs/>
        </w:rPr>
        <w:t>:</w:t>
      </w:r>
      <w:r w:rsidRPr="007E36CA">
        <w:rPr>
          <w:bCs/>
        </w:rPr>
        <w:t xml:space="preserve"> </w:t>
      </w:r>
      <w:r>
        <w:rPr>
          <w:bCs/>
        </w:rPr>
        <w:t>‘</w:t>
      </w:r>
      <w:r w:rsidRPr="007E36CA">
        <w:rPr>
          <w:bCs/>
        </w:rPr>
        <w:t>High throughput screening of organic residues in archaeological potsherds using direct acidified methanol extraction</w:t>
      </w:r>
      <w:r>
        <w:rPr>
          <w:bCs/>
        </w:rPr>
        <w:t>’,</w:t>
      </w:r>
      <w:r w:rsidRPr="007E36CA">
        <w:rPr>
          <w:bCs/>
        </w:rPr>
        <w:t xml:space="preserve"> </w:t>
      </w:r>
      <w:r w:rsidRPr="00480F57">
        <w:rPr>
          <w:bCs/>
          <w:i/>
          <w:iCs/>
        </w:rPr>
        <w:t>Analytical Methods</w:t>
      </w:r>
      <w:r w:rsidRPr="007E36CA">
        <w:rPr>
          <w:bCs/>
        </w:rPr>
        <w:t xml:space="preserve"> 6</w:t>
      </w:r>
      <w:r>
        <w:rPr>
          <w:bCs/>
        </w:rPr>
        <w:t xml:space="preserve">, </w:t>
      </w:r>
      <w:r w:rsidRPr="007E36CA">
        <w:rPr>
          <w:bCs/>
        </w:rPr>
        <w:t>5</w:t>
      </w:r>
      <w:r>
        <w:rPr>
          <w:bCs/>
        </w:rPr>
        <w:t>,</w:t>
      </w:r>
      <w:r w:rsidRPr="007E36CA">
        <w:rPr>
          <w:bCs/>
        </w:rPr>
        <w:t xml:space="preserve"> 1330-1340</w:t>
      </w:r>
    </w:p>
    <w:p w14:paraId="1545FF6F" w14:textId="778FBFE9" w:rsidR="00AA41B5" w:rsidRPr="00DB4FF7" w:rsidRDefault="00AA41B5" w:rsidP="00AA41B5">
      <w:pPr>
        <w:pStyle w:val="EndNoteBibliography"/>
      </w:pPr>
      <w:r w:rsidRPr="00EF6B87">
        <w:rPr>
          <w:bCs/>
        </w:rPr>
        <w:t xml:space="preserve">Dunne, J., Rebay-Salisbury, </w:t>
      </w:r>
      <w:r w:rsidR="001D47D9">
        <w:rPr>
          <w:bCs/>
        </w:rPr>
        <w:t xml:space="preserve">K., </w:t>
      </w:r>
      <w:r w:rsidRPr="00EF6B87">
        <w:rPr>
          <w:bCs/>
        </w:rPr>
        <w:t>Salisbury,</w:t>
      </w:r>
      <w:r w:rsidR="001D47D9">
        <w:rPr>
          <w:bCs/>
        </w:rPr>
        <w:t xml:space="preserve"> R.,</w:t>
      </w:r>
      <w:r w:rsidRPr="00EF6B87">
        <w:rPr>
          <w:bCs/>
        </w:rPr>
        <w:t xml:space="preserve"> Frisch, </w:t>
      </w:r>
      <w:r w:rsidR="001D47D9">
        <w:rPr>
          <w:bCs/>
        </w:rPr>
        <w:t>A</w:t>
      </w:r>
      <w:r w:rsidR="00A5183F">
        <w:rPr>
          <w:bCs/>
        </w:rPr>
        <w:t xml:space="preserve">., </w:t>
      </w:r>
      <w:r w:rsidRPr="00EF6B87">
        <w:rPr>
          <w:bCs/>
        </w:rPr>
        <w:t>Walton-Doyle</w:t>
      </w:r>
      <w:r w:rsidR="00A5183F">
        <w:rPr>
          <w:bCs/>
        </w:rPr>
        <w:t>, C.</w:t>
      </w:r>
      <w:r w:rsidRPr="00EF6B87">
        <w:rPr>
          <w:bCs/>
        </w:rPr>
        <w:t xml:space="preserve"> and Evershed</w:t>
      </w:r>
      <w:r w:rsidR="00A5183F">
        <w:rPr>
          <w:bCs/>
        </w:rPr>
        <w:t>, R.P.</w:t>
      </w:r>
      <w:r w:rsidRPr="00DB4FF7">
        <w:t xml:space="preserve"> 2019</w:t>
      </w:r>
      <w:r w:rsidR="007A7B8C">
        <w:t>:</w:t>
      </w:r>
      <w:r w:rsidRPr="00DB4FF7">
        <w:t xml:space="preserve"> Milk of ruminants in ceramic baby bottles from prehistoric child graves. </w:t>
      </w:r>
      <w:r w:rsidRPr="00DB4FF7">
        <w:rPr>
          <w:i/>
        </w:rPr>
        <w:t>Nature</w:t>
      </w:r>
      <w:r w:rsidR="007A7B8C">
        <w:rPr>
          <w:i/>
        </w:rPr>
        <w:t>,</w:t>
      </w:r>
      <w:r w:rsidRPr="00DB4FF7">
        <w:t xml:space="preserve"> 1-3.</w:t>
      </w:r>
    </w:p>
    <w:p w14:paraId="6E41B433" w14:textId="77777777" w:rsidR="00984681" w:rsidRPr="00DB641E" w:rsidRDefault="00984681" w:rsidP="00F00ECA">
      <w:pPr>
        <w:rPr>
          <w:b/>
          <w:bCs/>
        </w:rPr>
      </w:pPr>
    </w:p>
    <w:sectPr w:rsidR="00984681" w:rsidRPr="00DB6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7BF4" w14:textId="77777777" w:rsidR="00125885" w:rsidRDefault="00125885" w:rsidP="00F00ECA">
      <w:r>
        <w:separator/>
      </w:r>
    </w:p>
  </w:endnote>
  <w:endnote w:type="continuationSeparator" w:id="0">
    <w:p w14:paraId="6274D2C4" w14:textId="77777777" w:rsidR="00125885" w:rsidRDefault="00125885" w:rsidP="00F0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b0c9bf5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80FD" w14:textId="77777777" w:rsidR="00125885" w:rsidRDefault="00125885" w:rsidP="00F00ECA">
      <w:r>
        <w:separator/>
      </w:r>
    </w:p>
  </w:footnote>
  <w:footnote w:type="continuationSeparator" w:id="0">
    <w:p w14:paraId="37ED2447" w14:textId="77777777" w:rsidR="00125885" w:rsidRDefault="00125885" w:rsidP="00F00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1E"/>
    <w:rsid w:val="000114A9"/>
    <w:rsid w:val="000C572B"/>
    <w:rsid w:val="001216D7"/>
    <w:rsid w:val="00125885"/>
    <w:rsid w:val="001511C5"/>
    <w:rsid w:val="001D47D9"/>
    <w:rsid w:val="003B218B"/>
    <w:rsid w:val="003C575B"/>
    <w:rsid w:val="005671B4"/>
    <w:rsid w:val="005E1837"/>
    <w:rsid w:val="0067487B"/>
    <w:rsid w:val="00714511"/>
    <w:rsid w:val="007321CD"/>
    <w:rsid w:val="007914A9"/>
    <w:rsid w:val="00793DC0"/>
    <w:rsid w:val="007A7B8C"/>
    <w:rsid w:val="007F24B1"/>
    <w:rsid w:val="00872346"/>
    <w:rsid w:val="008D1EFF"/>
    <w:rsid w:val="008F67BF"/>
    <w:rsid w:val="00984681"/>
    <w:rsid w:val="009F636C"/>
    <w:rsid w:val="00A139F6"/>
    <w:rsid w:val="00A22FDC"/>
    <w:rsid w:val="00A5183F"/>
    <w:rsid w:val="00AA41B5"/>
    <w:rsid w:val="00AA598F"/>
    <w:rsid w:val="00C87991"/>
    <w:rsid w:val="00D91851"/>
    <w:rsid w:val="00DA06F4"/>
    <w:rsid w:val="00DB641E"/>
    <w:rsid w:val="00E54B69"/>
    <w:rsid w:val="00EF0E0F"/>
    <w:rsid w:val="00EF6B87"/>
    <w:rsid w:val="00F00ECA"/>
    <w:rsid w:val="00F2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F8EE5"/>
  <w15:chartTrackingRefBased/>
  <w15:docId w15:val="{90459916-88A7-415F-94CA-19BAE292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CA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984681"/>
    <w:pPr>
      <w:spacing w:after="200"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84681"/>
    <w:rPr>
      <w:rFonts w:ascii="Times New Roman" w:hAnsi="Times New Roman" w:cs="Times New Roman"/>
      <w:noProof/>
      <w:sz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8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83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1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8AD01-D7E7-4A65-BD7C-CDE63F1D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Dunne</dc:creator>
  <cp:keywords/>
  <dc:description/>
  <cp:lastModifiedBy>Julie Dunne</cp:lastModifiedBy>
  <cp:revision>4</cp:revision>
  <dcterms:created xsi:type="dcterms:W3CDTF">2024-01-02T19:01:00Z</dcterms:created>
  <dcterms:modified xsi:type="dcterms:W3CDTF">2024-05-29T09:26:00Z</dcterms:modified>
</cp:coreProperties>
</file>